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jc w:val="center"/>
        <w:rPr>
          <w:rFonts w:eastAsia="微软雅黑" w:cs="Times New Roman"/>
          <w:b/>
          <w:bCs/>
          <w:sz w:val="44"/>
          <w:szCs w:val="44"/>
        </w:rPr>
      </w:pPr>
      <w:bookmarkStart w:id="0" w:name="_Toc36148497"/>
    </w:p>
    <w:p>
      <w:pPr>
        <w:ind w:firstLine="0" w:firstLineChars="0"/>
        <w:jc w:val="center"/>
        <w:rPr>
          <w:rFonts w:hint="eastAsia" w:eastAsia="微软雅黑" w:cs="Times New Roman"/>
          <w:b/>
          <w:bCs/>
          <w:sz w:val="44"/>
          <w:szCs w:val="44"/>
        </w:rPr>
      </w:pPr>
      <w:r>
        <w:rPr>
          <w:rFonts w:hint="eastAsia" w:eastAsia="微软雅黑" w:cs="Times New Roman"/>
          <w:b/>
          <w:bCs/>
          <w:sz w:val="44"/>
          <w:szCs w:val="44"/>
        </w:rPr>
        <w:t xml:space="preserve"> </w:t>
      </w:r>
      <w:r>
        <w:rPr>
          <w:rFonts w:eastAsia="微软雅黑" w:cs="Times New Roman"/>
          <w:b/>
          <w:bCs/>
          <w:sz w:val="44"/>
          <w:szCs w:val="44"/>
        </w:rPr>
        <w:t xml:space="preserve"> </w:t>
      </w:r>
    </w:p>
    <w:p>
      <w:pPr>
        <w:ind w:firstLine="880"/>
        <w:jc w:val="center"/>
        <w:rPr>
          <w:rFonts w:eastAsia="微软雅黑" w:cs="Times New Roman"/>
          <w:b/>
          <w:bCs/>
          <w:sz w:val="44"/>
          <w:szCs w:val="44"/>
        </w:rPr>
      </w:pP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outlineLvl w:val="0"/>
        <w:rPr>
          <w:rFonts w:hint="eastAsia" w:ascii="方正楷体_GB2312" w:hAnsi="方正楷体_GB2312" w:eastAsia="方正楷体_GB2312" w:cs="方正楷体_GB2312"/>
          <w:b/>
          <w:bCs/>
          <w:color w:val="auto"/>
          <w:spacing w:val="-6"/>
          <w:sz w:val="48"/>
          <w:szCs w:val="48"/>
          <w:lang w:val="en-US" w:eastAsia="zh-CN"/>
        </w:rPr>
      </w:pPr>
      <w:bookmarkStart w:id="1" w:name="_Toc14516"/>
      <w:bookmarkStart w:id="2" w:name="_Toc27202"/>
      <w:bookmarkStart w:id="3" w:name="_Toc10683"/>
      <w:bookmarkStart w:id="4" w:name="_Toc15060"/>
      <w:r>
        <w:rPr>
          <w:rFonts w:hint="eastAsia" w:ascii="方正楷体_GB2312" w:hAnsi="方正楷体_GB2312" w:eastAsia="方正楷体_GB2312" w:cs="方正楷体_GB2312"/>
          <w:b/>
          <w:bCs/>
          <w:color w:val="auto"/>
          <w:spacing w:val="-6"/>
          <w:sz w:val="48"/>
          <w:szCs w:val="48"/>
          <w:lang w:val="en-US" w:eastAsia="zh-CN"/>
        </w:rPr>
        <w:t>桃江县建筑垃圾污染环境防治</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outlineLvl w:val="0"/>
        <w:rPr>
          <w:rFonts w:hint="eastAsia" w:ascii="方正楷体_GB2312" w:hAnsi="方正楷体_GB2312" w:eastAsia="方正楷体_GB2312" w:cs="方正楷体_GB2312"/>
          <w:b/>
          <w:bCs/>
          <w:color w:val="auto"/>
          <w:spacing w:val="-6"/>
          <w:sz w:val="48"/>
          <w:szCs w:val="48"/>
          <w:lang w:val="en-US" w:eastAsia="zh-CN"/>
        </w:rPr>
      </w:pPr>
      <w:bookmarkStart w:id="5" w:name="_Toc9887"/>
      <w:bookmarkStart w:id="6" w:name="_Toc32078"/>
      <w:bookmarkStart w:id="7" w:name="_Toc25539"/>
      <w:bookmarkStart w:id="8" w:name="_Toc18187"/>
      <w:r>
        <w:rPr>
          <w:rFonts w:hint="eastAsia" w:ascii="方正楷体_GB2312" w:hAnsi="方正楷体_GB2312" w:eastAsia="方正楷体_GB2312" w:cs="方正楷体_GB2312"/>
          <w:b/>
          <w:bCs/>
          <w:color w:val="auto"/>
          <w:spacing w:val="-6"/>
          <w:sz w:val="48"/>
          <w:szCs w:val="48"/>
          <w:lang w:val="en-US" w:eastAsia="zh-CN"/>
        </w:rPr>
        <w:t>工作规划（2025—2035年）</w:t>
      </w:r>
      <w:bookmarkEnd w:id="5"/>
      <w:bookmarkEnd w:id="6"/>
      <w:bookmarkEnd w:id="7"/>
      <w:bookmarkEnd w:id="8"/>
    </w:p>
    <w:p>
      <w:pPr>
        <w:ind w:firstLine="880"/>
        <w:jc w:val="center"/>
        <w:rPr>
          <w:rFonts w:eastAsia="微软雅黑" w:cs="Times New Roman"/>
          <w:b/>
          <w:bCs/>
          <w:sz w:val="44"/>
          <w:szCs w:val="44"/>
        </w:rPr>
      </w:pPr>
    </w:p>
    <w:p>
      <w:pPr>
        <w:ind w:firstLine="880"/>
        <w:jc w:val="center"/>
        <w:rPr>
          <w:rFonts w:eastAsia="微软雅黑" w:cs="Times New Roman"/>
          <w:b/>
          <w:bCs/>
          <w:sz w:val="44"/>
          <w:szCs w:val="44"/>
        </w:rPr>
      </w:pPr>
    </w:p>
    <w:p>
      <w:pPr>
        <w:ind w:firstLine="880"/>
        <w:rPr>
          <w:rFonts w:eastAsia="微软雅黑" w:cs="Times New Roman"/>
          <w:b/>
          <w:bCs/>
          <w:sz w:val="44"/>
          <w:szCs w:val="44"/>
        </w:rPr>
      </w:pPr>
    </w:p>
    <w:p>
      <w:pPr>
        <w:ind w:firstLine="880"/>
        <w:rPr>
          <w:rFonts w:eastAsia="微软雅黑" w:cs="Times New Roman"/>
          <w:b/>
          <w:bCs/>
          <w:sz w:val="44"/>
          <w:szCs w:val="44"/>
        </w:rPr>
      </w:pPr>
    </w:p>
    <w:p>
      <w:pPr>
        <w:ind w:firstLine="880"/>
        <w:rPr>
          <w:rFonts w:eastAsia="微软雅黑" w:cs="Times New Roman"/>
          <w:b/>
          <w:bCs/>
          <w:sz w:val="44"/>
          <w:szCs w:val="44"/>
        </w:rPr>
      </w:pPr>
    </w:p>
    <w:p>
      <w:pPr>
        <w:ind w:firstLine="560"/>
        <w:rPr>
          <w:rFonts w:cs="Times New Roman"/>
          <w:szCs w:val="28"/>
        </w:rPr>
      </w:pPr>
    </w:p>
    <w:p>
      <w:pPr>
        <w:ind w:firstLine="560"/>
        <w:rPr>
          <w:rFonts w:cs="Times New Roman"/>
          <w:szCs w:val="28"/>
        </w:rPr>
      </w:pPr>
    </w:p>
    <w:p>
      <w:pPr>
        <w:ind w:firstLine="560"/>
        <w:rPr>
          <w:rFonts w:cs="Times New Roman"/>
          <w:szCs w:val="28"/>
        </w:rPr>
      </w:pPr>
    </w:p>
    <w:p>
      <w:pPr>
        <w:keepNext w:val="0"/>
        <w:keepLines w:val="0"/>
        <w:pageBreakBefore w:val="0"/>
        <w:kinsoku/>
        <w:wordWrap/>
        <w:overflowPunct/>
        <w:topLinePunct w:val="0"/>
        <w:autoSpaceDE/>
        <w:autoSpaceDN/>
        <w:bidi w:val="0"/>
        <w:spacing w:line="360" w:lineRule="auto"/>
        <w:ind w:firstLine="0" w:firstLineChars="0"/>
        <w:jc w:val="center"/>
        <w:outlineLvl w:val="0"/>
        <w:rPr>
          <w:rFonts w:hint="default" w:ascii="Times New Roman" w:hAnsi="Times New Roman" w:cs="Times New Roman"/>
          <w:b/>
          <w:bCs/>
          <w:color w:val="auto"/>
          <w:kern w:val="2"/>
          <w:sz w:val="32"/>
          <w:szCs w:val="32"/>
          <w:lang w:val="en-US" w:eastAsia="zh-CN" w:bidi="ar-SA"/>
        </w:rPr>
      </w:pPr>
      <w:r>
        <w:rPr>
          <w:rFonts w:hint="default" w:ascii="Times New Roman" w:hAnsi="Times New Roman" w:cs="Times New Roman"/>
          <w:b/>
          <w:bCs/>
          <w:snapToGrid/>
          <w:kern w:val="2"/>
          <w:sz w:val="32"/>
          <w:szCs w:val="32"/>
          <w:highlight w:val="none"/>
          <w:lang w:val="en-US" w:eastAsia="zh-CN"/>
        </w:rPr>
        <w:t xml:space="preserve"> </w:t>
      </w:r>
      <w:r>
        <w:rPr>
          <w:rFonts w:hint="eastAsia" w:ascii="Times New Roman" w:hAnsi="Times New Roman" w:cs="Times New Roman"/>
          <w:b/>
          <w:bCs/>
          <w:snapToGrid/>
          <w:kern w:val="2"/>
          <w:sz w:val="32"/>
          <w:szCs w:val="32"/>
          <w:highlight w:val="none"/>
          <w:lang w:val="en-US" w:eastAsia="zh-CN"/>
        </w:rPr>
        <w:t xml:space="preserve">  </w:t>
      </w:r>
      <w:r>
        <w:rPr>
          <w:rFonts w:hint="eastAsia" w:cs="Times New Roman"/>
          <w:b/>
          <w:bCs/>
          <w:snapToGrid/>
          <w:kern w:val="2"/>
          <w:sz w:val="32"/>
          <w:szCs w:val="32"/>
          <w:highlight w:val="none"/>
          <w:lang w:val="en-US" w:eastAsia="zh-CN"/>
        </w:rPr>
        <w:t xml:space="preserve"> </w:t>
      </w:r>
      <w:bookmarkStart w:id="9" w:name="_Toc12994"/>
      <w:bookmarkStart w:id="10" w:name="_Toc18858"/>
      <w:bookmarkStart w:id="11" w:name="_Toc22355"/>
      <w:bookmarkStart w:id="12" w:name="_Toc7648"/>
      <w:r>
        <w:rPr>
          <w:rFonts w:hint="eastAsia" w:cs="Times New Roman"/>
          <w:b/>
          <w:bCs/>
          <w:snapToGrid/>
          <w:kern w:val="2"/>
          <w:sz w:val="32"/>
          <w:szCs w:val="32"/>
          <w:highlight w:val="none"/>
          <w:lang w:val="en-US" w:eastAsia="zh-CN"/>
        </w:rPr>
        <w:t>委托</w:t>
      </w:r>
      <w:r>
        <w:rPr>
          <w:rFonts w:hint="eastAsia" w:ascii="Times New Roman" w:hAnsi="Times New Roman" w:cs="Times New Roman"/>
          <w:b/>
          <w:bCs/>
          <w:color w:val="auto"/>
          <w:kern w:val="2"/>
          <w:sz w:val="32"/>
          <w:szCs w:val="32"/>
          <w:lang w:val="en-US" w:eastAsia="zh-CN" w:bidi="ar-SA"/>
        </w:rPr>
        <w:t>单位：</w:t>
      </w:r>
      <w:r>
        <w:rPr>
          <w:rFonts w:hint="default" w:ascii="Times New Roman" w:hAnsi="Times New Roman" w:cs="Times New Roman"/>
          <w:b/>
          <w:bCs/>
          <w:color w:val="auto"/>
          <w:kern w:val="2"/>
          <w:sz w:val="32"/>
          <w:szCs w:val="32"/>
          <w:lang w:val="en-US" w:eastAsia="zh-CN" w:bidi="ar-SA"/>
        </w:rPr>
        <w:t>桃江县住房和城乡建设局</w:t>
      </w:r>
      <w:bookmarkEnd w:id="9"/>
      <w:bookmarkEnd w:id="10"/>
      <w:bookmarkEnd w:id="11"/>
      <w:bookmarkEnd w:id="12"/>
    </w:p>
    <w:p>
      <w:pPr>
        <w:ind w:firstLine="560"/>
        <w:jc w:val="center"/>
        <w:rPr>
          <w:rFonts w:cs="Times New Roman"/>
          <w:szCs w:val="28"/>
        </w:rPr>
      </w:pPr>
      <w:r>
        <w:rPr>
          <w:rFonts w:hint="default" w:ascii="Times New Roman" w:hAnsi="Times New Roman" w:cs="Times New Roman"/>
          <w:b/>
          <w:bCs/>
          <w:snapToGrid/>
          <w:kern w:val="2"/>
          <w:sz w:val="32"/>
          <w:szCs w:val="32"/>
          <w:highlight w:val="none"/>
          <w:lang w:eastAsia="zh-CN"/>
        </w:rPr>
        <w:t>编制单</w:t>
      </w:r>
      <w:r>
        <w:rPr>
          <w:rFonts w:hint="default" w:ascii="Times New Roman" w:hAnsi="Times New Roman" w:cs="Times New Roman"/>
          <w:b/>
          <w:bCs/>
          <w:snapToGrid/>
          <w:color w:val="auto"/>
          <w:kern w:val="2"/>
          <w:sz w:val="32"/>
          <w:szCs w:val="32"/>
          <w:lang w:val="en-US" w:eastAsia="zh-CN" w:bidi="ar-SA"/>
        </w:rPr>
        <w:t>位：</w:t>
      </w:r>
      <w:r>
        <w:rPr>
          <w:rFonts w:hint="default" w:ascii="Times New Roman" w:hAnsi="Times New Roman" w:cs="Times New Roman"/>
          <w:b/>
          <w:bCs/>
          <w:color w:val="auto"/>
          <w:kern w:val="2"/>
          <w:sz w:val="32"/>
          <w:szCs w:val="32"/>
          <w:lang w:val="en-US" w:eastAsia="zh-CN" w:bidi="ar-SA"/>
        </w:rPr>
        <w:t>中元天纬集团有限公司</w:t>
      </w:r>
    </w:p>
    <w:p>
      <w:pPr>
        <w:ind w:left="0" w:leftChars="0" w:firstLine="0" w:firstLineChars="0"/>
        <w:rPr>
          <w:rFonts w:cs="Times New Roman"/>
          <w:szCs w:val="28"/>
        </w:rPr>
      </w:pPr>
    </w:p>
    <w:p>
      <w:pPr>
        <w:jc w:val="center"/>
        <w:rPr>
          <w:rFonts w:hint="eastAsia" w:ascii="仿宋" w:hAnsi="仿宋" w:eastAsia="仿宋" w:cs="仿宋"/>
          <w:b/>
          <w:bCs/>
          <w:sz w:val="32"/>
          <w:szCs w:val="32"/>
        </w:rPr>
      </w:pPr>
      <w:r>
        <w:rPr>
          <w:rFonts w:hint="eastAsia" w:ascii="仿宋" w:hAnsi="仿宋" w:eastAsia="仿宋" w:cs="仿宋"/>
          <w:b/>
          <w:bCs/>
          <w:sz w:val="32"/>
          <w:szCs w:val="32"/>
        </w:rPr>
        <w:t>202</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12</w:t>
      </w:r>
      <w:r>
        <w:rPr>
          <w:rFonts w:hint="eastAsia" w:ascii="仿宋" w:hAnsi="仿宋" w:eastAsia="仿宋" w:cs="仿宋"/>
          <w:b/>
          <w:bCs/>
          <w:sz w:val="32"/>
          <w:szCs w:val="32"/>
        </w:rPr>
        <w:t>月</w:t>
      </w:r>
      <w:bookmarkStart w:id="13" w:name="OLE_LINK1"/>
      <w:bookmarkEnd w:id="13"/>
    </w:p>
    <w:p>
      <w:pPr>
        <w:ind w:firstLine="560"/>
        <w:rPr>
          <w:rFonts w:cs="Times New Roman"/>
          <w:szCs w:val="28"/>
        </w:rPr>
      </w:pPr>
    </w:p>
    <w:p>
      <w:pPr>
        <w:ind w:firstLine="560"/>
        <w:rPr>
          <w:rFonts w:cs="Times New Roman"/>
          <w:szCs w:val="28"/>
        </w:rPr>
      </w:pPr>
    </w:p>
    <w:p>
      <w:pPr>
        <w:keepNext w:val="0"/>
        <w:keepLines w:val="0"/>
        <w:pageBreakBefore w:val="0"/>
        <w:widowControl/>
        <w:kinsoku w:val="0"/>
        <w:wordWrap w:val="0"/>
        <w:overflowPunct/>
        <w:topLinePunct w:val="0"/>
        <w:autoSpaceDE w:val="0"/>
        <w:autoSpaceDN w:val="0"/>
        <w:bidi w:val="0"/>
        <w:adjustRightInd w:val="0"/>
        <w:snapToGrid w:val="0"/>
        <w:spacing w:before="115" w:after="120" w:line="600" w:lineRule="exact"/>
        <w:ind w:firstLine="0" w:firstLineChars="0"/>
        <w:jc w:val="center"/>
        <w:textAlignment w:val="baseline"/>
        <w:outlineLvl w:val="0"/>
        <w:rPr>
          <w:rFonts w:hint="eastAsia" w:ascii="Times New Roman" w:hAnsi="Times New Roman" w:eastAsia="楷体" w:cs="Times New Roman"/>
          <w:snapToGrid/>
          <w:color w:val="000000"/>
          <w:kern w:val="2"/>
          <w:sz w:val="35"/>
          <w:szCs w:val="35"/>
          <w:highlight w:val="none"/>
          <w:lang w:val="en-US" w:eastAsia="zh-CN" w:bidi="ar-SA"/>
        </w:rPr>
      </w:pPr>
      <w:bookmarkStart w:id="14" w:name="_Toc28778"/>
      <w:bookmarkStart w:id="15" w:name="_Toc31000"/>
      <w:bookmarkStart w:id="16" w:name="_Toc17708"/>
    </w:p>
    <w:p>
      <w:pPr>
        <w:keepNext w:val="0"/>
        <w:keepLines w:val="0"/>
        <w:pageBreakBefore w:val="0"/>
        <w:widowControl/>
        <w:kinsoku w:val="0"/>
        <w:wordWrap w:val="0"/>
        <w:overflowPunct/>
        <w:topLinePunct w:val="0"/>
        <w:autoSpaceDE w:val="0"/>
        <w:autoSpaceDN w:val="0"/>
        <w:bidi w:val="0"/>
        <w:adjustRightInd w:val="0"/>
        <w:snapToGrid w:val="0"/>
        <w:spacing w:before="115" w:after="120" w:line="600" w:lineRule="exact"/>
        <w:ind w:firstLine="0" w:firstLineChars="0"/>
        <w:jc w:val="center"/>
        <w:textAlignment w:val="baseline"/>
        <w:outlineLvl w:val="0"/>
        <w:rPr>
          <w:rFonts w:hint="eastAsia" w:ascii="Times New Roman" w:hAnsi="Times New Roman" w:eastAsia="楷体" w:cs="Times New Roman"/>
          <w:snapToGrid/>
          <w:color w:val="000000"/>
          <w:kern w:val="2"/>
          <w:sz w:val="35"/>
          <w:szCs w:val="35"/>
          <w:highlight w:val="none"/>
          <w:lang w:val="en-US" w:eastAsia="zh-CN" w:bidi="ar-SA"/>
        </w:rPr>
      </w:pPr>
    </w:p>
    <w:p>
      <w:pPr>
        <w:keepNext w:val="0"/>
        <w:keepLines w:val="0"/>
        <w:pageBreakBefore w:val="0"/>
        <w:widowControl/>
        <w:kinsoku w:val="0"/>
        <w:wordWrap w:val="0"/>
        <w:overflowPunct/>
        <w:topLinePunct w:val="0"/>
        <w:autoSpaceDE w:val="0"/>
        <w:autoSpaceDN w:val="0"/>
        <w:bidi w:val="0"/>
        <w:adjustRightInd w:val="0"/>
        <w:snapToGrid w:val="0"/>
        <w:spacing w:before="115" w:after="120" w:line="600" w:lineRule="exact"/>
        <w:ind w:firstLine="0" w:firstLineChars="0"/>
        <w:jc w:val="center"/>
        <w:textAlignment w:val="baseline"/>
        <w:outlineLvl w:val="0"/>
        <w:rPr>
          <w:rFonts w:hint="eastAsia" w:ascii="Times New Roman" w:hAnsi="Times New Roman" w:eastAsia="楷体" w:cs="Times New Roman"/>
          <w:snapToGrid/>
          <w:color w:val="000000"/>
          <w:kern w:val="2"/>
          <w:sz w:val="35"/>
          <w:szCs w:val="35"/>
          <w:highlight w:val="none"/>
          <w:lang w:val="en-US" w:eastAsia="zh-CN" w:bidi="ar-SA"/>
        </w:rPr>
      </w:pPr>
      <w:bookmarkStart w:id="17" w:name="_Toc18490"/>
      <w:bookmarkStart w:id="18" w:name="_Toc8264"/>
      <w:bookmarkStart w:id="19" w:name="_Toc12587"/>
      <w:bookmarkStart w:id="20" w:name="_Toc10290"/>
      <w:bookmarkStart w:id="21" w:name="OLE_LINK2"/>
      <w:r>
        <w:rPr>
          <w:rFonts w:hint="eastAsia" w:eastAsia="楷体" w:cs="Times New Roman"/>
          <w:snapToGrid/>
          <w:color w:val="000000"/>
          <w:kern w:val="2"/>
          <w:sz w:val="35"/>
          <w:szCs w:val="35"/>
          <w:highlight w:val="none"/>
          <w:lang w:val="en-US" w:eastAsia="zh-CN" w:bidi="ar-SA"/>
        </w:rPr>
        <w:t>桃江县建筑垃圾污染环境</w:t>
      </w:r>
      <w:r>
        <w:rPr>
          <w:rFonts w:hint="eastAsia" w:ascii="Times New Roman" w:hAnsi="Times New Roman" w:eastAsia="楷体" w:cs="Times New Roman"/>
          <w:snapToGrid/>
          <w:color w:val="000000"/>
          <w:kern w:val="2"/>
          <w:sz w:val="35"/>
          <w:szCs w:val="35"/>
          <w:highlight w:val="none"/>
          <w:lang w:val="en-US" w:eastAsia="zh-CN" w:bidi="ar-SA"/>
        </w:rPr>
        <w:t>防治</w:t>
      </w:r>
      <w:bookmarkEnd w:id="17"/>
      <w:bookmarkEnd w:id="18"/>
      <w:bookmarkEnd w:id="19"/>
      <w:bookmarkEnd w:id="20"/>
    </w:p>
    <w:p>
      <w:pPr>
        <w:keepNext w:val="0"/>
        <w:keepLines w:val="0"/>
        <w:pageBreakBefore w:val="0"/>
        <w:widowControl/>
        <w:kinsoku w:val="0"/>
        <w:wordWrap w:val="0"/>
        <w:overflowPunct/>
        <w:topLinePunct w:val="0"/>
        <w:autoSpaceDE w:val="0"/>
        <w:autoSpaceDN w:val="0"/>
        <w:bidi w:val="0"/>
        <w:adjustRightInd w:val="0"/>
        <w:snapToGrid w:val="0"/>
        <w:spacing w:before="115" w:after="120" w:line="600" w:lineRule="exact"/>
        <w:ind w:firstLine="0" w:firstLineChars="0"/>
        <w:jc w:val="center"/>
        <w:textAlignment w:val="baseline"/>
        <w:outlineLvl w:val="0"/>
        <w:rPr>
          <w:rFonts w:hint="default" w:ascii="Times New Roman" w:hAnsi="Times New Roman" w:eastAsia="楷体" w:cs="Times New Roman"/>
          <w:b/>
          <w:bCs/>
          <w:snapToGrid w:val="0"/>
          <w:color w:val="000000"/>
          <w:spacing w:val="19"/>
          <w:kern w:val="0"/>
          <w:sz w:val="35"/>
          <w:szCs w:val="35"/>
          <w:highlight w:val="none"/>
          <w:lang w:val="en-US" w:eastAsia="zh-CN"/>
        </w:rPr>
      </w:pPr>
      <w:bookmarkStart w:id="22" w:name="_Toc3965"/>
      <w:bookmarkStart w:id="23" w:name="_Toc7946"/>
      <w:bookmarkStart w:id="24" w:name="_Toc2993"/>
      <w:bookmarkStart w:id="25" w:name="_Toc1187"/>
      <w:r>
        <w:rPr>
          <w:rFonts w:hint="eastAsia" w:ascii="Times New Roman" w:hAnsi="Times New Roman" w:eastAsia="楷体" w:cs="Times New Roman"/>
          <w:snapToGrid/>
          <w:color w:val="000000"/>
          <w:kern w:val="2"/>
          <w:sz w:val="35"/>
          <w:szCs w:val="35"/>
          <w:highlight w:val="none"/>
          <w:lang w:val="en-US" w:eastAsia="zh-CN" w:bidi="ar-SA"/>
        </w:rPr>
        <w:t>工作规划</w:t>
      </w:r>
      <w:bookmarkEnd w:id="14"/>
      <w:bookmarkEnd w:id="15"/>
      <w:bookmarkEnd w:id="16"/>
      <w:bookmarkEnd w:id="22"/>
      <w:bookmarkEnd w:id="23"/>
      <w:bookmarkEnd w:id="24"/>
      <w:bookmarkEnd w:id="25"/>
    </w:p>
    <w:bookmarkEnd w:id="21"/>
    <w:p>
      <w:pPr>
        <w:keepNext w:val="0"/>
        <w:keepLines w:val="0"/>
        <w:pageBreakBefore w:val="0"/>
        <w:widowControl/>
        <w:kinsoku w:val="0"/>
        <w:wordWrap w:val="0"/>
        <w:overflowPunct/>
        <w:topLinePunct w:val="0"/>
        <w:autoSpaceDE w:val="0"/>
        <w:autoSpaceDN w:val="0"/>
        <w:bidi w:val="0"/>
        <w:adjustRightInd w:val="0"/>
        <w:snapToGrid w:val="0"/>
        <w:spacing w:before="115" w:after="120" w:line="600" w:lineRule="exact"/>
        <w:ind w:firstLine="0" w:firstLineChars="0"/>
        <w:jc w:val="center"/>
        <w:textAlignment w:val="baseline"/>
        <w:outlineLvl w:val="9"/>
        <w:rPr>
          <w:rFonts w:hint="default" w:ascii="Times New Roman" w:hAnsi="Times New Roman" w:eastAsia="楷体" w:cs="Times New Roman"/>
          <w:b/>
          <w:bCs/>
          <w:snapToGrid w:val="0"/>
          <w:color w:val="000000"/>
          <w:spacing w:val="19"/>
          <w:kern w:val="0"/>
          <w:sz w:val="35"/>
          <w:szCs w:val="35"/>
          <w:highlight w:val="none"/>
          <w:lang w:val="en-US" w:eastAsia="zh-CN"/>
        </w:rPr>
      </w:pPr>
    </w:p>
    <w:p>
      <w:pPr>
        <w:pageBreakBefore w:val="0"/>
        <w:widowControl/>
        <w:kinsoku w:val="0"/>
        <w:wordWrap w:val="0"/>
        <w:overflowPunct/>
        <w:autoSpaceDE w:val="0"/>
        <w:autoSpaceDN w:val="0"/>
        <w:bidi w:val="0"/>
        <w:adjustRightInd w:val="0"/>
        <w:snapToGrid w:val="0"/>
        <w:spacing w:before="88" w:after="120" w:line="220" w:lineRule="auto"/>
        <w:ind w:left="3419" w:firstLine="0" w:firstLineChars="0"/>
        <w:textAlignment w:val="baseline"/>
        <w:rPr>
          <w:rFonts w:hint="default" w:ascii="Times New Roman" w:hAnsi="Times New Roman" w:eastAsia="仿宋" w:cs="Times New Roman"/>
          <w:b/>
          <w:bCs/>
          <w:snapToGrid w:val="0"/>
          <w:color w:val="000000"/>
          <w:kern w:val="0"/>
          <w:sz w:val="28"/>
          <w:szCs w:val="28"/>
          <w:highlight w:val="none"/>
          <w:lang w:val="en-US" w:eastAsia="zh-CN"/>
        </w:rPr>
      </w:pPr>
      <w:r>
        <w:rPr>
          <w:rFonts w:hint="default" w:ascii="Times New Roman" w:hAnsi="Times New Roman" w:eastAsia="仿宋" w:cs="Times New Roman"/>
          <w:b/>
          <w:bCs/>
          <w:snapToGrid w:val="0"/>
          <w:color w:val="000000"/>
          <w:spacing w:val="1"/>
          <w:kern w:val="0"/>
          <w:sz w:val="28"/>
          <w:szCs w:val="28"/>
          <w:highlight w:val="none"/>
          <w:lang w:val="en-US" w:eastAsia="zh-CN"/>
        </w:rPr>
        <w:t>设计</w:t>
      </w:r>
      <w:r>
        <w:rPr>
          <w:rFonts w:hint="default" w:ascii="Times New Roman" w:hAnsi="Times New Roman" w:eastAsia="仿宋" w:cs="Times New Roman"/>
          <w:b/>
          <w:bCs/>
          <w:snapToGrid w:val="0"/>
          <w:color w:val="000000"/>
          <w:spacing w:val="1"/>
          <w:kern w:val="0"/>
          <w:sz w:val="28"/>
          <w:szCs w:val="28"/>
          <w:highlight w:val="none"/>
          <w:lang w:eastAsia="en-US"/>
        </w:rPr>
        <w:t>号：202</w:t>
      </w:r>
      <w:r>
        <w:rPr>
          <w:rFonts w:hint="default" w:ascii="Times New Roman" w:hAnsi="Times New Roman" w:eastAsia="仿宋" w:cs="Times New Roman"/>
          <w:b/>
          <w:bCs/>
          <w:snapToGrid w:val="0"/>
          <w:color w:val="000000"/>
          <w:spacing w:val="1"/>
          <w:kern w:val="0"/>
          <w:sz w:val="28"/>
          <w:szCs w:val="28"/>
          <w:highlight w:val="none"/>
          <w:lang w:val="en-US" w:eastAsia="zh-CN"/>
        </w:rPr>
        <w:t>5</w:t>
      </w:r>
      <w:r>
        <w:rPr>
          <w:rFonts w:hint="default" w:ascii="Times New Roman" w:hAnsi="Times New Roman" w:eastAsia="仿宋" w:cs="Times New Roman"/>
          <w:b/>
          <w:bCs/>
          <w:snapToGrid w:val="0"/>
          <w:color w:val="000000"/>
          <w:spacing w:val="1"/>
          <w:kern w:val="0"/>
          <w:sz w:val="28"/>
          <w:szCs w:val="28"/>
          <w:highlight w:val="none"/>
          <w:lang w:eastAsia="en-US"/>
        </w:rPr>
        <w:t>-</w:t>
      </w:r>
      <w:r>
        <w:rPr>
          <w:rFonts w:hint="default" w:ascii="Times New Roman" w:hAnsi="Times New Roman" w:eastAsia="仿宋" w:cs="Times New Roman"/>
          <w:b/>
          <w:bCs/>
          <w:snapToGrid w:val="0"/>
          <w:color w:val="000000"/>
          <w:spacing w:val="1"/>
          <w:kern w:val="0"/>
          <w:sz w:val="28"/>
          <w:szCs w:val="28"/>
          <w:highlight w:val="none"/>
          <w:lang w:val="en-US" w:eastAsia="zh-CN"/>
        </w:rPr>
        <w:t>008</w:t>
      </w:r>
    </w:p>
    <w:p>
      <w:pPr>
        <w:pageBreakBefore w:val="0"/>
        <w:widowControl/>
        <w:kinsoku w:val="0"/>
        <w:wordWrap w:val="0"/>
        <w:overflowPunct/>
        <w:autoSpaceDE w:val="0"/>
        <w:autoSpaceDN w:val="0"/>
        <w:bidi w:val="0"/>
        <w:adjustRightInd w:val="0"/>
        <w:snapToGrid w:val="0"/>
        <w:spacing w:before="120" w:after="120" w:line="360" w:lineRule="auto"/>
        <w:ind w:firstLine="1960" w:firstLineChars="700"/>
        <w:textAlignment w:val="baseline"/>
        <w:rPr>
          <w:rFonts w:hint="eastAsia" w:ascii="仿宋" w:hAnsi="仿宋" w:eastAsia="仿宋" w:cs="仿宋"/>
          <w:snapToGrid w:val="0"/>
          <w:color w:val="000000"/>
          <w:kern w:val="0"/>
          <w:sz w:val="28"/>
          <w:szCs w:val="28"/>
          <w:highlight w:val="none"/>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560" w:firstLineChars="200"/>
        <w:textAlignment w:val="baseline"/>
        <w:rPr>
          <w:rFonts w:hint="eastAsia" w:ascii="仿宋" w:hAnsi="仿宋" w:eastAsia="仿宋" w:cs="仿宋"/>
          <w:snapToGrid w:val="0"/>
          <w:color w:val="000000"/>
          <w:kern w:val="0"/>
          <w:sz w:val="28"/>
          <w:szCs w:val="28"/>
          <w:lang w:val="en-US" w:eastAsia="zh-CN"/>
        </w:rPr>
      </w:pPr>
      <w:bookmarkStart w:id="26" w:name="OLE_LINK47"/>
    </w:p>
    <w:bookmarkEnd w:id="26"/>
    <w:p>
      <w:pPr>
        <w:spacing w:line="360" w:lineRule="auto"/>
        <w:ind w:firstLine="560" w:firstLineChars="200"/>
        <w:jc w:val="center"/>
        <w:rPr>
          <w:rFonts w:hint="default" w:ascii="仿宋" w:hAnsi="仿宋" w:eastAsia="仿宋" w:cs="仿宋"/>
          <w:szCs w:val="21"/>
          <w:highlight w:val="none"/>
          <w:lang w:val="en-US" w:eastAsia="zh-CN"/>
        </w:rPr>
      </w:pPr>
      <w:bookmarkStart w:id="27" w:name="OLE_LINK44"/>
      <w:r>
        <w:rPr>
          <w:rFonts w:hint="eastAsia" w:ascii="仿宋" w:hAnsi="仿宋" w:eastAsia="仿宋" w:cs="仿宋"/>
          <w:szCs w:val="21"/>
          <w:highlight w:val="none"/>
        </w:rPr>
        <w:t>规划资质证书：乙级  证书编号：</w:t>
      </w:r>
      <w:r>
        <w:rPr>
          <w:rFonts w:hint="eastAsia" w:ascii="仿宋" w:hAnsi="仿宋" w:cs="仿宋"/>
          <w:szCs w:val="21"/>
          <w:highlight w:val="none"/>
          <w:lang w:eastAsia="zh-CN"/>
        </w:rPr>
        <w:t>黔</w:t>
      </w:r>
      <w:r>
        <w:rPr>
          <w:rFonts w:hint="eastAsia" w:ascii="仿宋" w:hAnsi="仿宋" w:eastAsia="仿宋" w:cs="仿宋"/>
          <w:szCs w:val="21"/>
          <w:highlight w:val="none"/>
        </w:rPr>
        <w:t>自资规乙字</w:t>
      </w:r>
      <w:r>
        <w:rPr>
          <w:rFonts w:hint="eastAsia" w:ascii="仿宋" w:hAnsi="仿宋" w:cs="仿宋"/>
          <w:szCs w:val="21"/>
          <w:highlight w:val="none"/>
          <w:lang w:val="en-US" w:eastAsia="zh-CN"/>
        </w:rPr>
        <w:t>24520036</w:t>
      </w:r>
    </w:p>
    <w:p>
      <w:pPr>
        <w:keepNext w:val="0"/>
        <w:keepLines w:val="0"/>
        <w:pageBreakBefore w:val="0"/>
        <w:kinsoku/>
        <w:wordWrap/>
        <w:overflowPunct/>
        <w:topLinePunct w:val="0"/>
        <w:autoSpaceDE/>
        <w:autoSpaceDN/>
        <w:bidi w:val="0"/>
        <w:spacing w:line="360" w:lineRule="auto"/>
        <w:ind w:firstLine="0" w:firstLineChars="0"/>
        <w:jc w:val="center"/>
        <w:rPr>
          <w:rFonts w:hint="eastAsia" w:ascii="仿宋" w:hAnsi="仿宋" w:eastAsia="仿宋" w:cs="仿宋"/>
          <w:sz w:val="28"/>
          <w:szCs w:val="28"/>
          <w:highlight w:val="none"/>
        </w:rPr>
      </w:pPr>
    </w:p>
    <w:p>
      <w:pPr>
        <w:keepNext w:val="0"/>
        <w:keepLines w:val="0"/>
        <w:pageBreakBefore w:val="0"/>
        <w:kinsoku/>
        <w:wordWrap/>
        <w:overflowPunct/>
        <w:topLinePunct w:val="0"/>
        <w:autoSpaceDE/>
        <w:autoSpaceDN/>
        <w:bidi w:val="0"/>
        <w:spacing w:line="360" w:lineRule="auto"/>
        <w:ind w:firstLine="0" w:firstLineChars="0"/>
        <w:jc w:val="center"/>
        <w:rPr>
          <w:rFonts w:hint="default" w:ascii="Times New Roman" w:hAnsi="Times New Roman" w:eastAsia="仿宋" w:cs="Times New Roman"/>
          <w:sz w:val="30"/>
          <w:szCs w:val="30"/>
          <w:highlight w:val="none"/>
        </w:rPr>
      </w:pPr>
    </w:p>
    <w:p>
      <w:pPr>
        <w:keepNext w:val="0"/>
        <w:keepLines w:val="0"/>
        <w:pageBreakBefore w:val="0"/>
        <w:kinsoku/>
        <w:wordWrap/>
        <w:overflowPunct/>
        <w:topLinePunct w:val="0"/>
        <w:autoSpaceDE/>
        <w:autoSpaceDN/>
        <w:bidi w:val="0"/>
        <w:spacing w:line="360" w:lineRule="auto"/>
        <w:ind w:firstLine="1200" w:firstLineChars="400"/>
        <w:rPr>
          <w:rFonts w:hint="default" w:ascii="Times New Roman" w:hAnsi="Times New Roman" w:eastAsia="仿宋" w:cs="Times New Roman"/>
          <w:sz w:val="30"/>
          <w:szCs w:val="30"/>
          <w:highlight w:val="none"/>
          <w:lang w:eastAsia="zh-CN"/>
        </w:rPr>
      </w:pPr>
      <w:r>
        <w:rPr>
          <w:rFonts w:hint="default" w:ascii="Times New Roman" w:hAnsi="Times New Roman" w:eastAsia="仿宋" w:cs="Times New Roman"/>
          <w:sz w:val="30"/>
          <w:szCs w:val="30"/>
          <w:highlight w:val="none"/>
        </w:rPr>
        <w:t xml:space="preserve">  院      长：王</w:t>
      </w:r>
      <w:r>
        <w:rPr>
          <w:rFonts w:hint="eastAsia" w:ascii="Times New Roman" w:hAnsi="Times New Roman" w:cs="Times New Roman"/>
          <w:sz w:val="30"/>
          <w:szCs w:val="30"/>
          <w:highlight w:val="none"/>
          <w:lang w:eastAsia="zh-CN"/>
        </w:rPr>
        <w:t>忠云</w:t>
      </w:r>
      <w:r>
        <w:rPr>
          <w:rFonts w:hint="default" w:ascii="Times New Roman" w:hAnsi="Times New Roman" w:eastAsia="仿宋" w:cs="Times New Roman"/>
          <w:sz w:val="30"/>
          <w:szCs w:val="30"/>
          <w:highlight w:val="none"/>
        </w:rPr>
        <w:t xml:space="preserve">    工    程    师</w:t>
      </w:r>
    </w:p>
    <w:p>
      <w:pPr>
        <w:keepNext w:val="0"/>
        <w:keepLines w:val="0"/>
        <w:pageBreakBefore w:val="0"/>
        <w:kinsoku/>
        <w:wordWrap/>
        <w:overflowPunct/>
        <w:topLinePunct w:val="0"/>
        <w:autoSpaceDE/>
        <w:autoSpaceDN/>
        <w:bidi w:val="0"/>
        <w:spacing w:line="360" w:lineRule="auto"/>
        <w:ind w:firstLine="1200" w:firstLineChars="4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  项目负责人：</w:t>
      </w:r>
      <w:r>
        <w:rPr>
          <w:rFonts w:hint="eastAsia" w:ascii="Times New Roman" w:hAnsi="Times New Roman" w:cs="Times New Roman"/>
          <w:sz w:val="30"/>
          <w:szCs w:val="30"/>
          <w:highlight w:val="none"/>
          <w:lang w:eastAsia="zh-CN"/>
        </w:rPr>
        <w:t>刘黎明</w:t>
      </w:r>
      <w:r>
        <w:rPr>
          <w:rFonts w:hint="default" w:ascii="Times New Roman" w:hAnsi="Times New Roman" w:cs="Times New Roman"/>
          <w:sz w:val="30"/>
          <w:szCs w:val="30"/>
          <w:highlight w:val="none"/>
          <w:lang w:eastAsia="zh-CN"/>
        </w:rPr>
        <w:t xml:space="preserve">  </w:t>
      </w:r>
      <w:r>
        <w:rPr>
          <w:rFonts w:hint="default" w:ascii="Times New Roman" w:hAnsi="Times New Roman" w:cs="Times New Roman"/>
          <w:sz w:val="30"/>
          <w:szCs w:val="30"/>
          <w:highlight w:val="none"/>
          <w:lang w:val="en-US" w:eastAsia="zh-CN"/>
        </w:rPr>
        <w:t xml:space="preserve">  </w:t>
      </w:r>
      <w:r>
        <w:rPr>
          <w:rFonts w:hint="default" w:ascii="Times New Roman" w:hAnsi="Times New Roman" w:cs="Times New Roman"/>
          <w:sz w:val="30"/>
          <w:szCs w:val="30"/>
          <w:highlight w:val="none"/>
          <w:lang w:eastAsia="zh-CN"/>
        </w:rPr>
        <w:t>注</w:t>
      </w:r>
      <w:r>
        <w:rPr>
          <w:rFonts w:hint="default" w:ascii="Times New Roman" w:hAnsi="Times New Roman" w:cs="Times New Roman"/>
          <w:sz w:val="30"/>
          <w:szCs w:val="30"/>
          <w:highlight w:val="none"/>
          <w:lang w:val="en-US" w:eastAsia="zh-CN"/>
        </w:rPr>
        <w:t xml:space="preserve"> </w:t>
      </w:r>
      <w:r>
        <w:rPr>
          <w:rFonts w:hint="default" w:ascii="Times New Roman" w:hAnsi="Times New Roman" w:cs="Times New Roman"/>
          <w:sz w:val="30"/>
          <w:szCs w:val="30"/>
          <w:highlight w:val="none"/>
          <w:lang w:eastAsia="zh-CN"/>
        </w:rPr>
        <w:t>册</w:t>
      </w:r>
      <w:r>
        <w:rPr>
          <w:rFonts w:hint="default" w:ascii="Times New Roman" w:hAnsi="Times New Roman" w:cs="Times New Roman"/>
          <w:sz w:val="30"/>
          <w:szCs w:val="30"/>
          <w:highlight w:val="none"/>
          <w:lang w:val="en-US" w:eastAsia="zh-CN"/>
        </w:rPr>
        <w:t xml:space="preserve"> </w:t>
      </w:r>
      <w:r>
        <w:rPr>
          <w:rFonts w:hint="default" w:ascii="Times New Roman" w:hAnsi="Times New Roman" w:cs="Times New Roman"/>
          <w:sz w:val="30"/>
          <w:szCs w:val="30"/>
          <w:highlight w:val="none"/>
          <w:lang w:eastAsia="zh-CN"/>
        </w:rPr>
        <w:t>咨</w:t>
      </w:r>
      <w:r>
        <w:rPr>
          <w:rFonts w:hint="default" w:ascii="Times New Roman" w:hAnsi="Times New Roman" w:cs="Times New Roman"/>
          <w:sz w:val="30"/>
          <w:szCs w:val="30"/>
          <w:highlight w:val="none"/>
          <w:lang w:val="en-US" w:eastAsia="zh-CN"/>
        </w:rPr>
        <w:t xml:space="preserve"> </w:t>
      </w:r>
      <w:r>
        <w:rPr>
          <w:rFonts w:hint="default" w:ascii="Times New Roman" w:hAnsi="Times New Roman" w:cs="Times New Roman"/>
          <w:sz w:val="30"/>
          <w:szCs w:val="30"/>
          <w:highlight w:val="none"/>
          <w:lang w:eastAsia="zh-CN"/>
        </w:rPr>
        <w:t>询</w:t>
      </w:r>
      <w:r>
        <w:rPr>
          <w:rFonts w:hint="default" w:ascii="Times New Roman" w:hAnsi="Times New Roman" w:cs="Times New Roman"/>
          <w:sz w:val="30"/>
          <w:szCs w:val="30"/>
          <w:highlight w:val="none"/>
          <w:lang w:val="en-US" w:eastAsia="zh-CN"/>
        </w:rPr>
        <w:t xml:space="preserve"> </w:t>
      </w:r>
      <w:r>
        <w:rPr>
          <w:rFonts w:hint="default" w:ascii="Times New Roman" w:hAnsi="Times New Roman" w:cs="Times New Roman"/>
          <w:sz w:val="30"/>
          <w:szCs w:val="30"/>
          <w:highlight w:val="none"/>
          <w:lang w:eastAsia="zh-CN"/>
        </w:rPr>
        <w:t>师</w:t>
      </w:r>
    </w:p>
    <w:p>
      <w:pPr>
        <w:keepNext w:val="0"/>
        <w:keepLines w:val="0"/>
        <w:pageBreakBefore w:val="0"/>
        <w:kinsoku/>
        <w:wordWrap/>
        <w:overflowPunct/>
        <w:topLinePunct w:val="0"/>
        <w:autoSpaceDE/>
        <w:autoSpaceDN/>
        <w:bidi w:val="0"/>
        <w:spacing w:line="360" w:lineRule="auto"/>
        <w:ind w:firstLine="1200" w:firstLineChars="400"/>
        <w:outlineLvl w:val="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  </w:t>
      </w:r>
      <w:bookmarkStart w:id="28" w:name="_Toc10201"/>
      <w:bookmarkStart w:id="29" w:name="_Toc6538"/>
      <w:bookmarkStart w:id="30" w:name="_Toc29456"/>
      <w:bookmarkStart w:id="31" w:name="_Toc194"/>
      <w:r>
        <w:rPr>
          <w:rFonts w:hint="default" w:ascii="Times New Roman" w:hAnsi="Times New Roman" w:eastAsia="仿宋" w:cs="Times New Roman"/>
          <w:sz w:val="30"/>
          <w:szCs w:val="30"/>
          <w:highlight w:val="none"/>
        </w:rPr>
        <w:t>项目组成员：</w:t>
      </w:r>
      <w:r>
        <w:rPr>
          <w:rFonts w:hint="eastAsia" w:ascii="Times New Roman" w:hAnsi="Times New Roman" w:cs="Times New Roman"/>
          <w:sz w:val="30"/>
          <w:szCs w:val="30"/>
          <w:highlight w:val="none"/>
          <w:lang w:eastAsia="zh-CN"/>
        </w:rPr>
        <w:t>李</w:t>
      </w:r>
      <w:r>
        <w:rPr>
          <w:rFonts w:hint="eastAsia" w:ascii="Times New Roman" w:hAnsi="Times New Roman" w:cs="Times New Roman"/>
          <w:sz w:val="30"/>
          <w:szCs w:val="30"/>
          <w:highlight w:val="none"/>
          <w:lang w:val="en-US" w:eastAsia="zh-CN"/>
        </w:rPr>
        <w:t xml:space="preserve">  </w:t>
      </w:r>
      <w:r>
        <w:rPr>
          <w:rFonts w:hint="eastAsia" w:ascii="Times New Roman" w:hAnsi="Times New Roman" w:cs="Times New Roman"/>
          <w:sz w:val="30"/>
          <w:szCs w:val="30"/>
          <w:highlight w:val="none"/>
          <w:lang w:eastAsia="zh-CN"/>
        </w:rPr>
        <w:t>旭</w:t>
      </w:r>
      <w:r>
        <w:rPr>
          <w:rFonts w:hint="default" w:ascii="Times New Roman" w:hAnsi="Times New Roman" w:eastAsia="仿宋" w:cs="Times New Roman"/>
          <w:sz w:val="30"/>
          <w:szCs w:val="30"/>
          <w:highlight w:val="none"/>
        </w:rPr>
        <w:t xml:space="preserve">    </w:t>
      </w:r>
      <w:r>
        <w:rPr>
          <w:rFonts w:hint="default" w:ascii="Times New Roman" w:hAnsi="Times New Roman" w:cs="Times New Roman"/>
          <w:sz w:val="30"/>
          <w:szCs w:val="30"/>
          <w:highlight w:val="none"/>
          <w:lang w:eastAsia="zh-CN"/>
        </w:rPr>
        <w:t>注册城乡规划师</w:t>
      </w:r>
      <w:bookmarkEnd w:id="28"/>
      <w:bookmarkEnd w:id="29"/>
      <w:bookmarkEnd w:id="30"/>
      <w:bookmarkEnd w:id="31"/>
    </w:p>
    <w:p>
      <w:pPr>
        <w:widowControl/>
        <w:adjustRightInd w:val="0"/>
        <w:snapToGrid w:val="0"/>
        <w:spacing w:after="120" w:line="240" w:lineRule="auto"/>
        <w:ind w:left="902" w:firstLine="560"/>
        <w:jc w:val="left"/>
        <w:textAlignment w:val="baseline"/>
        <w:rPr>
          <w:rFonts w:hint="default" w:ascii="Times New Roman" w:hAnsi="Times New Roman" w:eastAsia="仿宋" w:cs="Times New Roman"/>
          <w:kern w:val="2"/>
          <w:sz w:val="30"/>
          <w:szCs w:val="30"/>
          <w:highlight w:val="none"/>
          <w:lang w:val="en-US" w:eastAsia="zh-CN" w:bidi="ar-SA"/>
        </w:rPr>
      </w:pPr>
      <w:r>
        <w:rPr>
          <w:rFonts w:hint="default" w:ascii="Times New Roman" w:hAnsi="Times New Roman" w:eastAsia="仿宋" w:cs="Times New Roman"/>
          <w:kern w:val="0"/>
          <w:sz w:val="30"/>
          <w:szCs w:val="30"/>
          <w:highlight w:val="none"/>
          <w:lang w:val="en-US" w:eastAsia="zh-CN" w:bidi="ar-SA"/>
        </w:rPr>
        <w:t xml:space="preserve">            </w:t>
      </w:r>
      <w:r>
        <w:rPr>
          <w:rFonts w:hint="eastAsia" w:ascii="Times New Roman" w:hAnsi="Times New Roman" w:eastAsia="仿宋" w:cs="Times New Roman"/>
          <w:kern w:val="0"/>
          <w:sz w:val="30"/>
          <w:szCs w:val="30"/>
          <w:highlight w:val="none"/>
          <w:lang w:val="en-US" w:eastAsia="zh-CN" w:bidi="ar-SA"/>
        </w:rPr>
        <w:t>周  亮</w:t>
      </w:r>
      <w:r>
        <w:rPr>
          <w:rFonts w:hint="default" w:ascii="Times New Roman" w:hAnsi="Times New Roman" w:eastAsia="仿宋" w:cs="Times New Roman"/>
          <w:kern w:val="2"/>
          <w:sz w:val="30"/>
          <w:szCs w:val="30"/>
          <w:highlight w:val="none"/>
          <w:lang w:val="en-US" w:eastAsia="zh-CN" w:bidi="ar-SA"/>
        </w:rPr>
        <w:t xml:space="preserve">    注册城乡规划师</w:t>
      </w:r>
    </w:p>
    <w:p>
      <w:pPr>
        <w:widowControl/>
        <w:adjustRightInd w:val="0"/>
        <w:snapToGrid w:val="0"/>
        <w:spacing w:after="120" w:line="240" w:lineRule="auto"/>
        <w:ind w:left="902" w:firstLine="560"/>
        <w:jc w:val="left"/>
        <w:textAlignment w:val="baseline"/>
        <w:rPr>
          <w:rFonts w:hint="default" w:ascii="Times New Roman" w:hAnsi="Times New Roman" w:eastAsia="仿宋" w:cs="Times New Roman"/>
          <w:kern w:val="0"/>
          <w:sz w:val="30"/>
          <w:szCs w:val="30"/>
          <w:lang w:val="en-US" w:eastAsia="zh-CN" w:bidi="ar-SA"/>
        </w:rPr>
      </w:pPr>
      <w:r>
        <w:rPr>
          <w:rFonts w:hint="default" w:ascii="Times New Roman" w:hAnsi="Times New Roman" w:eastAsia="仿宋" w:cs="Times New Roman"/>
          <w:kern w:val="0"/>
          <w:sz w:val="30"/>
          <w:szCs w:val="30"/>
          <w:highlight w:val="none"/>
          <w:lang w:val="en-US" w:eastAsia="zh-CN" w:bidi="ar-SA"/>
        </w:rPr>
        <w:t xml:space="preserve"> </w:t>
      </w:r>
    </w:p>
    <w:p>
      <w:pPr>
        <w:keepNext w:val="0"/>
        <w:keepLines w:val="0"/>
        <w:pageBreakBefore w:val="0"/>
        <w:kinsoku/>
        <w:wordWrap/>
        <w:overflowPunct/>
        <w:topLinePunct w:val="0"/>
        <w:autoSpaceDE/>
        <w:autoSpaceDN/>
        <w:bidi w:val="0"/>
        <w:spacing w:line="360" w:lineRule="auto"/>
        <w:ind w:firstLine="0" w:firstLineChars="0"/>
        <w:jc w:val="center"/>
        <w:rPr>
          <w:rFonts w:hint="default" w:ascii="Times New Roman" w:hAnsi="Times New Roman" w:eastAsia="仿宋" w:cs="Times New Roman"/>
          <w:sz w:val="30"/>
          <w:szCs w:val="30"/>
        </w:rPr>
      </w:pPr>
    </w:p>
    <w:p>
      <w:pPr>
        <w:keepNext w:val="0"/>
        <w:keepLines w:val="0"/>
        <w:pageBreakBefore w:val="0"/>
        <w:kinsoku/>
        <w:wordWrap/>
        <w:overflowPunct/>
        <w:topLinePunct w:val="0"/>
        <w:autoSpaceDE/>
        <w:autoSpaceDN/>
        <w:bidi w:val="0"/>
        <w:spacing w:line="360" w:lineRule="auto"/>
        <w:ind w:firstLine="0" w:firstLineChars="0"/>
        <w:jc w:val="center"/>
        <w:rPr>
          <w:rFonts w:hint="default" w:ascii="Times New Roman" w:hAnsi="Times New Roman" w:eastAsia="仿宋" w:cs="Times New Roman"/>
          <w:sz w:val="30"/>
          <w:szCs w:val="30"/>
        </w:rPr>
      </w:pPr>
    </w:p>
    <w:p>
      <w:pPr>
        <w:keepNext w:val="0"/>
        <w:keepLines w:val="0"/>
        <w:pageBreakBefore w:val="0"/>
        <w:kinsoku/>
        <w:wordWrap/>
        <w:overflowPunct/>
        <w:topLinePunct w:val="0"/>
        <w:autoSpaceDE/>
        <w:autoSpaceDN/>
        <w:bidi w:val="0"/>
        <w:spacing w:line="360" w:lineRule="auto"/>
        <w:ind w:firstLine="0" w:firstLineChars="0"/>
        <w:jc w:val="center"/>
        <w:outlineLvl w:val="0"/>
        <w:rPr>
          <w:rFonts w:hint="default" w:ascii="Times New Roman" w:hAnsi="Times New Roman" w:eastAsia="仿宋" w:cs="Times New Roman"/>
          <w:i w:val="0"/>
          <w:iCs w:val="0"/>
          <w:sz w:val="30"/>
          <w:szCs w:val="30"/>
          <w:shd w:val="clear" w:color="auto" w:fill="FFFFFF"/>
        </w:rPr>
      </w:pPr>
      <w:bookmarkStart w:id="32" w:name="_Toc8252"/>
      <w:bookmarkStart w:id="33" w:name="_Toc25888"/>
      <w:bookmarkStart w:id="34" w:name="_Toc12181"/>
      <w:bookmarkStart w:id="35" w:name="_Toc12750"/>
      <w:bookmarkStart w:id="36" w:name="_Toc11764"/>
      <w:bookmarkStart w:id="37" w:name="_Toc15809"/>
      <w:bookmarkStart w:id="38" w:name="_Toc23027"/>
      <w:bookmarkStart w:id="39" w:name="_Toc21880"/>
      <w:bookmarkStart w:id="40" w:name="_Toc10603"/>
      <w:bookmarkStart w:id="41" w:name="_Toc32765"/>
      <w:bookmarkStart w:id="42" w:name="_Toc19685"/>
      <w:bookmarkStart w:id="43" w:name="_Toc32563"/>
      <w:bookmarkStart w:id="44" w:name="_Toc489"/>
      <w:bookmarkStart w:id="45" w:name="_Toc12184"/>
      <w:bookmarkStart w:id="46" w:name="_Toc25836"/>
      <w:bookmarkStart w:id="47" w:name="_Toc5201"/>
      <w:bookmarkStart w:id="48" w:name="_Toc22261"/>
      <w:bookmarkStart w:id="49" w:name="_Toc7957"/>
      <w:bookmarkStart w:id="50" w:name="_Toc30844"/>
      <w:bookmarkStart w:id="51" w:name="_Toc31231"/>
      <w:bookmarkStart w:id="52" w:name="_Toc31605"/>
      <w:r>
        <w:rPr>
          <w:rFonts w:hint="default" w:ascii="Times New Roman" w:hAnsi="Times New Roman" w:eastAsia="仿宋" w:cs="Times New Roman"/>
          <w:i w:val="0"/>
          <w:iCs w:val="0"/>
          <w:sz w:val="30"/>
          <w:szCs w:val="30"/>
          <w:shd w:val="clear" w:color="auto" w:fill="FFFFFF"/>
        </w:rPr>
        <w:t>桃江县住房和城乡建设局</w:t>
      </w:r>
      <w:bookmarkEnd w:id="32"/>
      <w:bookmarkEnd w:id="33"/>
      <w:bookmarkEnd w:id="34"/>
      <w:bookmarkEnd w:id="35"/>
    </w:p>
    <w:p>
      <w:pPr>
        <w:keepNext w:val="0"/>
        <w:keepLines w:val="0"/>
        <w:pageBreakBefore w:val="0"/>
        <w:kinsoku/>
        <w:wordWrap/>
        <w:overflowPunct/>
        <w:topLinePunct w:val="0"/>
        <w:autoSpaceDE/>
        <w:autoSpaceDN/>
        <w:bidi w:val="0"/>
        <w:spacing w:line="360" w:lineRule="auto"/>
        <w:ind w:firstLine="0" w:firstLineChars="0"/>
        <w:jc w:val="center"/>
        <w:outlineLvl w:val="0"/>
        <w:rPr>
          <w:rFonts w:hint="default" w:ascii="Times New Roman" w:hAnsi="Times New Roman" w:eastAsia="仿宋" w:cs="Times New Roman"/>
          <w:sz w:val="30"/>
          <w:szCs w:val="30"/>
          <w:shd w:val="clear" w:color="auto" w:fill="FFFFFF"/>
        </w:rPr>
      </w:pPr>
      <w:bookmarkStart w:id="53" w:name="_Toc2940"/>
      <w:bookmarkStart w:id="54" w:name="_Toc23501"/>
      <w:bookmarkStart w:id="55" w:name="_Toc26995"/>
      <w:bookmarkStart w:id="56" w:name="_Toc11803"/>
      <w:r>
        <w:rPr>
          <w:rFonts w:hint="default" w:ascii="Times New Roman" w:hAnsi="Times New Roman" w:eastAsia="仿宋" w:cs="Times New Roman"/>
          <w:i w:val="0"/>
          <w:iCs w:val="0"/>
          <w:sz w:val="30"/>
          <w:szCs w:val="30"/>
          <w:shd w:val="clear" w:color="auto" w:fill="FFFFFF"/>
        </w:rPr>
        <w:t>中元天纬集团有限</w:t>
      </w:r>
      <w:r>
        <w:rPr>
          <w:rFonts w:hint="default" w:ascii="Times New Roman" w:hAnsi="Times New Roman" w:eastAsia="仿宋" w:cs="Times New Roman"/>
          <w:sz w:val="30"/>
          <w:szCs w:val="30"/>
          <w:shd w:val="clear" w:color="auto" w:fill="FFFFFF"/>
        </w:rPr>
        <w:t>公司</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r>
        <w:rPr>
          <w:rFonts w:hint="default" w:ascii="Times New Roman" w:hAnsi="Times New Roman" w:cs="Times New Roman"/>
          <w:snapToGrid w:val="0"/>
          <w:color w:val="000000"/>
          <w:kern w:val="0"/>
          <w:sz w:val="30"/>
          <w:szCs w:val="30"/>
          <w:highlight w:val="none"/>
          <w:shd w:val="clear" w:color="auto" w:fill="FFFFFF"/>
          <w:lang w:eastAsia="en-US"/>
        </w:rPr>
        <w:t>202</w:t>
      </w:r>
      <w:r>
        <w:rPr>
          <w:rFonts w:hint="default" w:ascii="Times New Roman" w:hAnsi="Times New Roman" w:eastAsia="宋体" w:cs="Times New Roman"/>
          <w:snapToGrid w:val="0"/>
          <w:color w:val="000000"/>
          <w:kern w:val="0"/>
          <w:sz w:val="30"/>
          <w:szCs w:val="30"/>
          <w:highlight w:val="none"/>
          <w:shd w:val="clear" w:color="auto" w:fill="FFFFFF"/>
          <w:lang w:val="en-US" w:eastAsia="zh-CN"/>
        </w:rPr>
        <w:t>5</w:t>
      </w:r>
      <w:r>
        <w:rPr>
          <w:rFonts w:hint="default" w:ascii="Times New Roman" w:hAnsi="Times New Roman" w:cs="Times New Roman"/>
          <w:snapToGrid w:val="0"/>
          <w:color w:val="000000"/>
          <w:kern w:val="0"/>
          <w:sz w:val="30"/>
          <w:szCs w:val="30"/>
          <w:highlight w:val="none"/>
          <w:shd w:val="clear" w:color="auto" w:fill="FFFFFF"/>
          <w:lang w:eastAsia="en-US"/>
        </w:rPr>
        <w:t>年</w:t>
      </w:r>
      <w:r>
        <w:rPr>
          <w:rFonts w:hint="default" w:ascii="Times New Roman" w:hAnsi="Times New Roman" w:cs="Times New Roman"/>
          <w:snapToGrid w:val="0"/>
          <w:color w:val="000000"/>
          <w:kern w:val="0"/>
          <w:sz w:val="30"/>
          <w:szCs w:val="30"/>
          <w:highlight w:val="none"/>
          <w:shd w:val="clear" w:color="auto" w:fill="FFFFFF"/>
          <w:lang w:val="en-US" w:eastAsia="zh-CN"/>
        </w:rPr>
        <w:t>1</w:t>
      </w:r>
      <w:r>
        <w:rPr>
          <w:rFonts w:hint="eastAsia" w:ascii="Times New Roman" w:hAnsi="Times New Roman" w:cs="Times New Roman"/>
          <w:snapToGrid w:val="0"/>
          <w:color w:val="000000"/>
          <w:kern w:val="0"/>
          <w:sz w:val="30"/>
          <w:szCs w:val="30"/>
          <w:highlight w:val="none"/>
          <w:shd w:val="clear" w:color="auto" w:fill="FFFFFF"/>
          <w:lang w:val="en-US" w:eastAsia="zh-CN"/>
        </w:rPr>
        <w:t>2</w:t>
      </w:r>
      <w:r>
        <w:rPr>
          <w:rFonts w:hint="default" w:ascii="Times New Roman" w:hAnsi="Times New Roman" w:cs="Times New Roman"/>
          <w:snapToGrid w:val="0"/>
          <w:color w:val="000000"/>
          <w:kern w:val="0"/>
          <w:sz w:val="30"/>
          <w:szCs w:val="30"/>
          <w:highlight w:val="none"/>
          <w:shd w:val="clear" w:color="auto" w:fill="FFFFFF"/>
          <w:lang w:eastAsia="en-US"/>
        </w:rPr>
        <w:t>月</w:t>
      </w:r>
      <w:bookmarkEnd w:id="27"/>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r>
        <w:rPr>
          <w:rFonts w:hint="eastAsia" w:ascii="宋体" w:hAnsi="宋体" w:eastAsia="仿宋" w:cs="Arial"/>
          <w:sz w:val="30"/>
          <w:szCs w:val="30"/>
          <w:highlight w:val="none"/>
          <w:shd w:val="clear" w:color="auto" w:fill="FFFFFF"/>
          <w:lang w:eastAsia="zh-CN"/>
        </w:rPr>
        <w:drawing>
          <wp:anchor distT="0" distB="0" distL="114300" distR="114300" simplePos="0" relativeHeight="251663360" behindDoc="1" locked="0" layoutInCell="1" allowOverlap="1">
            <wp:simplePos x="0" y="0"/>
            <wp:positionH relativeFrom="column">
              <wp:posOffset>-1409700</wp:posOffset>
            </wp:positionH>
            <wp:positionV relativeFrom="paragraph">
              <wp:posOffset>1466850</wp:posOffset>
            </wp:positionV>
            <wp:extent cx="8270875" cy="5847080"/>
            <wp:effectExtent l="0" t="0" r="5080" b="4445"/>
            <wp:wrapNone/>
            <wp:docPr id="17" name="图片 17" descr="6bfa5d00b2eb22c83ca82c080cfd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bfa5d00b2eb22c83ca82c080cfd273"/>
                    <pic:cNvPicPr>
                      <a:picLocks noChangeAspect="1"/>
                    </pic:cNvPicPr>
                  </pic:nvPicPr>
                  <pic:blipFill>
                    <a:blip r:embed="rId16"/>
                    <a:stretch>
                      <a:fillRect/>
                    </a:stretch>
                  </pic:blipFill>
                  <pic:spPr>
                    <a:xfrm rot="16200000">
                      <a:off x="0" y="0"/>
                      <a:ext cx="8270875" cy="5847080"/>
                    </a:xfrm>
                    <a:prstGeom prst="rect">
                      <a:avLst/>
                    </a:prstGeom>
                  </pic:spPr>
                </pic:pic>
              </a:graphicData>
            </a:graphic>
          </wp:anchor>
        </w:drawing>
      </w: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default" w:ascii="Times New Roman" w:hAnsi="Times New Roman" w:cs="Times New Roman"/>
          <w:snapToGrid w:val="0"/>
          <w:color w:val="000000"/>
          <w:kern w:val="0"/>
          <w:sz w:val="30"/>
          <w:szCs w:val="30"/>
          <w:highlight w:val="none"/>
          <w:shd w:val="clear" w:color="auto" w:fill="FFFFFF"/>
          <w:lang w:eastAsia="en-US"/>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eastAsia" w:ascii="Times New Roman" w:hAnsi="Times New Roman" w:eastAsia="楷体" w:cs="Times New Roman"/>
          <w:color w:val="000000"/>
          <w:kern w:val="0"/>
          <w:sz w:val="35"/>
          <w:szCs w:val="35"/>
          <w:lang w:eastAsia="zh-CN"/>
        </w:rPr>
      </w:pPr>
    </w:p>
    <w:p>
      <w:pPr>
        <w:pageBreakBefore w:val="0"/>
        <w:widowControl/>
        <w:kinsoku w:val="0"/>
        <w:wordWrap w:val="0"/>
        <w:overflowPunct/>
        <w:autoSpaceDE w:val="0"/>
        <w:autoSpaceDN w:val="0"/>
        <w:bidi w:val="0"/>
        <w:adjustRightInd w:val="0"/>
        <w:snapToGrid w:val="0"/>
        <w:spacing w:before="120" w:after="120" w:line="360" w:lineRule="auto"/>
        <w:ind w:firstLine="0" w:firstLineChars="0"/>
        <w:jc w:val="center"/>
        <w:textAlignment w:val="baseline"/>
        <w:rPr>
          <w:rFonts w:hint="eastAsia" w:ascii="Times New Roman" w:hAnsi="Times New Roman" w:eastAsia="楷体" w:cs="Times New Roman"/>
          <w:color w:val="000000"/>
          <w:kern w:val="0"/>
          <w:sz w:val="35"/>
          <w:szCs w:val="35"/>
          <w:lang w:eastAsia="zh-CN"/>
        </w:rPr>
      </w:pPr>
    </w:p>
    <w:sdt>
      <w:sdtPr>
        <w:rPr>
          <w:rFonts w:hint="eastAsia" w:ascii="黑体" w:hAnsi="黑体" w:eastAsia="黑体" w:cs="黑体"/>
          <w:sz w:val="28"/>
          <w:szCs w:val="28"/>
        </w:rPr>
        <w:id w:val="147481901"/>
        <w15:color w:val="DBDBDB"/>
        <w:docPartObj>
          <w:docPartGallery w:val="Table of Contents"/>
          <w:docPartUnique/>
        </w:docPartObj>
      </w:sdtPr>
      <w:sdtEndPr>
        <w:rPr>
          <w:rFonts w:hint="eastAsia" w:ascii="仿宋" w:hAnsi="仿宋" w:eastAsia="仿宋" w:cs="仿宋"/>
          <w:b/>
          <w:sz w:val="24"/>
          <w:szCs w:val="24"/>
        </w:rPr>
      </w:sdtEndPr>
      <w:sdtContent>
        <w:p>
          <w:pPr>
            <w:spacing w:line="240" w:lineRule="auto"/>
            <w:ind w:firstLine="560"/>
            <w:jc w:val="center"/>
            <w:rPr>
              <w:rFonts w:hint="eastAsia" w:ascii="黑体" w:hAnsi="黑体" w:eastAsia="黑体" w:cs="黑体"/>
              <w:sz w:val="28"/>
              <w:szCs w:val="28"/>
            </w:rPr>
          </w:pPr>
          <w:r>
            <w:rPr>
              <w:rFonts w:hint="eastAsia" w:ascii="黑体" w:hAnsi="黑体" w:eastAsia="黑体" w:cs="黑体"/>
              <w:sz w:val="28"/>
              <w:szCs w:val="28"/>
            </w:rPr>
            <w:t>目  录</w:t>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TOC \o "1-2" \h \u </w:instrText>
          </w:r>
          <w:r>
            <w:rPr>
              <w:rFonts w:hint="eastAsia" w:ascii="仿宋" w:hAnsi="仿宋" w:eastAsia="仿宋" w:cs="仿宋"/>
              <w:sz w:val="24"/>
              <w:szCs w:val="24"/>
            </w:rPr>
            <w:fldChar w:fldCharType="separate"/>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_Toc17598 </w:instrText>
          </w:r>
          <w:r>
            <w:rPr>
              <w:rFonts w:hint="eastAsia" w:ascii="仿宋" w:hAnsi="仿宋" w:eastAsia="仿宋" w:cs="仿宋"/>
              <w:sz w:val="24"/>
              <w:szCs w:val="24"/>
            </w:rPr>
            <w:fldChar w:fldCharType="separate"/>
          </w:r>
          <w:r>
            <w:rPr>
              <w:rFonts w:hint="eastAsia" w:ascii="仿宋" w:hAnsi="仿宋" w:eastAsia="仿宋" w:cs="仿宋"/>
              <w:sz w:val="24"/>
              <w:szCs w:val="24"/>
            </w:rPr>
            <w:t>一、</w:t>
          </w:r>
          <w:r>
            <w:rPr>
              <w:rFonts w:hint="eastAsia" w:ascii="仿宋" w:hAnsi="仿宋" w:eastAsia="仿宋" w:cs="仿宋"/>
              <w:sz w:val="24"/>
              <w:szCs w:val="24"/>
              <w:lang w:val="en-US" w:eastAsia="zh-CN"/>
            </w:rPr>
            <w:t>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_Toc17598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_Toc18514 </w:instrText>
          </w:r>
          <w:r>
            <w:rPr>
              <w:rFonts w:hint="eastAsia" w:ascii="仿宋" w:hAnsi="仿宋" w:eastAsia="仿宋" w:cs="仿宋"/>
              <w:sz w:val="24"/>
              <w:szCs w:val="24"/>
            </w:rPr>
            <w:fldChar w:fldCharType="separate"/>
          </w:r>
          <w:r>
            <w:rPr>
              <w:rFonts w:hint="eastAsia" w:ascii="仿宋" w:hAnsi="仿宋" w:eastAsia="仿宋" w:cs="仿宋"/>
              <w:sz w:val="24"/>
              <w:szCs w:val="24"/>
            </w:rPr>
            <w:t>（一）规划</w:t>
          </w:r>
          <w:r>
            <w:rPr>
              <w:rFonts w:hint="eastAsia" w:ascii="仿宋" w:hAnsi="仿宋" w:eastAsia="仿宋" w:cs="仿宋"/>
              <w:sz w:val="24"/>
              <w:szCs w:val="24"/>
              <w:lang w:val="en-US" w:eastAsia="zh-CN"/>
            </w:rPr>
            <w:t>背景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_Toc18514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_Toc11471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指导思想</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_Toc11471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_Toc29278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三</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规划原则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_Toc29278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_Toc18061 </w:instrText>
          </w:r>
          <w:r>
            <w:rPr>
              <w:rFonts w:hint="eastAsia" w:ascii="仿宋" w:hAnsi="仿宋" w:eastAsia="仿宋" w:cs="仿宋"/>
              <w:sz w:val="24"/>
              <w:szCs w:val="24"/>
            </w:rPr>
            <w:fldChar w:fldCharType="separate"/>
          </w:r>
          <w:r>
            <w:rPr>
              <w:rFonts w:hint="eastAsia" w:ascii="仿宋" w:hAnsi="仿宋" w:eastAsia="仿宋" w:cs="仿宋"/>
              <w:sz w:val="24"/>
              <w:szCs w:val="24"/>
            </w:rPr>
            <w:t>（</w:t>
          </w:r>
          <w:r>
            <w:rPr>
              <w:rFonts w:hint="eastAsia" w:ascii="仿宋" w:hAnsi="仿宋" w:eastAsia="仿宋" w:cs="仿宋"/>
              <w:sz w:val="24"/>
              <w:szCs w:val="24"/>
              <w:lang w:val="en-US" w:eastAsia="zh-CN"/>
            </w:rPr>
            <w:t>四</w:t>
          </w:r>
          <w:r>
            <w:rPr>
              <w:rFonts w:hint="eastAsia" w:ascii="仿宋" w:hAnsi="仿宋" w:eastAsia="仿宋" w:cs="仿宋"/>
              <w:sz w:val="24"/>
              <w:szCs w:val="24"/>
            </w:rPr>
            <w:t>）规划依据</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_Toc18061 \h </w:instrText>
          </w:r>
          <w:r>
            <w:rPr>
              <w:rFonts w:hint="eastAsia" w:ascii="仿宋" w:hAnsi="仿宋" w:eastAsia="仿宋" w:cs="仿宋"/>
              <w:sz w:val="24"/>
              <w:szCs w:val="24"/>
            </w:rPr>
            <w:fldChar w:fldCharType="separate"/>
          </w:r>
          <w:r>
            <w:rPr>
              <w:rFonts w:hint="eastAsia" w:ascii="仿宋" w:hAnsi="仿宋" w:eastAsia="仿宋" w:cs="仿宋"/>
              <w:sz w:val="24"/>
              <w:szCs w:val="24"/>
            </w:rPr>
            <w:t>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_Toc8605 </w:instrText>
          </w:r>
          <w:r>
            <w:rPr>
              <w:rFonts w:hint="eastAsia" w:ascii="仿宋" w:hAnsi="仿宋" w:eastAsia="仿宋" w:cs="仿宋"/>
              <w:sz w:val="24"/>
              <w:szCs w:val="24"/>
            </w:rPr>
            <w:fldChar w:fldCharType="separate"/>
          </w:r>
          <w:r>
            <w:rPr>
              <w:rFonts w:hint="eastAsia" w:ascii="仿宋" w:hAnsi="仿宋" w:eastAsia="仿宋" w:cs="仿宋"/>
              <w:sz w:val="24"/>
              <w:szCs w:val="24"/>
            </w:rPr>
            <w:t>（五）规划</w:t>
          </w:r>
          <w:r>
            <w:rPr>
              <w:rFonts w:hint="eastAsia" w:ascii="仿宋" w:hAnsi="仿宋" w:eastAsia="仿宋" w:cs="仿宋"/>
              <w:sz w:val="24"/>
              <w:szCs w:val="24"/>
              <w:lang w:val="en-US" w:eastAsia="zh-CN"/>
            </w:rPr>
            <w:t>范围和</w:t>
          </w:r>
          <w:r>
            <w:rPr>
              <w:rFonts w:hint="eastAsia" w:ascii="仿宋" w:hAnsi="仿宋" w:eastAsia="仿宋" w:cs="仿宋"/>
              <w:sz w:val="24"/>
              <w:szCs w:val="24"/>
            </w:rPr>
            <w:t>期限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_Toc8605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_Toc30470 </w:instrText>
          </w:r>
          <w:r>
            <w:rPr>
              <w:rFonts w:hint="eastAsia" w:ascii="仿宋" w:hAnsi="仿宋" w:eastAsia="仿宋" w:cs="仿宋"/>
              <w:sz w:val="24"/>
              <w:szCs w:val="24"/>
            </w:rPr>
            <w:fldChar w:fldCharType="separate"/>
          </w:r>
          <w:r>
            <w:rPr>
              <w:rFonts w:hint="eastAsia" w:ascii="仿宋" w:hAnsi="仿宋" w:eastAsia="仿宋" w:cs="仿宋"/>
              <w:sz w:val="24"/>
              <w:szCs w:val="24"/>
            </w:rPr>
            <w:t>（</w:t>
          </w:r>
          <w:r>
            <w:rPr>
              <w:rFonts w:hint="eastAsia" w:ascii="仿宋" w:hAnsi="仿宋" w:eastAsia="仿宋" w:cs="仿宋"/>
              <w:sz w:val="24"/>
              <w:szCs w:val="24"/>
              <w:lang w:val="en-US" w:eastAsia="zh-CN"/>
            </w:rPr>
            <w:t>六</w:t>
          </w:r>
          <w:r>
            <w:rPr>
              <w:rFonts w:hint="eastAsia" w:ascii="仿宋" w:hAnsi="仿宋" w:eastAsia="仿宋" w:cs="仿宋"/>
              <w:sz w:val="24"/>
              <w:szCs w:val="24"/>
            </w:rPr>
            <w:t>）规划</w:t>
          </w:r>
          <w:r>
            <w:rPr>
              <w:rFonts w:hint="eastAsia" w:ascii="仿宋" w:hAnsi="仿宋" w:eastAsia="仿宋" w:cs="仿宋"/>
              <w:sz w:val="24"/>
              <w:szCs w:val="24"/>
              <w:lang w:val="en-US" w:eastAsia="zh-CN"/>
            </w:rPr>
            <w:t>目标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_Toc30470 \h </w:instrText>
          </w:r>
          <w:r>
            <w:rPr>
              <w:rFonts w:hint="eastAsia" w:ascii="仿宋" w:hAnsi="仿宋" w:eastAsia="仿宋" w:cs="仿宋"/>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_Toc15022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（七）规划名称解释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_Toc15022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_Toc31999 </w:instrText>
          </w:r>
          <w:r>
            <w:rPr>
              <w:rFonts w:hint="eastAsia" w:ascii="仿宋" w:hAnsi="仿宋" w:eastAsia="仿宋" w:cs="仿宋"/>
              <w:sz w:val="24"/>
              <w:szCs w:val="24"/>
            </w:rPr>
            <w:fldChar w:fldCharType="separate"/>
          </w:r>
          <w:r>
            <w:rPr>
              <w:rFonts w:hint="eastAsia" w:ascii="仿宋" w:hAnsi="仿宋" w:eastAsia="仿宋" w:cs="仿宋"/>
              <w:sz w:val="24"/>
              <w:szCs w:val="24"/>
            </w:rPr>
            <w:t>二、区域概况及相关规划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_Toc31999 \h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_Toc17242 </w:instrText>
          </w:r>
          <w:r>
            <w:rPr>
              <w:rFonts w:hint="eastAsia" w:ascii="仿宋" w:hAnsi="仿宋" w:eastAsia="仿宋" w:cs="仿宋"/>
              <w:sz w:val="24"/>
              <w:szCs w:val="24"/>
            </w:rPr>
            <w:fldChar w:fldCharType="separate"/>
          </w:r>
          <w:r>
            <w:rPr>
              <w:rFonts w:hint="eastAsia" w:ascii="仿宋" w:hAnsi="仿宋" w:eastAsia="仿宋" w:cs="仿宋"/>
              <w:sz w:val="24"/>
              <w:szCs w:val="24"/>
            </w:rPr>
            <w:t>（一）区域概况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_Toc17242 \h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_Toc26834 </w:instrText>
          </w:r>
          <w:r>
            <w:rPr>
              <w:rFonts w:hint="eastAsia" w:ascii="仿宋" w:hAnsi="仿宋" w:eastAsia="仿宋" w:cs="仿宋"/>
              <w:sz w:val="24"/>
              <w:szCs w:val="24"/>
            </w:rPr>
            <w:fldChar w:fldCharType="separate"/>
          </w:r>
          <w:r>
            <w:rPr>
              <w:rFonts w:hint="eastAsia" w:ascii="仿宋" w:hAnsi="仿宋" w:eastAsia="仿宋" w:cs="仿宋"/>
              <w:sz w:val="24"/>
              <w:szCs w:val="24"/>
            </w:rPr>
            <w:t>（二）相关规划分析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_Toc26834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_Toc28035 </w:instrText>
          </w:r>
          <w:r>
            <w:rPr>
              <w:rFonts w:hint="eastAsia" w:ascii="仿宋" w:hAnsi="仿宋" w:eastAsia="仿宋" w:cs="仿宋"/>
              <w:sz w:val="24"/>
              <w:szCs w:val="24"/>
            </w:rPr>
            <w:fldChar w:fldCharType="separate"/>
          </w:r>
          <w:r>
            <w:rPr>
              <w:rFonts w:hint="eastAsia" w:ascii="仿宋" w:hAnsi="仿宋" w:eastAsia="仿宋" w:cs="仿宋"/>
              <w:sz w:val="24"/>
              <w:szCs w:val="24"/>
            </w:rPr>
            <w:t>三、建筑垃圾治理现状及分析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_Toc28035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_Toc9238 </w:instrText>
          </w:r>
          <w:r>
            <w:rPr>
              <w:rFonts w:hint="eastAsia" w:ascii="仿宋" w:hAnsi="仿宋" w:eastAsia="仿宋" w:cs="仿宋"/>
              <w:sz w:val="24"/>
              <w:szCs w:val="24"/>
            </w:rPr>
            <w:fldChar w:fldCharType="separate"/>
          </w:r>
          <w:r>
            <w:rPr>
              <w:rFonts w:hint="eastAsia" w:ascii="仿宋" w:hAnsi="仿宋" w:eastAsia="仿宋" w:cs="仿宋"/>
              <w:sz w:val="24"/>
              <w:szCs w:val="24"/>
            </w:rPr>
            <w:t>（一）建筑垃圾产生情况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_Toc9238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_Toc1688 </w:instrText>
          </w:r>
          <w:r>
            <w:rPr>
              <w:rFonts w:hint="eastAsia" w:ascii="仿宋" w:hAnsi="仿宋" w:eastAsia="仿宋" w:cs="仿宋"/>
              <w:sz w:val="24"/>
              <w:szCs w:val="24"/>
            </w:rPr>
            <w:fldChar w:fldCharType="separate"/>
          </w:r>
          <w:r>
            <w:rPr>
              <w:rFonts w:hint="eastAsia" w:ascii="仿宋" w:hAnsi="仿宋" w:eastAsia="仿宋" w:cs="仿宋"/>
              <w:sz w:val="24"/>
              <w:szCs w:val="24"/>
            </w:rPr>
            <w:t>（二）建筑垃圾收运现状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_Toc1688 \h </w:instrText>
          </w:r>
          <w:r>
            <w:rPr>
              <w:rFonts w:hint="eastAsia" w:ascii="仿宋" w:hAnsi="仿宋" w:eastAsia="仿宋" w:cs="仿宋"/>
              <w:sz w:val="24"/>
              <w:szCs w:val="24"/>
            </w:rPr>
            <w:fldChar w:fldCharType="separate"/>
          </w:r>
          <w:r>
            <w:rPr>
              <w:rFonts w:hint="eastAsia" w:ascii="仿宋" w:hAnsi="仿宋" w:eastAsia="仿宋" w:cs="仿宋"/>
              <w:sz w:val="24"/>
              <w:szCs w:val="24"/>
            </w:rPr>
            <w:t>12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_Toc4051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（三）</w:t>
          </w:r>
          <w:r>
            <w:rPr>
              <w:rFonts w:hint="eastAsia" w:ascii="仿宋" w:hAnsi="仿宋" w:eastAsia="仿宋" w:cs="仿宋"/>
              <w:sz w:val="24"/>
              <w:szCs w:val="24"/>
            </w:rPr>
            <w:t>建筑垃圾处理处置现状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_Toc4051 \h </w:instrText>
          </w:r>
          <w:r>
            <w:rPr>
              <w:rFonts w:hint="eastAsia" w:ascii="仿宋" w:hAnsi="仿宋" w:eastAsia="仿宋" w:cs="仿宋"/>
              <w:sz w:val="24"/>
              <w:szCs w:val="24"/>
            </w:rPr>
            <w:fldChar w:fldCharType="separate"/>
          </w:r>
          <w:r>
            <w:rPr>
              <w:rFonts w:hint="eastAsia" w:ascii="仿宋" w:hAnsi="仿宋" w:eastAsia="仿宋" w:cs="仿宋"/>
              <w:sz w:val="24"/>
              <w:szCs w:val="24"/>
            </w:rPr>
            <w:t>12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_Toc22412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hint="eastAsia" w:ascii="仿宋" w:hAnsi="仿宋" w:eastAsia="仿宋" w:cs="仿宋"/>
              <w:sz w:val="24"/>
              <w:szCs w:val="24"/>
            </w:rPr>
            <w:t>建筑垃圾监管现状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_Toc22412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_Toc13586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建筑垃圾利用市场现状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_Toc13586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_Toc8611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（六）</w:t>
          </w:r>
          <w:r>
            <w:rPr>
              <w:rFonts w:hint="eastAsia" w:ascii="仿宋" w:hAnsi="仿宋" w:eastAsia="仿宋" w:cs="仿宋"/>
              <w:sz w:val="24"/>
              <w:szCs w:val="24"/>
            </w:rPr>
            <w:t>现状问题分析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_Toc8611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_Toc8950 </w:instrText>
          </w:r>
          <w:r>
            <w:rPr>
              <w:rFonts w:hint="eastAsia" w:ascii="仿宋" w:hAnsi="仿宋" w:eastAsia="仿宋" w:cs="仿宋"/>
              <w:sz w:val="24"/>
              <w:szCs w:val="24"/>
            </w:rPr>
            <w:fldChar w:fldCharType="separate"/>
          </w:r>
          <w:r>
            <w:rPr>
              <w:rFonts w:hint="eastAsia" w:ascii="仿宋" w:hAnsi="仿宋" w:eastAsia="仿宋" w:cs="仿宋"/>
              <w:sz w:val="24"/>
              <w:szCs w:val="24"/>
            </w:rPr>
            <w:t>四、建筑垃圾产生量预测</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_Toc8950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_Toc1686 </w:instrText>
          </w:r>
          <w:r>
            <w:rPr>
              <w:rFonts w:hint="eastAsia" w:ascii="仿宋" w:hAnsi="仿宋" w:eastAsia="仿宋" w:cs="仿宋"/>
              <w:sz w:val="24"/>
              <w:szCs w:val="24"/>
            </w:rPr>
            <w:fldChar w:fldCharType="separate"/>
          </w:r>
          <w:r>
            <w:rPr>
              <w:rFonts w:hint="eastAsia" w:ascii="仿宋" w:hAnsi="仿宋" w:eastAsia="仿宋" w:cs="仿宋"/>
              <w:sz w:val="24"/>
              <w:szCs w:val="24"/>
            </w:rPr>
            <w:t>（一）预测范围及方法依据</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_Toc1686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_Toc11993 </w:instrText>
          </w:r>
          <w:r>
            <w:rPr>
              <w:rFonts w:hint="eastAsia" w:ascii="仿宋" w:hAnsi="仿宋" w:eastAsia="仿宋" w:cs="仿宋"/>
              <w:sz w:val="24"/>
              <w:szCs w:val="24"/>
            </w:rPr>
            <w:fldChar w:fldCharType="separate"/>
          </w:r>
          <w:r>
            <w:rPr>
              <w:rFonts w:hint="eastAsia" w:ascii="仿宋" w:hAnsi="仿宋" w:eastAsia="仿宋" w:cs="仿宋"/>
              <w:sz w:val="24"/>
              <w:szCs w:val="24"/>
            </w:rPr>
            <w:t>（二）产生量预测</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_Toc11993 \h </w:instrText>
          </w:r>
          <w:r>
            <w:rPr>
              <w:rFonts w:hint="eastAsia" w:ascii="仿宋" w:hAnsi="仿宋" w:eastAsia="仿宋" w:cs="仿宋"/>
              <w:sz w:val="24"/>
              <w:szCs w:val="24"/>
            </w:rPr>
            <w:fldChar w:fldCharType="separate"/>
          </w:r>
          <w:r>
            <w:rPr>
              <w:rFonts w:hint="eastAsia" w:ascii="仿宋" w:hAnsi="仿宋" w:eastAsia="仿宋" w:cs="仿宋"/>
              <w:sz w:val="24"/>
              <w:szCs w:val="24"/>
            </w:rPr>
            <w:t>17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_Toc24280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en-US"/>
            </w:rPr>
            <w:t>五、建筑垃圾治理总体思路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_Toc24280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_Toc11765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（一）总体思路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_Toc11765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_Toc22274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（二）目标任务</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_Toc22274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_Toc15772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（三）技术路线</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_Toc15772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_Toc13751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en-US"/>
            </w:rPr>
            <w:t>六、建筑垃圾源头减量规划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_Toc13751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_Toc5661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（一）源头减量目标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_Toc5661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_Toc30071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（二）源头减量措施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_Toc30071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_Toc1464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en-US"/>
            </w:rPr>
            <w:t>七、收运体系规划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_Toc1464 \h </w:instrText>
          </w:r>
          <w:r>
            <w:rPr>
              <w:rFonts w:hint="eastAsia" w:ascii="仿宋" w:hAnsi="仿宋" w:eastAsia="仿宋" w:cs="仿宋"/>
              <w:sz w:val="24"/>
              <w:szCs w:val="24"/>
            </w:rPr>
            <w:fldChar w:fldCharType="separate"/>
          </w:r>
          <w:r>
            <w:rPr>
              <w:rFonts w:hint="eastAsia" w:ascii="仿宋" w:hAnsi="仿宋" w:eastAsia="仿宋" w:cs="仿宋"/>
              <w:sz w:val="24"/>
              <w:szCs w:val="24"/>
            </w:rPr>
            <w:t>33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_Toc31290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（一）基本要求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_Toc31290 \h </w:instrText>
          </w:r>
          <w:r>
            <w:rPr>
              <w:rFonts w:hint="eastAsia" w:ascii="仿宋" w:hAnsi="仿宋" w:eastAsia="仿宋" w:cs="仿宋"/>
              <w:sz w:val="24"/>
              <w:szCs w:val="24"/>
            </w:rPr>
            <w:fldChar w:fldCharType="separate"/>
          </w:r>
          <w:r>
            <w:rPr>
              <w:rFonts w:hint="eastAsia" w:ascii="仿宋" w:hAnsi="仿宋" w:eastAsia="仿宋" w:cs="仿宋"/>
              <w:sz w:val="24"/>
              <w:szCs w:val="24"/>
            </w:rPr>
            <w:t>33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_Toc23636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（二）收运模式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_Toc23636 \h </w:instrText>
          </w:r>
          <w:r>
            <w:rPr>
              <w:rFonts w:hint="eastAsia" w:ascii="仿宋" w:hAnsi="仿宋" w:eastAsia="仿宋" w:cs="仿宋"/>
              <w:sz w:val="24"/>
              <w:szCs w:val="24"/>
            </w:rPr>
            <w:fldChar w:fldCharType="separate"/>
          </w:r>
          <w:r>
            <w:rPr>
              <w:rFonts w:hint="eastAsia" w:ascii="仿宋" w:hAnsi="仿宋" w:eastAsia="仿宋" w:cs="仿宋"/>
              <w:sz w:val="24"/>
              <w:szCs w:val="24"/>
            </w:rPr>
            <w:t>35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_Toc10452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（三）分类收运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_Toc10452 \h </w:instrText>
          </w:r>
          <w:r>
            <w:rPr>
              <w:rFonts w:hint="eastAsia" w:ascii="仿宋" w:hAnsi="仿宋" w:eastAsia="仿宋" w:cs="仿宋"/>
              <w:sz w:val="24"/>
              <w:szCs w:val="24"/>
            </w:rPr>
            <w:fldChar w:fldCharType="separate"/>
          </w:r>
          <w:r>
            <w:rPr>
              <w:rFonts w:hint="eastAsia" w:ascii="仿宋" w:hAnsi="仿宋" w:eastAsia="仿宋" w:cs="仿宋"/>
              <w:sz w:val="24"/>
              <w:szCs w:val="24"/>
            </w:rPr>
            <w:t>35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_Toc5594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（四）收运设施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_Toc5594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_Toc5733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（五）收运车辆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_Toc5733 \h </w:instrText>
          </w:r>
          <w:r>
            <w:rPr>
              <w:rFonts w:hint="eastAsia" w:ascii="仿宋" w:hAnsi="仿宋" w:eastAsia="仿宋" w:cs="仿宋"/>
              <w:sz w:val="24"/>
              <w:szCs w:val="24"/>
            </w:rPr>
            <w:fldChar w:fldCharType="separate"/>
          </w:r>
          <w:r>
            <w:rPr>
              <w:rFonts w:hint="eastAsia" w:ascii="仿宋" w:hAnsi="仿宋" w:eastAsia="仿宋" w:cs="仿宋"/>
              <w:sz w:val="24"/>
              <w:szCs w:val="24"/>
            </w:rPr>
            <w:t>40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_Toc16474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六</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收运路线</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_Toc16474 \h </w:instrText>
          </w:r>
          <w:r>
            <w:rPr>
              <w:rFonts w:hint="eastAsia" w:ascii="仿宋" w:hAnsi="仿宋" w:eastAsia="仿宋" w:cs="仿宋"/>
              <w:sz w:val="24"/>
              <w:szCs w:val="24"/>
            </w:rPr>
            <w:fldChar w:fldCharType="separate"/>
          </w:r>
          <w:r>
            <w:rPr>
              <w:rFonts w:hint="eastAsia" w:ascii="仿宋" w:hAnsi="仿宋" w:eastAsia="仿宋" w:cs="仿宋"/>
              <w:sz w:val="24"/>
              <w:szCs w:val="24"/>
            </w:rPr>
            <w:t>41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_Toc30825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en-US"/>
            </w:rPr>
            <w:t>第八章 利用与消纳处置规划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_Toc30825 \h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_Toc17511 </w:instrText>
          </w:r>
          <w:r>
            <w:rPr>
              <w:rFonts w:hint="eastAsia" w:ascii="仿宋" w:hAnsi="仿宋" w:eastAsia="仿宋" w:cs="仿宋"/>
              <w:sz w:val="24"/>
              <w:szCs w:val="24"/>
            </w:rPr>
            <w:fldChar w:fldCharType="separate"/>
          </w:r>
          <w:r>
            <w:rPr>
              <w:rFonts w:hint="eastAsia" w:ascii="仿宋" w:hAnsi="仿宋" w:eastAsia="仿宋" w:cs="仿宋"/>
              <w:sz w:val="24"/>
              <w:szCs w:val="24"/>
            </w:rPr>
            <w:t>（一）建筑垃圾处置要求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_Toc17511 \h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_Toc543 </w:instrText>
          </w:r>
          <w:r>
            <w:rPr>
              <w:rFonts w:hint="eastAsia" w:ascii="仿宋" w:hAnsi="仿宋" w:eastAsia="仿宋" w:cs="仿宋"/>
              <w:sz w:val="24"/>
              <w:szCs w:val="24"/>
            </w:rPr>
            <w:fldChar w:fldCharType="separate"/>
          </w:r>
          <w:r>
            <w:rPr>
              <w:rFonts w:hint="eastAsia" w:ascii="仿宋" w:hAnsi="仿宋" w:eastAsia="仿宋" w:cs="仿宋"/>
              <w:sz w:val="24"/>
              <w:szCs w:val="24"/>
            </w:rPr>
            <w:t>（二）</w:t>
          </w:r>
          <w:r>
            <w:rPr>
              <w:rFonts w:hint="eastAsia" w:ascii="仿宋" w:hAnsi="仿宋" w:eastAsia="仿宋" w:cs="仿宋"/>
              <w:sz w:val="24"/>
              <w:szCs w:val="24"/>
              <w:lang w:eastAsia="en-US"/>
            </w:rPr>
            <w:t>建筑垃圾处置设施布局</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_Toc543 \h </w:instrText>
          </w:r>
          <w:r>
            <w:rPr>
              <w:rFonts w:hint="eastAsia" w:ascii="仿宋" w:hAnsi="仿宋" w:eastAsia="仿宋" w:cs="仿宋"/>
              <w:sz w:val="24"/>
              <w:szCs w:val="24"/>
            </w:rPr>
            <w:fldChar w:fldCharType="separate"/>
          </w:r>
          <w:r>
            <w:rPr>
              <w:rFonts w:hint="eastAsia" w:ascii="仿宋" w:hAnsi="仿宋" w:eastAsia="仿宋" w:cs="仿宋"/>
              <w:sz w:val="24"/>
              <w:szCs w:val="24"/>
            </w:rPr>
            <w:t>45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_Toc10575 </w:instrText>
          </w:r>
          <w:r>
            <w:rPr>
              <w:rFonts w:hint="eastAsia" w:ascii="仿宋" w:hAnsi="仿宋" w:eastAsia="仿宋" w:cs="仿宋"/>
              <w:sz w:val="24"/>
              <w:szCs w:val="24"/>
            </w:rPr>
            <w:fldChar w:fldCharType="separate"/>
          </w:r>
          <w:r>
            <w:rPr>
              <w:rFonts w:hint="eastAsia" w:ascii="仿宋" w:hAnsi="仿宋" w:eastAsia="仿宋" w:cs="仿宋"/>
              <w:sz w:val="24"/>
              <w:szCs w:val="24"/>
            </w:rPr>
            <w:t>（三）选址方案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_Toc10575 \h </w:instrText>
          </w:r>
          <w:r>
            <w:rPr>
              <w:rFonts w:hint="eastAsia" w:ascii="仿宋" w:hAnsi="仿宋" w:eastAsia="仿宋" w:cs="仿宋"/>
              <w:sz w:val="24"/>
              <w:szCs w:val="24"/>
            </w:rPr>
            <w:fldChar w:fldCharType="separate"/>
          </w:r>
          <w:r>
            <w:rPr>
              <w:rFonts w:hint="eastAsia" w:ascii="仿宋" w:hAnsi="仿宋" w:eastAsia="仿宋" w:cs="仿宋"/>
              <w:sz w:val="24"/>
              <w:szCs w:val="24"/>
            </w:rPr>
            <w:t>48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_Toc614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（四）建筑垃圾资源化利用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_Toc614 \h </w:instrText>
          </w:r>
          <w:r>
            <w:rPr>
              <w:rFonts w:hint="eastAsia" w:ascii="仿宋" w:hAnsi="仿宋" w:eastAsia="仿宋" w:cs="仿宋"/>
              <w:sz w:val="24"/>
              <w:szCs w:val="24"/>
            </w:rPr>
            <w:fldChar w:fldCharType="separate"/>
          </w:r>
          <w:r>
            <w:rPr>
              <w:rFonts w:hint="eastAsia" w:ascii="仿宋" w:hAnsi="仿宋" w:eastAsia="仿宋" w:cs="仿宋"/>
              <w:sz w:val="24"/>
              <w:szCs w:val="24"/>
            </w:rPr>
            <w:t>54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_Toc31771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en-US"/>
            </w:rPr>
            <w:t>（五）建筑垃圾消纳处置</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_Toc31771 \h </w:instrText>
          </w:r>
          <w:r>
            <w:rPr>
              <w:rFonts w:hint="eastAsia" w:ascii="仿宋" w:hAnsi="仿宋" w:eastAsia="仿宋" w:cs="仿宋"/>
              <w:sz w:val="24"/>
              <w:szCs w:val="24"/>
            </w:rPr>
            <w:fldChar w:fldCharType="separate"/>
          </w:r>
          <w:r>
            <w:rPr>
              <w:rFonts w:hint="eastAsia" w:ascii="仿宋" w:hAnsi="仿宋" w:eastAsia="仿宋" w:cs="仿宋"/>
              <w:sz w:val="24"/>
              <w:szCs w:val="24"/>
            </w:rPr>
            <w:t>60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_Toc27968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九、</w:t>
          </w:r>
          <w:r>
            <w:rPr>
              <w:rFonts w:hint="eastAsia" w:ascii="仿宋" w:hAnsi="仿宋" w:eastAsia="仿宋" w:cs="仿宋"/>
              <w:sz w:val="24"/>
              <w:szCs w:val="24"/>
              <w:lang w:eastAsia="en-US"/>
            </w:rPr>
            <w:t>监督管理规划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_Toc27968 \h </w:instrText>
          </w:r>
          <w:r>
            <w:rPr>
              <w:rFonts w:hint="eastAsia" w:ascii="仿宋" w:hAnsi="仿宋" w:eastAsia="仿宋" w:cs="仿宋"/>
              <w:sz w:val="24"/>
              <w:szCs w:val="24"/>
            </w:rPr>
            <w:fldChar w:fldCharType="separate"/>
          </w:r>
          <w:r>
            <w:rPr>
              <w:rFonts w:hint="eastAsia" w:ascii="仿宋" w:hAnsi="仿宋" w:eastAsia="仿宋" w:cs="仿宋"/>
              <w:sz w:val="24"/>
              <w:szCs w:val="24"/>
            </w:rPr>
            <w:t>62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_Toc30582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一</w:t>
          </w:r>
          <w:r>
            <w:rPr>
              <w:rFonts w:hint="eastAsia" w:ascii="仿宋" w:hAnsi="仿宋" w:eastAsia="仿宋" w:cs="仿宋"/>
              <w:sz w:val="24"/>
              <w:szCs w:val="24"/>
              <w:lang w:eastAsia="zh-CN"/>
            </w:rPr>
            <w:t>）</w:t>
          </w:r>
          <w:r>
            <w:rPr>
              <w:rFonts w:hint="eastAsia" w:ascii="仿宋" w:hAnsi="仿宋" w:eastAsia="仿宋" w:cs="仿宋"/>
              <w:sz w:val="24"/>
              <w:szCs w:val="24"/>
              <w:lang w:eastAsia="en-US"/>
            </w:rPr>
            <w:t>管理制度机制建设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_Toc30582 \h </w:instrText>
          </w:r>
          <w:r>
            <w:rPr>
              <w:rFonts w:hint="eastAsia" w:ascii="仿宋" w:hAnsi="仿宋" w:eastAsia="仿宋" w:cs="仿宋"/>
              <w:sz w:val="24"/>
              <w:szCs w:val="24"/>
            </w:rPr>
            <w:fldChar w:fldCharType="separate"/>
          </w:r>
          <w:r>
            <w:rPr>
              <w:rFonts w:hint="eastAsia" w:ascii="仿宋" w:hAnsi="仿宋" w:eastAsia="仿宋" w:cs="仿宋"/>
              <w:sz w:val="24"/>
              <w:szCs w:val="24"/>
            </w:rPr>
            <w:t>62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_Toc5779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w:t>
          </w:r>
          <w:r>
            <w:rPr>
              <w:rFonts w:hint="eastAsia" w:ascii="仿宋" w:hAnsi="仿宋" w:eastAsia="仿宋" w:cs="仿宋"/>
              <w:sz w:val="24"/>
              <w:szCs w:val="24"/>
              <w:lang w:eastAsia="en-US"/>
            </w:rPr>
            <w:t>部门协同监管规划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_Toc5779 \h </w:instrText>
          </w:r>
          <w:r>
            <w:rPr>
              <w:rFonts w:hint="eastAsia" w:ascii="仿宋" w:hAnsi="仿宋" w:eastAsia="仿宋" w:cs="仿宋"/>
              <w:sz w:val="24"/>
              <w:szCs w:val="24"/>
            </w:rPr>
            <w:fldChar w:fldCharType="separate"/>
          </w:r>
          <w:r>
            <w:rPr>
              <w:rFonts w:hint="eastAsia" w:ascii="仿宋" w:hAnsi="仿宋" w:eastAsia="仿宋" w:cs="仿宋"/>
              <w:sz w:val="24"/>
              <w:szCs w:val="24"/>
            </w:rPr>
            <w:t>65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_Toc15344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w:t>
          </w:r>
          <w:r>
            <w:rPr>
              <w:rFonts w:hint="eastAsia" w:ascii="仿宋" w:hAnsi="仿宋" w:eastAsia="仿宋" w:cs="仿宋"/>
              <w:sz w:val="24"/>
              <w:szCs w:val="24"/>
              <w:lang w:eastAsia="en-US"/>
            </w:rPr>
            <w:t>信息化管理规划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_Toc15344 \h </w:instrText>
          </w:r>
          <w:r>
            <w:rPr>
              <w:rFonts w:hint="eastAsia" w:ascii="仿宋" w:hAnsi="仿宋" w:eastAsia="仿宋" w:cs="仿宋"/>
              <w:sz w:val="24"/>
              <w:szCs w:val="24"/>
            </w:rPr>
            <w:fldChar w:fldCharType="separate"/>
          </w:r>
          <w:r>
            <w:rPr>
              <w:rFonts w:hint="eastAsia" w:ascii="仿宋" w:hAnsi="仿宋" w:eastAsia="仿宋" w:cs="仿宋"/>
              <w:sz w:val="24"/>
              <w:szCs w:val="24"/>
            </w:rPr>
            <w:t>69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_Toc20459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十、</w:t>
          </w:r>
          <w:r>
            <w:rPr>
              <w:rFonts w:hint="eastAsia" w:ascii="仿宋" w:hAnsi="仿宋" w:eastAsia="仿宋" w:cs="仿宋"/>
              <w:sz w:val="24"/>
              <w:szCs w:val="24"/>
              <w:lang w:eastAsia="en-US"/>
            </w:rPr>
            <w:t>环境保护与安全卫生规划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_Toc20459 \h </w:instrText>
          </w:r>
          <w:r>
            <w:rPr>
              <w:rFonts w:hint="eastAsia" w:ascii="仿宋" w:hAnsi="仿宋" w:eastAsia="仿宋" w:cs="仿宋"/>
              <w:sz w:val="24"/>
              <w:szCs w:val="24"/>
            </w:rPr>
            <w:fldChar w:fldCharType="separate"/>
          </w:r>
          <w:r>
            <w:rPr>
              <w:rFonts w:hint="eastAsia" w:ascii="仿宋" w:hAnsi="仿宋" w:eastAsia="仿宋" w:cs="仿宋"/>
              <w:sz w:val="24"/>
              <w:szCs w:val="24"/>
            </w:rPr>
            <w:t>72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_Toc9016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（一）</w:t>
          </w:r>
          <w:r>
            <w:rPr>
              <w:rFonts w:hint="eastAsia" w:ascii="仿宋" w:hAnsi="仿宋" w:eastAsia="仿宋" w:cs="仿宋"/>
              <w:sz w:val="24"/>
              <w:szCs w:val="24"/>
              <w:lang w:eastAsia="en-US"/>
            </w:rPr>
            <w:t>建筑垃圾污染环境防控措施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_Toc9016 \h </w:instrText>
          </w:r>
          <w:r>
            <w:rPr>
              <w:rFonts w:hint="eastAsia" w:ascii="仿宋" w:hAnsi="仿宋" w:eastAsia="仿宋" w:cs="仿宋"/>
              <w:sz w:val="24"/>
              <w:szCs w:val="24"/>
            </w:rPr>
            <w:fldChar w:fldCharType="separate"/>
          </w:r>
          <w:r>
            <w:rPr>
              <w:rFonts w:hint="eastAsia" w:ascii="仿宋" w:hAnsi="仿宋" w:eastAsia="仿宋" w:cs="仿宋"/>
              <w:sz w:val="24"/>
              <w:szCs w:val="24"/>
            </w:rPr>
            <w:t>72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_Toc26946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w:t>
          </w:r>
          <w:r>
            <w:rPr>
              <w:rFonts w:hint="eastAsia" w:ascii="仿宋" w:hAnsi="仿宋" w:eastAsia="仿宋" w:cs="仿宋"/>
              <w:sz w:val="24"/>
              <w:szCs w:val="24"/>
              <w:lang w:eastAsia="en-US"/>
            </w:rPr>
            <w:t>环境保护措施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_Toc26946 \h </w:instrText>
          </w:r>
          <w:r>
            <w:rPr>
              <w:rFonts w:hint="eastAsia" w:ascii="仿宋" w:hAnsi="仿宋" w:eastAsia="仿宋" w:cs="仿宋"/>
              <w:sz w:val="24"/>
              <w:szCs w:val="24"/>
            </w:rPr>
            <w:fldChar w:fldCharType="separate"/>
          </w:r>
          <w:r>
            <w:rPr>
              <w:rFonts w:hint="eastAsia" w:ascii="仿宋" w:hAnsi="仿宋" w:eastAsia="仿宋" w:cs="仿宋"/>
              <w:sz w:val="24"/>
              <w:szCs w:val="24"/>
            </w:rPr>
            <w:t>75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_Toc20033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hint="eastAsia" w:ascii="仿宋" w:hAnsi="仿宋" w:eastAsia="仿宋" w:cs="仿宋"/>
              <w:sz w:val="24"/>
              <w:szCs w:val="24"/>
              <w:lang w:eastAsia="en-US"/>
            </w:rPr>
            <w:t>安全卫生措施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_Toc20033 \h </w:instrText>
          </w:r>
          <w:r>
            <w:rPr>
              <w:rFonts w:hint="eastAsia" w:ascii="仿宋" w:hAnsi="仿宋" w:eastAsia="仿宋" w:cs="仿宋"/>
              <w:sz w:val="24"/>
              <w:szCs w:val="24"/>
            </w:rPr>
            <w:fldChar w:fldCharType="separate"/>
          </w:r>
          <w:r>
            <w:rPr>
              <w:rFonts w:hint="eastAsia" w:ascii="仿宋" w:hAnsi="仿宋" w:eastAsia="仿宋" w:cs="仿宋"/>
              <w:sz w:val="24"/>
              <w:szCs w:val="24"/>
            </w:rPr>
            <w:t>79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_Toc21790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十一、</w:t>
          </w:r>
          <w:r>
            <w:rPr>
              <w:rFonts w:hint="eastAsia" w:ascii="仿宋" w:hAnsi="仿宋" w:eastAsia="仿宋" w:cs="仿宋"/>
              <w:sz w:val="24"/>
              <w:szCs w:val="24"/>
            </w:rPr>
            <w:t>近期建设规划</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_Toc21790 \h </w:instrText>
          </w:r>
          <w:r>
            <w:rPr>
              <w:rFonts w:hint="eastAsia" w:ascii="仿宋" w:hAnsi="仿宋" w:eastAsia="仿宋" w:cs="仿宋"/>
              <w:sz w:val="24"/>
              <w:szCs w:val="24"/>
            </w:rPr>
            <w:fldChar w:fldCharType="separate"/>
          </w:r>
          <w:r>
            <w:rPr>
              <w:rFonts w:hint="eastAsia" w:ascii="仿宋" w:hAnsi="仿宋" w:eastAsia="仿宋" w:cs="仿宋"/>
              <w:sz w:val="24"/>
              <w:szCs w:val="24"/>
            </w:rPr>
            <w:t>81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_Toc19820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一</w:t>
          </w:r>
          <w:r>
            <w:rPr>
              <w:rFonts w:hint="eastAsia" w:ascii="仿宋" w:hAnsi="仿宋" w:eastAsia="仿宋" w:cs="仿宋"/>
              <w:sz w:val="24"/>
              <w:szCs w:val="24"/>
              <w:lang w:eastAsia="zh-CN"/>
            </w:rPr>
            <w:t>）</w:t>
          </w:r>
          <w:r>
            <w:rPr>
              <w:rFonts w:hint="eastAsia" w:ascii="仿宋" w:hAnsi="仿宋" w:eastAsia="仿宋" w:cs="仿宋"/>
              <w:sz w:val="24"/>
              <w:szCs w:val="24"/>
            </w:rPr>
            <w:t>近期建设任务</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_Toc19820 \h </w:instrText>
          </w:r>
          <w:r>
            <w:rPr>
              <w:rFonts w:hint="eastAsia" w:ascii="仿宋" w:hAnsi="仿宋" w:eastAsia="仿宋" w:cs="仿宋"/>
              <w:sz w:val="24"/>
              <w:szCs w:val="24"/>
            </w:rPr>
            <w:fldChar w:fldCharType="separate"/>
          </w:r>
          <w:r>
            <w:rPr>
              <w:rFonts w:hint="eastAsia" w:ascii="仿宋" w:hAnsi="仿宋" w:eastAsia="仿宋" w:cs="仿宋"/>
              <w:sz w:val="24"/>
              <w:szCs w:val="24"/>
            </w:rPr>
            <w:t>81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_Toc29315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w:t>
          </w:r>
          <w:r>
            <w:rPr>
              <w:rFonts w:hint="eastAsia" w:ascii="仿宋" w:hAnsi="仿宋" w:eastAsia="仿宋" w:cs="仿宋"/>
              <w:sz w:val="24"/>
              <w:szCs w:val="24"/>
            </w:rPr>
            <w:t>投资估算</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_Toc29315 \h </w:instrText>
          </w:r>
          <w:r>
            <w:rPr>
              <w:rFonts w:hint="eastAsia" w:ascii="仿宋" w:hAnsi="仿宋" w:eastAsia="仿宋" w:cs="仿宋"/>
              <w:sz w:val="24"/>
              <w:szCs w:val="24"/>
            </w:rPr>
            <w:fldChar w:fldCharType="separate"/>
          </w:r>
          <w:r>
            <w:rPr>
              <w:rFonts w:hint="eastAsia" w:ascii="仿宋" w:hAnsi="仿宋" w:eastAsia="仿宋" w:cs="仿宋"/>
              <w:sz w:val="24"/>
              <w:szCs w:val="24"/>
            </w:rPr>
            <w:t>83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_Toc31535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十二、</w:t>
          </w:r>
          <w:r>
            <w:rPr>
              <w:rFonts w:hint="eastAsia" w:ascii="仿宋" w:hAnsi="仿宋" w:eastAsia="仿宋" w:cs="仿宋"/>
              <w:sz w:val="24"/>
              <w:szCs w:val="24"/>
            </w:rPr>
            <w:t>保障措施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_Toc31535 \h </w:instrText>
          </w:r>
          <w:r>
            <w:rPr>
              <w:rFonts w:hint="eastAsia" w:ascii="仿宋" w:hAnsi="仿宋" w:eastAsia="仿宋" w:cs="仿宋"/>
              <w:sz w:val="24"/>
              <w:szCs w:val="24"/>
            </w:rPr>
            <w:fldChar w:fldCharType="separate"/>
          </w:r>
          <w:r>
            <w:rPr>
              <w:rFonts w:hint="eastAsia" w:ascii="仿宋" w:hAnsi="仿宋" w:eastAsia="仿宋" w:cs="仿宋"/>
              <w:sz w:val="24"/>
              <w:szCs w:val="24"/>
            </w:rPr>
            <w:t>83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_Toc21383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一</w:t>
          </w:r>
          <w:r>
            <w:rPr>
              <w:rFonts w:hint="eastAsia" w:ascii="仿宋" w:hAnsi="仿宋" w:eastAsia="仿宋" w:cs="仿宋"/>
              <w:sz w:val="24"/>
              <w:szCs w:val="24"/>
              <w:lang w:eastAsia="zh-CN"/>
            </w:rPr>
            <w:t>）</w:t>
          </w:r>
          <w:r>
            <w:rPr>
              <w:rFonts w:hint="eastAsia" w:ascii="仿宋" w:hAnsi="仿宋" w:eastAsia="仿宋" w:cs="仿宋"/>
              <w:sz w:val="24"/>
              <w:szCs w:val="24"/>
            </w:rPr>
            <w:t>组织保障措施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_Toc21383 \h </w:instrText>
          </w:r>
          <w:r>
            <w:rPr>
              <w:rFonts w:hint="eastAsia" w:ascii="仿宋" w:hAnsi="仿宋" w:eastAsia="仿宋" w:cs="仿宋"/>
              <w:sz w:val="24"/>
              <w:szCs w:val="24"/>
            </w:rPr>
            <w:fldChar w:fldCharType="separate"/>
          </w:r>
          <w:r>
            <w:rPr>
              <w:rFonts w:hint="eastAsia" w:ascii="仿宋" w:hAnsi="仿宋" w:eastAsia="仿宋" w:cs="仿宋"/>
              <w:sz w:val="24"/>
              <w:szCs w:val="24"/>
            </w:rPr>
            <w:t>83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_Toc9429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w:t>
          </w:r>
          <w:r>
            <w:rPr>
              <w:rFonts w:hint="eastAsia" w:ascii="仿宋" w:hAnsi="仿宋" w:eastAsia="仿宋" w:cs="仿宋"/>
              <w:sz w:val="24"/>
              <w:szCs w:val="24"/>
            </w:rPr>
            <w:t>政策保障措施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_Toc9429 \h </w:instrText>
          </w:r>
          <w:r>
            <w:rPr>
              <w:rFonts w:hint="eastAsia" w:ascii="仿宋" w:hAnsi="仿宋" w:eastAsia="仿宋" w:cs="仿宋"/>
              <w:sz w:val="24"/>
              <w:szCs w:val="24"/>
            </w:rPr>
            <w:fldChar w:fldCharType="separate"/>
          </w:r>
          <w:r>
            <w:rPr>
              <w:rFonts w:hint="eastAsia" w:ascii="仿宋" w:hAnsi="仿宋" w:eastAsia="仿宋" w:cs="仿宋"/>
              <w:sz w:val="24"/>
              <w:szCs w:val="24"/>
            </w:rPr>
            <w:t>84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_Toc19862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三</w:t>
          </w:r>
          <w:r>
            <w:rPr>
              <w:rFonts w:hint="eastAsia" w:ascii="仿宋" w:hAnsi="仿宋" w:eastAsia="仿宋" w:cs="仿宋"/>
              <w:sz w:val="24"/>
              <w:szCs w:val="24"/>
              <w:lang w:eastAsia="zh-CN"/>
            </w:rPr>
            <w:t>）</w:t>
          </w:r>
          <w:r>
            <w:rPr>
              <w:rFonts w:hint="eastAsia" w:ascii="仿宋" w:hAnsi="仿宋" w:eastAsia="仿宋" w:cs="仿宋"/>
              <w:sz w:val="24"/>
              <w:szCs w:val="24"/>
            </w:rPr>
            <w:t>要素保障措施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_Toc19862 \h </w:instrText>
          </w:r>
          <w:r>
            <w:rPr>
              <w:rFonts w:hint="eastAsia" w:ascii="仿宋" w:hAnsi="仿宋" w:eastAsia="仿宋" w:cs="仿宋"/>
              <w:sz w:val="24"/>
              <w:szCs w:val="24"/>
            </w:rPr>
            <w:fldChar w:fldCharType="separate"/>
          </w:r>
          <w:r>
            <w:rPr>
              <w:rFonts w:hint="eastAsia" w:ascii="仿宋" w:hAnsi="仿宋" w:eastAsia="仿宋" w:cs="仿宋"/>
              <w:sz w:val="24"/>
              <w:szCs w:val="24"/>
            </w:rPr>
            <w:t>85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_Toc14916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hint="eastAsia" w:ascii="仿宋" w:hAnsi="仿宋" w:eastAsia="仿宋" w:cs="仿宋"/>
              <w:sz w:val="24"/>
              <w:szCs w:val="24"/>
            </w:rPr>
            <w:t>技术保障措施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_Toc14916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_Toc18586 </w:instrText>
          </w:r>
          <w:r>
            <w:rPr>
              <w:rFonts w:hint="eastAsia" w:ascii="仿宋" w:hAnsi="仿宋" w:eastAsia="仿宋" w:cs="仿宋"/>
              <w:sz w:val="24"/>
              <w:szCs w:val="24"/>
            </w:rPr>
            <w:fldChar w:fldCharType="separate"/>
          </w:r>
          <w:r>
            <w:rPr>
              <w:rFonts w:hint="eastAsia" w:ascii="仿宋" w:hAnsi="仿宋" w:eastAsia="仿宋" w:cs="仿宋"/>
              <w:sz w:val="24"/>
              <w:szCs w:val="24"/>
            </w:rPr>
            <w:t>第十三章 附则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_Toc18586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_Toc17644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（一）</w:t>
          </w:r>
          <w:r>
            <w:rPr>
              <w:rFonts w:hint="eastAsia" w:ascii="仿宋" w:hAnsi="仿宋" w:eastAsia="仿宋" w:cs="仿宋"/>
              <w:sz w:val="24"/>
              <w:szCs w:val="24"/>
            </w:rPr>
            <w:t>组织实施主体</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_Toc17644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_Toc11430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（二）</w:t>
          </w:r>
          <w:r>
            <w:rPr>
              <w:rFonts w:hint="eastAsia" w:ascii="仿宋" w:hAnsi="仿宋" w:eastAsia="仿宋" w:cs="仿宋"/>
              <w:sz w:val="24"/>
              <w:szCs w:val="24"/>
            </w:rPr>
            <w:t>解释权归属</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_Toc11430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12"/>
            </w:tabs>
            <w:spacing w:line="24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_Toc10070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（三）</w:t>
          </w:r>
          <w:r>
            <w:rPr>
              <w:rFonts w:hint="eastAsia" w:ascii="仿宋" w:hAnsi="仿宋" w:eastAsia="仿宋" w:cs="仿宋"/>
              <w:sz w:val="24"/>
              <w:szCs w:val="24"/>
            </w:rPr>
            <w:t>规划实施日期</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_Toc10070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fldChar w:fldCharType="end"/>
          </w:r>
        </w:p>
      </w:sdtContent>
    </w:sdt>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cs="仿宋"/>
          <w:sz w:val="24"/>
          <w:szCs w:val="24"/>
          <w:lang w:val="en-US" w:eastAsia="zh-CN"/>
        </w:rPr>
      </w:pPr>
      <w:r>
        <w:rPr>
          <w:rFonts w:hint="eastAsia" w:ascii="仿宋" w:hAnsi="仿宋" w:cs="仿宋"/>
          <w:sz w:val="24"/>
          <w:szCs w:val="24"/>
          <w:lang w:val="en-US" w:eastAsia="zh-CN"/>
        </w:rPr>
        <w:t>附图：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1、桃江县区位图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2、</w:t>
      </w:r>
      <w:bookmarkStart w:id="57" w:name="OLE_LINK134"/>
      <w:r>
        <w:rPr>
          <w:rFonts w:hint="eastAsia" w:ascii="仿宋" w:hAnsi="仿宋" w:cs="仿宋"/>
          <w:sz w:val="24"/>
          <w:szCs w:val="24"/>
          <w:lang w:val="en-US" w:eastAsia="zh-CN"/>
        </w:rPr>
        <w:t>桃江县辖区</w:t>
      </w:r>
      <w:bookmarkEnd w:id="57"/>
      <w:bookmarkStart w:id="58" w:name="OLE_LINK135"/>
      <w:r>
        <w:rPr>
          <w:rFonts w:hint="eastAsia" w:ascii="仿宋" w:hAnsi="仿宋" w:cs="仿宋"/>
          <w:sz w:val="24"/>
          <w:szCs w:val="24"/>
          <w:lang w:val="en-US" w:eastAsia="zh-CN"/>
        </w:rPr>
        <w:t>建筑垃圾处理设施</w:t>
      </w:r>
      <w:bookmarkEnd w:id="58"/>
      <w:r>
        <w:rPr>
          <w:rFonts w:hint="eastAsia" w:ascii="仿宋" w:hAnsi="仿宋" w:cs="仿宋"/>
          <w:sz w:val="24"/>
          <w:szCs w:val="24"/>
          <w:lang w:val="en-US" w:eastAsia="zh-CN"/>
        </w:rPr>
        <w:t>现状图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3、</w:t>
      </w:r>
      <w:bookmarkStart w:id="59" w:name="OLE_LINK136"/>
      <w:r>
        <w:rPr>
          <w:rFonts w:hint="eastAsia" w:ascii="仿宋" w:hAnsi="仿宋" w:cs="仿宋"/>
          <w:sz w:val="24"/>
          <w:szCs w:val="24"/>
          <w:lang w:val="en-US" w:eastAsia="zh-CN"/>
        </w:rPr>
        <w:t>桃江县辖区建筑垃圾处理</w:t>
      </w:r>
      <w:bookmarkEnd w:id="59"/>
      <w:r>
        <w:rPr>
          <w:rFonts w:hint="eastAsia" w:ascii="仿宋" w:hAnsi="仿宋" w:cs="仿宋"/>
          <w:sz w:val="24"/>
          <w:szCs w:val="24"/>
          <w:lang w:val="en-US" w:eastAsia="zh-CN"/>
        </w:rPr>
        <w:t>设施规划图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4、桃江县辖区建筑垃圾运输路线规划图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5、桃江县辖区建筑垃圾处理设施与三区三线套合图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6、</w:t>
      </w:r>
      <w:bookmarkStart w:id="60" w:name="OLE_LINK137"/>
      <w:r>
        <w:rPr>
          <w:rFonts w:hint="eastAsia" w:ascii="仿宋" w:hAnsi="仿宋" w:cs="仿宋"/>
          <w:sz w:val="24"/>
          <w:szCs w:val="24"/>
          <w:lang w:val="en-US" w:eastAsia="zh-CN"/>
        </w:rPr>
        <w:t>沾溪镇</w:t>
      </w:r>
      <w:bookmarkStart w:id="61" w:name="OLE_LINK138"/>
      <w:r>
        <w:rPr>
          <w:rFonts w:hint="eastAsia" w:ascii="仿宋" w:hAnsi="仿宋" w:cs="仿宋"/>
          <w:sz w:val="24"/>
          <w:szCs w:val="24"/>
          <w:lang w:val="en-US" w:eastAsia="zh-CN"/>
        </w:rPr>
        <w:t>转运调配场</w:t>
      </w:r>
      <w:bookmarkEnd w:id="60"/>
      <w:r>
        <w:rPr>
          <w:rFonts w:hint="eastAsia" w:ascii="仿宋" w:hAnsi="仿宋" w:cs="仿宋"/>
          <w:sz w:val="24"/>
          <w:szCs w:val="24"/>
          <w:lang w:val="en-US" w:eastAsia="zh-CN"/>
        </w:rPr>
        <w:t>规划范围图</w:t>
      </w:r>
      <w:bookmarkEnd w:id="61"/>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7、沾溪镇转运调配场选址分析图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8、鸬鹚渡镇转运调配场规划范围图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9、鸬鹚渡镇转运调配场选址分析图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10、牛田镇转运调配场规划范围图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11、牛田镇转运调配场选址分析图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12、浮邱山乡建筑垃圾填埋场规划范围图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13、浮邱山乡建筑垃圾填埋场选址分析图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14、灰山港镇建筑垃圾填埋场规划范围图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r>
        <w:rPr>
          <w:rFonts w:hint="eastAsia" w:ascii="仿宋" w:hAnsi="仿宋" w:cs="仿宋"/>
          <w:sz w:val="24"/>
          <w:szCs w:val="24"/>
          <w:lang w:val="en-US" w:eastAsia="zh-CN"/>
        </w:rPr>
        <w:t>15、灰山港镇建筑垃圾填埋场选址分析图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仿宋" w:hAnsi="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cs="仿宋"/>
          <w:sz w:val="24"/>
          <w:szCs w:val="24"/>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start="1"/>
          <w:cols w:space="425" w:num="1"/>
          <w:titlePg/>
          <w:docGrid w:type="lines" w:linePitch="381" w:charSpace="0"/>
        </w:sectPr>
      </w:pPr>
    </w:p>
    <w:p>
      <w:pPr>
        <w:pStyle w:val="2"/>
        <w:pageBreakBefore w:val="0"/>
        <w:kinsoku/>
        <w:wordWrap w:val="0"/>
        <w:overflowPunct/>
        <w:topLinePunct w:val="0"/>
        <w:autoSpaceDE/>
        <w:autoSpaceDN/>
        <w:bidi w:val="0"/>
        <w:adjustRightInd/>
        <w:snapToGrid/>
        <w:rPr>
          <w:rFonts w:hint="eastAsia"/>
          <w:lang w:eastAsia="zh-CN"/>
        </w:rPr>
      </w:pPr>
      <w:bookmarkStart w:id="62" w:name="_Toc17598"/>
      <w:r>
        <w:t>一、</w:t>
      </w:r>
      <w:bookmarkEnd w:id="0"/>
      <w:r>
        <w:rPr>
          <w:rFonts w:hint="eastAsia"/>
          <w:lang w:val="en-US" w:eastAsia="zh-CN"/>
        </w:rPr>
        <w:t>总则</w:t>
      </w:r>
      <w:bookmarkEnd w:id="62"/>
    </w:p>
    <w:p>
      <w:pPr>
        <w:pStyle w:val="3"/>
        <w:bidi w:val="0"/>
        <w:rPr>
          <w:rFonts w:hint="eastAsia" w:ascii="楷体" w:hAnsi="楷体" w:eastAsia="楷体" w:cs="楷体"/>
          <w:sz w:val="28"/>
          <w:szCs w:val="28"/>
          <w:lang w:eastAsia="zh-CN"/>
        </w:rPr>
      </w:pPr>
      <w:bookmarkStart w:id="63" w:name="_Toc36148498"/>
      <w:bookmarkStart w:id="64" w:name="_Toc18514"/>
      <w:r>
        <w:rPr>
          <w:rFonts w:hint="eastAsia" w:ascii="楷体" w:hAnsi="楷体" w:eastAsia="楷体" w:cs="楷体"/>
          <w:sz w:val="28"/>
          <w:szCs w:val="28"/>
        </w:rPr>
        <w:t>（一）规划</w:t>
      </w:r>
      <w:bookmarkEnd w:id="63"/>
      <w:r>
        <w:rPr>
          <w:rFonts w:hint="eastAsia" w:ascii="楷体" w:hAnsi="楷体" w:eastAsia="楷体" w:cs="楷体"/>
          <w:sz w:val="28"/>
          <w:szCs w:val="28"/>
          <w:lang w:val="en-US" w:eastAsia="zh-CN"/>
        </w:rPr>
        <w:t>背景</w:t>
      </w:r>
      <w:bookmarkEnd w:id="64"/>
    </w:p>
    <w:p>
      <w:pPr>
        <w:pageBreakBefore w:val="0"/>
        <w:kinsoku/>
        <w:wordWrap w:val="0"/>
        <w:overflowPunct/>
        <w:topLinePunct w:val="0"/>
        <w:autoSpaceDE/>
        <w:autoSpaceDN/>
        <w:bidi w:val="0"/>
        <w:adjustRightInd/>
        <w:snapToGrid/>
        <w:rPr>
          <w:rFonts w:hint="eastAsia"/>
        </w:rPr>
      </w:pPr>
      <w:r>
        <w:rPr>
          <w:rFonts w:hint="eastAsia"/>
        </w:rPr>
        <w:t>为全面贯彻落实《中华人民共和国固体废物污染环境防治法》</w:t>
      </w:r>
      <w:r>
        <w:rPr>
          <w:rFonts w:hint="eastAsia"/>
          <w:lang w:eastAsia="zh-CN"/>
        </w:rPr>
        <w:t>、《</w:t>
      </w:r>
      <w:r>
        <w:rPr>
          <w:rFonts w:hint="eastAsia"/>
        </w:rPr>
        <w:t>国务院办公厅转发住房城乡建设部</w:t>
      </w:r>
      <w:r>
        <w:rPr>
          <w:rFonts w:hint="eastAsia"/>
          <w:lang w:val="en-US" w:eastAsia="zh-CN"/>
        </w:rPr>
        <w:t>&lt;关于进一步加强城市建筑垃圾治理的意见&gt;的通知</w:t>
      </w:r>
      <w:r>
        <w:rPr>
          <w:rFonts w:hint="eastAsia"/>
          <w:lang w:eastAsia="zh-CN"/>
        </w:rPr>
        <w:t>》</w:t>
      </w:r>
      <w:r>
        <w:rPr>
          <w:rFonts w:hint="eastAsia"/>
          <w:lang w:val="en-US" w:eastAsia="zh-CN"/>
        </w:rPr>
        <w:t>(国办函〔2025〕57号)、</w:t>
      </w:r>
      <w:r>
        <w:rPr>
          <w:rFonts w:hint="eastAsia"/>
        </w:rPr>
        <w:t>《湖南省城市建筑垃圾专项整治实施方案》（湘政办函〔2024〕79号）等文件精神，加强对桃江县建筑垃圾全过程管理，改善城市容貌、环境卫生和资源化循环发展，推进城乡文明建设，促进建筑垃圾规范管理有序推进，推进</w:t>
      </w:r>
      <w:r>
        <w:rPr>
          <w:rFonts w:hint="eastAsia"/>
          <w:lang w:val="en-US" w:eastAsia="zh-CN"/>
        </w:rPr>
        <w:t>桃江县</w:t>
      </w:r>
      <w:r>
        <w:rPr>
          <w:rFonts w:hint="eastAsia"/>
        </w:rPr>
        <w:t>建筑垃圾资源化项目健康发展，健全完善建筑垃圾的监督管理体系，进一步提高城市环境质量，发展循环经济，彻底解决建筑垃圾环境污染问题和资源化利用问题，编制《桃江县建筑垃圾资源化利用发展规划（202</w:t>
      </w:r>
      <w:r>
        <w:rPr>
          <w:rFonts w:hint="eastAsia"/>
          <w:lang w:val="en-US" w:eastAsia="zh-CN"/>
        </w:rPr>
        <w:t>5</w:t>
      </w:r>
      <w:r>
        <w:rPr>
          <w:rFonts w:hint="eastAsia"/>
        </w:rPr>
        <w:t>-203</w:t>
      </w:r>
      <w:r>
        <w:rPr>
          <w:rFonts w:hint="eastAsia"/>
          <w:lang w:val="en-US" w:eastAsia="zh-CN"/>
        </w:rPr>
        <w:t>5</w:t>
      </w:r>
      <w:r>
        <w:rPr>
          <w:rFonts w:hint="eastAsia"/>
        </w:rPr>
        <w:t>）》。</w:t>
      </w:r>
    </w:p>
    <w:p>
      <w:pPr>
        <w:pStyle w:val="3"/>
        <w:pageBreakBefore w:val="0"/>
        <w:kinsoku/>
        <w:wordWrap w:val="0"/>
        <w:overflowPunct/>
        <w:topLinePunct w:val="0"/>
        <w:autoSpaceDE/>
        <w:autoSpaceDN/>
        <w:bidi w:val="0"/>
        <w:adjustRightInd/>
        <w:snapToGrid/>
        <w:rPr>
          <w:rFonts w:hint="eastAsia" w:ascii="楷体" w:hAnsi="楷体" w:eastAsia="楷体" w:cs="楷体"/>
          <w:sz w:val="28"/>
          <w:szCs w:val="28"/>
          <w:lang w:val="en-US" w:eastAsia="zh-CN"/>
        </w:rPr>
      </w:pPr>
      <w:bookmarkStart w:id="65" w:name="_Toc11471"/>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二</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指导思想</w:t>
      </w:r>
      <w:bookmarkEnd w:id="65"/>
    </w:p>
    <w:p>
      <w:pPr>
        <w:bidi w:val="0"/>
        <w:rPr>
          <w:lang w:val="en-US" w:eastAsia="en-US"/>
        </w:rPr>
      </w:pPr>
      <w:bookmarkStart w:id="66" w:name="OLE_LINK5"/>
      <w:r>
        <w:rPr>
          <w:lang w:val="en-US" w:eastAsia="en-US"/>
        </w:rPr>
        <w:t>全</w:t>
      </w:r>
      <w:bookmarkStart w:id="67" w:name="OLE_LINK3"/>
      <w:r>
        <w:rPr>
          <w:lang w:val="en-US" w:eastAsia="en-US"/>
        </w:rPr>
        <w:t>面贯彻</w:t>
      </w:r>
      <w:bookmarkEnd w:id="67"/>
      <w:r>
        <w:rPr>
          <w:lang w:val="en-US" w:eastAsia="en-US"/>
        </w:rPr>
        <w:t>党的二十大精神，以</w:t>
      </w:r>
      <w:bookmarkStart w:id="68" w:name="OLE_LINK4"/>
      <w:bookmarkStart w:id="69" w:name="OLE_LINK11"/>
      <w:r>
        <w:rPr>
          <w:rFonts w:hint="default"/>
          <w:lang w:val="en-US" w:eastAsia="en-US"/>
        </w:rPr>
        <w:t>习近平生态文明思想</w:t>
      </w:r>
      <w:bookmarkEnd w:id="68"/>
      <w:r>
        <w:rPr>
          <w:lang w:val="en-US" w:eastAsia="en-US"/>
        </w:rPr>
        <w:t>为指引，立足新发展阶段、贯彻新发展理念、服务和融入新发展格局，牢牢把握</w:t>
      </w:r>
      <w:r>
        <w:rPr>
          <w:rFonts w:hint="eastAsia"/>
          <w:lang w:val="en-US" w:eastAsia="zh-CN"/>
        </w:rPr>
        <w:t>“</w:t>
      </w:r>
      <w:r>
        <w:rPr>
          <w:lang w:val="en-US" w:eastAsia="en-US"/>
        </w:rPr>
        <w:t>减污降碳协同增效</w:t>
      </w:r>
      <w:r>
        <w:rPr>
          <w:rFonts w:hint="eastAsia"/>
          <w:lang w:val="en-US" w:eastAsia="zh-CN"/>
        </w:rPr>
        <w:t>”</w:t>
      </w:r>
      <w:r>
        <w:rPr>
          <w:lang w:val="en-US" w:eastAsia="en-US"/>
        </w:rPr>
        <w:t>总抓手，坚持统筹规划、政策引导、</w:t>
      </w:r>
      <w:bookmarkStart w:id="70" w:name="OLE_LINK6"/>
      <w:r>
        <w:rPr>
          <w:lang w:val="en-US" w:eastAsia="en-US"/>
        </w:rPr>
        <w:t>市场运作原则，</w:t>
      </w:r>
      <w:bookmarkEnd w:id="66"/>
      <w:bookmarkEnd w:id="70"/>
      <w:r>
        <w:rPr>
          <w:lang w:val="en-US" w:eastAsia="en-US"/>
        </w:rPr>
        <w:t>按照源头减量、过程控制、末端利用方式，构建布局合理、管理规范、技术先进的建筑垃圾资源化利用体系，实现建筑垃圾资源化、减量化、无害化的目标，改善城市人居环境，促进经济社会可持续发展。</w:t>
      </w:r>
    </w:p>
    <w:bookmarkEnd w:id="69"/>
    <w:p>
      <w:pPr>
        <w:pStyle w:val="3"/>
        <w:pageBreakBefore w:val="0"/>
        <w:kinsoku/>
        <w:wordWrap w:val="0"/>
        <w:overflowPunct/>
        <w:topLinePunct w:val="0"/>
        <w:autoSpaceDE/>
        <w:autoSpaceDN/>
        <w:bidi w:val="0"/>
        <w:adjustRightInd/>
        <w:snapToGrid/>
        <w:rPr>
          <w:rFonts w:hint="eastAsia" w:ascii="楷体" w:hAnsi="楷体" w:eastAsia="楷体" w:cs="楷体"/>
          <w:sz w:val="28"/>
          <w:szCs w:val="28"/>
          <w:lang w:val="en-US" w:eastAsia="zh-CN"/>
        </w:rPr>
      </w:pPr>
      <w:bookmarkStart w:id="71" w:name="_Toc29278"/>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三</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规划原则</w:t>
      </w:r>
      <w:bookmarkEnd w:id="71"/>
    </w:p>
    <w:p>
      <w:pPr>
        <w:pStyle w:val="4"/>
        <w:pageBreakBefore w:val="0"/>
        <w:kinsoku/>
        <w:wordWrap w:val="0"/>
        <w:overflowPunct/>
        <w:topLinePunct w:val="0"/>
        <w:autoSpaceDE/>
        <w:autoSpaceDN/>
        <w:bidi w:val="0"/>
        <w:adjustRightInd/>
        <w:snapToGrid/>
        <w:rPr>
          <w:rFonts w:hint="eastAsia"/>
        </w:rPr>
      </w:pPr>
      <w:r>
        <w:rPr>
          <w:rFonts w:hint="eastAsia"/>
          <w:lang w:val="en-US" w:eastAsia="zh-CN"/>
        </w:rPr>
        <w:t>1、</w:t>
      </w:r>
      <w:r>
        <w:rPr>
          <w:rFonts w:hint="eastAsia"/>
        </w:rPr>
        <w:t>源头减量，合理布局</w:t>
      </w:r>
    </w:p>
    <w:p>
      <w:pPr>
        <w:bidi w:val="0"/>
        <w:rPr>
          <w:rFonts w:hint="default"/>
        </w:rPr>
      </w:pPr>
      <w:r>
        <w:rPr>
          <w:rFonts w:hint="eastAsia"/>
        </w:rPr>
        <w:t>遵循减量化、资源化、无害化原则，加强建筑垃圾源头管控，统筹规划、建设、管理等环节，推进实施绿色设计与绿色施工，预防和有效减少建筑垃圾产生和排放</w:t>
      </w:r>
      <w:r>
        <w:rPr>
          <w:rFonts w:hint="eastAsia"/>
          <w:lang w:eastAsia="zh-CN"/>
        </w:rPr>
        <w:t>，</w:t>
      </w:r>
      <w:r>
        <w:rPr>
          <w:rFonts w:hint="eastAsia"/>
        </w:rPr>
        <w:t>减少填埋处置量</w:t>
      </w:r>
      <w:r>
        <w:rPr>
          <w:rFonts w:hint="eastAsia"/>
          <w:lang w:eastAsia="zh-CN"/>
        </w:rPr>
        <w:t>，</w:t>
      </w:r>
      <w:r>
        <w:rPr>
          <w:rFonts w:hint="eastAsia"/>
          <w:lang w:val="en-US" w:eastAsia="zh-CN"/>
        </w:rPr>
        <w:t>加大</w:t>
      </w:r>
      <w:r>
        <w:rPr>
          <w:rFonts w:hint="default"/>
        </w:rPr>
        <w:t>建筑垃圾处置和资源化利用</w:t>
      </w:r>
      <w:r>
        <w:rPr>
          <w:rFonts w:hint="eastAsia"/>
        </w:rPr>
        <w:t>。</w:t>
      </w:r>
      <w:r>
        <w:rPr>
          <w:rFonts w:hint="default"/>
        </w:rPr>
        <w:t>统筹布局，与国土空间总体规划、环卫设施专项规划等相关规划相协调</w:t>
      </w:r>
      <w:r>
        <w:rPr>
          <w:rFonts w:hint="eastAsia"/>
          <w:lang w:eastAsia="zh-CN"/>
        </w:rPr>
        <w:t>，</w:t>
      </w:r>
      <w:r>
        <w:rPr>
          <w:rFonts w:hint="default"/>
        </w:rPr>
        <w:t>减少对生态环境的影响。</w:t>
      </w:r>
    </w:p>
    <w:p>
      <w:pPr>
        <w:pStyle w:val="4"/>
        <w:pageBreakBefore w:val="0"/>
        <w:kinsoku/>
        <w:wordWrap w:val="0"/>
        <w:overflowPunct/>
        <w:topLinePunct w:val="0"/>
        <w:autoSpaceDE/>
        <w:autoSpaceDN/>
        <w:bidi w:val="0"/>
        <w:adjustRightInd/>
        <w:snapToGrid/>
        <w:rPr>
          <w:rFonts w:hint="default"/>
        </w:rPr>
      </w:pPr>
      <w:r>
        <w:rPr>
          <w:rFonts w:hint="eastAsia"/>
          <w:lang w:val="en-US" w:eastAsia="zh-CN"/>
        </w:rPr>
        <w:t>2、</w:t>
      </w:r>
      <w:r>
        <w:t>‌</w:t>
      </w:r>
      <w:r>
        <w:rPr>
          <w:rFonts w:hint="default"/>
        </w:rPr>
        <w:t>政府主导</w:t>
      </w:r>
      <w:r>
        <w:rPr>
          <w:rFonts w:hint="eastAsia"/>
          <w:lang w:eastAsia="zh-CN"/>
        </w:rPr>
        <w:t>，</w:t>
      </w:r>
      <w:r>
        <w:rPr>
          <w:rFonts w:hint="default"/>
        </w:rPr>
        <w:t>社会参与</w:t>
      </w:r>
    </w:p>
    <w:p>
      <w:pPr>
        <w:pageBreakBefore w:val="0"/>
        <w:kinsoku/>
        <w:wordWrap w:val="0"/>
        <w:overflowPunct/>
        <w:topLinePunct w:val="0"/>
        <w:autoSpaceDE/>
        <w:autoSpaceDN/>
        <w:bidi w:val="0"/>
        <w:adjustRightInd/>
        <w:snapToGrid/>
        <w:rPr>
          <w:rFonts w:hint="default"/>
        </w:rPr>
      </w:pPr>
      <w:r>
        <w:rPr>
          <w:rFonts w:hint="default"/>
        </w:rPr>
        <w:t>政府统筹规划管理，鼓励企业、公众共同参与建筑垃圾治理</w:t>
      </w:r>
      <w:r>
        <w:rPr>
          <w:rFonts w:hint="eastAsia"/>
          <w:lang w:eastAsia="zh-CN"/>
        </w:rPr>
        <w:t>，</w:t>
      </w:r>
      <w:r>
        <w:rPr>
          <w:rFonts w:hint="eastAsia"/>
        </w:rPr>
        <w:t>实现建筑垃圾收运一体化，推动辖区内建筑垃圾收运、处置工作规范化运行</w:t>
      </w:r>
      <w:r>
        <w:rPr>
          <w:rFonts w:hint="eastAsia"/>
          <w:lang w:eastAsia="zh-CN"/>
        </w:rPr>
        <w:t>。</w:t>
      </w:r>
      <w:r>
        <w:rPr>
          <w:rFonts w:hint="default"/>
        </w:rPr>
        <w:t>推进建筑垃圾处理产业化发展和市场化运作，引入竞争机制，鼓励建筑垃圾处理设施建设投资多元化、运营市场化。</w:t>
      </w:r>
    </w:p>
    <w:p>
      <w:pPr>
        <w:pStyle w:val="4"/>
        <w:pageBreakBefore w:val="0"/>
        <w:kinsoku/>
        <w:wordWrap w:val="0"/>
        <w:overflowPunct/>
        <w:topLinePunct w:val="0"/>
        <w:autoSpaceDE/>
        <w:autoSpaceDN/>
        <w:bidi w:val="0"/>
        <w:adjustRightInd/>
        <w:snapToGrid/>
      </w:pPr>
      <w:r>
        <w:rPr>
          <w:rFonts w:hint="eastAsia"/>
          <w:lang w:val="en-US" w:eastAsia="zh-CN"/>
        </w:rPr>
        <w:t>3</w:t>
      </w:r>
      <w:r>
        <w:rPr>
          <w:rFonts w:hint="eastAsia"/>
        </w:rPr>
        <w:t>、科学预测，系统谋划</w:t>
      </w:r>
    </w:p>
    <w:p>
      <w:pPr>
        <w:pageBreakBefore w:val="0"/>
        <w:kinsoku/>
        <w:wordWrap w:val="0"/>
        <w:overflowPunct/>
        <w:topLinePunct w:val="0"/>
        <w:autoSpaceDE/>
        <w:autoSpaceDN/>
        <w:bidi w:val="0"/>
        <w:adjustRightInd/>
        <w:snapToGrid/>
      </w:pPr>
      <w:r>
        <w:rPr>
          <w:rFonts w:hint="eastAsia"/>
        </w:rPr>
        <w:t>系统分析</w:t>
      </w:r>
      <w:r>
        <w:rPr>
          <w:rFonts w:hint="eastAsia"/>
          <w:lang w:val="en-US" w:eastAsia="zh-CN"/>
        </w:rPr>
        <w:t>区域内</w:t>
      </w:r>
      <w:r>
        <w:rPr>
          <w:rFonts w:hint="eastAsia"/>
        </w:rPr>
        <w:t>工程渣土、工程垃圾、拆除垃圾</w:t>
      </w:r>
      <w:r>
        <w:rPr>
          <w:rFonts w:hint="eastAsia"/>
          <w:lang w:eastAsia="zh-CN"/>
        </w:rPr>
        <w:t>、装修垃圾</w:t>
      </w:r>
      <w:r>
        <w:rPr>
          <w:rFonts w:hint="eastAsia"/>
        </w:rPr>
        <w:t>等各类建筑垃圾</w:t>
      </w:r>
      <w:r>
        <w:rPr>
          <w:rFonts w:hint="eastAsia"/>
          <w:lang w:val="en-US" w:eastAsia="zh-CN"/>
        </w:rPr>
        <w:t>情况</w:t>
      </w:r>
      <w:r>
        <w:rPr>
          <w:rFonts w:hint="eastAsia"/>
          <w:lang w:eastAsia="zh-CN"/>
        </w:rPr>
        <w:t>，</w:t>
      </w:r>
      <w:r>
        <w:rPr>
          <w:rFonts w:hint="eastAsia"/>
        </w:rPr>
        <w:t>科学预判产生</w:t>
      </w:r>
      <w:r>
        <w:rPr>
          <w:rFonts w:hint="eastAsia"/>
          <w:lang w:val="en-US" w:eastAsia="zh-CN"/>
        </w:rPr>
        <w:t>数量</w:t>
      </w:r>
      <w:r>
        <w:rPr>
          <w:rFonts w:hint="eastAsia"/>
        </w:rPr>
        <w:t>。</w:t>
      </w:r>
      <w:r>
        <w:rPr>
          <w:rFonts w:hint="default"/>
        </w:rPr>
        <w:t>处理技术应用符合国家节能环保政策的新工艺、新技术、选用新设备和新材料</w:t>
      </w:r>
      <w:r>
        <w:rPr>
          <w:rFonts w:hint="eastAsia"/>
          <w:lang w:eastAsia="zh-CN"/>
        </w:rPr>
        <w:t>，</w:t>
      </w:r>
      <w:r>
        <w:rPr>
          <w:rFonts w:hint="eastAsia"/>
        </w:rPr>
        <w:t>实现设施效能最大化。</w:t>
      </w:r>
    </w:p>
    <w:p>
      <w:pPr>
        <w:pStyle w:val="3"/>
        <w:pageBreakBefore w:val="0"/>
        <w:kinsoku/>
        <w:wordWrap w:val="0"/>
        <w:overflowPunct/>
        <w:topLinePunct w:val="0"/>
        <w:autoSpaceDE/>
        <w:autoSpaceDN/>
        <w:bidi w:val="0"/>
        <w:adjustRightInd/>
        <w:snapToGrid/>
        <w:ind w:firstLine="562" w:firstLineChars="200"/>
        <w:rPr>
          <w:rFonts w:hint="eastAsia" w:ascii="楷体" w:hAnsi="楷体" w:eastAsia="楷体" w:cs="楷体"/>
          <w:sz w:val="28"/>
          <w:szCs w:val="28"/>
        </w:rPr>
      </w:pPr>
      <w:bookmarkStart w:id="72" w:name="_Toc18061"/>
      <w:r>
        <w:rPr>
          <w:rFonts w:hint="eastAsia" w:ascii="楷体" w:hAnsi="楷体" w:eastAsia="楷体" w:cs="楷体"/>
          <w:sz w:val="28"/>
          <w:szCs w:val="28"/>
        </w:rPr>
        <w:t>（</w:t>
      </w:r>
      <w:r>
        <w:rPr>
          <w:rFonts w:hint="eastAsia" w:ascii="楷体" w:hAnsi="楷体" w:eastAsia="楷体" w:cs="楷体"/>
          <w:sz w:val="28"/>
          <w:szCs w:val="28"/>
          <w:lang w:val="en-US" w:eastAsia="zh-CN"/>
        </w:rPr>
        <w:t>四</w:t>
      </w:r>
      <w:r>
        <w:rPr>
          <w:rFonts w:hint="eastAsia" w:ascii="楷体" w:hAnsi="楷体" w:eastAsia="楷体" w:cs="楷体"/>
          <w:sz w:val="28"/>
          <w:szCs w:val="28"/>
        </w:rPr>
        <w:t>）规划依据</w:t>
      </w:r>
      <w:bookmarkEnd w:id="72"/>
    </w:p>
    <w:p>
      <w:pPr>
        <w:bidi w:val="0"/>
      </w:pPr>
      <w:r>
        <w:rPr>
          <w:rFonts w:hint="eastAsia"/>
          <w:lang w:val="en-US" w:eastAsia="zh-CN"/>
        </w:rPr>
        <w:t>桃江县建筑垃圾污染环境防治工作规划</w:t>
      </w:r>
      <w:r>
        <w:t>规划依据如下：</w:t>
      </w:r>
    </w:p>
    <w:p>
      <w:pPr>
        <w:pageBreakBefore w:val="0"/>
        <w:kinsoku/>
        <w:wordWrap w:val="0"/>
        <w:overflowPunct/>
        <w:topLinePunct w:val="0"/>
        <w:autoSpaceDE/>
        <w:autoSpaceDN/>
        <w:bidi w:val="0"/>
        <w:adjustRightInd/>
        <w:snapToGrid/>
        <w:rPr>
          <w:rFonts w:hint="eastAsia"/>
          <w:lang w:eastAsia="zh-CN"/>
        </w:rPr>
      </w:pPr>
      <w:r>
        <w:rPr>
          <w:rFonts w:hint="eastAsia"/>
          <w:lang w:val="en-US" w:eastAsia="zh-CN"/>
        </w:rPr>
        <w:t>1、</w:t>
      </w:r>
      <w:r>
        <w:t>《中华人民共和国环境保护法》</w:t>
      </w:r>
      <w:r>
        <w:rPr>
          <w:rFonts w:hint="eastAsia"/>
          <w:lang w:eastAsia="zh-CN"/>
        </w:rPr>
        <w:t>；</w:t>
      </w:r>
    </w:p>
    <w:p>
      <w:pPr>
        <w:pageBreakBefore w:val="0"/>
        <w:kinsoku/>
        <w:wordWrap w:val="0"/>
        <w:overflowPunct/>
        <w:topLinePunct w:val="0"/>
        <w:autoSpaceDE/>
        <w:autoSpaceDN/>
        <w:bidi w:val="0"/>
        <w:adjustRightInd/>
        <w:snapToGrid/>
      </w:pPr>
      <w:r>
        <w:rPr>
          <w:rFonts w:hint="eastAsia"/>
          <w:lang w:val="en-US" w:eastAsia="zh-CN"/>
        </w:rPr>
        <w:t>2、</w:t>
      </w:r>
      <w:r>
        <w:t>《中华人民共和国固体废物污染环境防治法》；</w:t>
      </w:r>
    </w:p>
    <w:p>
      <w:pPr>
        <w:pageBreakBefore w:val="0"/>
        <w:kinsoku/>
        <w:wordWrap w:val="0"/>
        <w:overflowPunct/>
        <w:topLinePunct w:val="0"/>
        <w:autoSpaceDE/>
        <w:autoSpaceDN/>
        <w:bidi w:val="0"/>
        <w:adjustRightInd/>
        <w:snapToGrid/>
      </w:pPr>
      <w:r>
        <w:rPr>
          <w:rFonts w:hint="eastAsia"/>
          <w:lang w:val="en-US" w:eastAsia="zh-CN"/>
        </w:rPr>
        <w:t>3、</w:t>
      </w:r>
      <w:r>
        <w:t>《中华人民共和国循环经济促进法》；</w:t>
      </w:r>
    </w:p>
    <w:p>
      <w:pPr>
        <w:pageBreakBefore w:val="0"/>
        <w:kinsoku/>
        <w:wordWrap w:val="0"/>
        <w:overflowPunct/>
        <w:topLinePunct w:val="0"/>
        <w:autoSpaceDE/>
        <w:autoSpaceDN/>
        <w:bidi w:val="0"/>
        <w:adjustRightInd/>
        <w:snapToGrid/>
      </w:pPr>
      <w:r>
        <w:rPr>
          <w:rFonts w:hint="eastAsia"/>
          <w:lang w:val="en-US" w:eastAsia="zh-CN"/>
        </w:rPr>
        <w:t>4、</w:t>
      </w:r>
      <w:r>
        <w:t>《中华人民共和国城乡规划法》；</w:t>
      </w:r>
    </w:p>
    <w:p>
      <w:pPr>
        <w:pageBreakBefore w:val="0"/>
        <w:kinsoku/>
        <w:wordWrap w:val="0"/>
        <w:overflowPunct/>
        <w:topLinePunct w:val="0"/>
        <w:autoSpaceDE/>
        <w:autoSpaceDN/>
        <w:bidi w:val="0"/>
        <w:adjustRightInd/>
        <w:snapToGrid/>
      </w:pPr>
      <w:r>
        <w:rPr>
          <w:rFonts w:hint="eastAsia"/>
          <w:lang w:val="en-US" w:eastAsia="zh-CN"/>
        </w:rPr>
        <w:t>5、</w:t>
      </w:r>
      <w:r>
        <w:t>《中华人民共和国土地管理法》；</w:t>
      </w:r>
    </w:p>
    <w:p>
      <w:pPr>
        <w:pageBreakBefore w:val="0"/>
        <w:kinsoku/>
        <w:wordWrap w:val="0"/>
        <w:overflowPunct/>
        <w:topLinePunct w:val="0"/>
        <w:autoSpaceDE/>
        <w:autoSpaceDN/>
        <w:bidi w:val="0"/>
        <w:adjustRightInd/>
        <w:snapToGrid/>
      </w:pPr>
      <w:r>
        <w:rPr>
          <w:rFonts w:hint="eastAsia"/>
          <w:lang w:val="en-US" w:eastAsia="zh-CN"/>
        </w:rPr>
        <w:t>6、</w:t>
      </w:r>
      <w:r>
        <w:t>《城市建筑垃圾管理规定》；</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7、</w:t>
      </w:r>
      <w:r>
        <w:rPr>
          <w:rFonts w:hint="eastAsia"/>
        </w:rPr>
        <w:t>《中华人民共和国水污染防治法》</w:t>
      </w:r>
      <w:r>
        <w:rPr>
          <w:rFonts w:hint="eastAsia"/>
          <w:lang w:eastAsia="zh-CN"/>
        </w:rPr>
        <w:t>；</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8、</w:t>
      </w:r>
      <w:r>
        <w:rPr>
          <w:lang w:eastAsia="en-US"/>
        </w:rPr>
        <w:t>《中华人民共和国大气污染防治法》</w:t>
      </w:r>
      <w:r>
        <w:rPr>
          <w:rFonts w:hint="eastAsia"/>
          <w:lang w:eastAsia="zh-CN"/>
        </w:rPr>
        <w:t>；</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9、</w:t>
      </w:r>
      <w:r>
        <w:rPr>
          <w:lang w:eastAsia="en-US"/>
        </w:rPr>
        <w:t>《中华人民共和国土壤污染防治法》</w:t>
      </w:r>
      <w:r>
        <w:rPr>
          <w:rFonts w:hint="eastAsia"/>
          <w:lang w:eastAsia="zh-CN"/>
        </w:rPr>
        <w:t>；</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10、</w:t>
      </w:r>
      <w:r>
        <w:rPr>
          <w:rFonts w:hint="eastAsia"/>
        </w:rPr>
        <w:t>《中华人民共和国环境影响评价法》</w:t>
      </w:r>
      <w:r>
        <w:rPr>
          <w:rFonts w:hint="eastAsia"/>
          <w:lang w:eastAsia="zh-CN"/>
        </w:rPr>
        <w:t>；</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11、</w:t>
      </w:r>
      <w:r>
        <w:rPr>
          <w:rFonts w:hint="eastAsia"/>
        </w:rPr>
        <w:t>《城市建筑垃圾管理规定》</w:t>
      </w:r>
      <w:r>
        <w:rPr>
          <w:rFonts w:hint="eastAsia"/>
          <w:lang w:eastAsia="zh-CN"/>
        </w:rPr>
        <w:t>；</w:t>
      </w:r>
    </w:p>
    <w:p>
      <w:pPr>
        <w:pageBreakBefore w:val="0"/>
        <w:kinsoku/>
        <w:wordWrap w:val="0"/>
        <w:overflowPunct/>
        <w:topLinePunct w:val="0"/>
        <w:autoSpaceDE/>
        <w:autoSpaceDN/>
        <w:bidi w:val="0"/>
        <w:adjustRightInd/>
        <w:snapToGrid/>
      </w:pPr>
      <w:r>
        <w:rPr>
          <w:rFonts w:hint="eastAsia"/>
          <w:lang w:val="en-US" w:eastAsia="zh-CN"/>
        </w:rPr>
        <w:t>12、</w:t>
      </w:r>
      <w:r>
        <w:t>《城市市容和环境卫生管理条例》；</w:t>
      </w:r>
    </w:p>
    <w:p>
      <w:pPr>
        <w:pageBreakBefore w:val="0"/>
        <w:kinsoku/>
        <w:wordWrap w:val="0"/>
        <w:overflowPunct/>
        <w:topLinePunct w:val="0"/>
        <w:autoSpaceDE/>
        <w:autoSpaceDN/>
        <w:bidi w:val="0"/>
        <w:adjustRightInd/>
        <w:snapToGrid/>
        <w:rPr>
          <w:rFonts w:hint="default"/>
        </w:rPr>
      </w:pPr>
      <w:r>
        <w:rPr>
          <w:rFonts w:hint="eastAsia"/>
          <w:lang w:val="en-US" w:eastAsia="zh-CN"/>
        </w:rPr>
        <w:t>13、</w:t>
      </w:r>
      <w:r>
        <w:rPr>
          <w:rFonts w:hint="eastAsia"/>
        </w:rPr>
        <w:t>《中华人民共和国国民经济和社会发展第十四个五年规划和</w:t>
      </w:r>
      <w:r>
        <w:rPr>
          <w:rFonts w:hint="default"/>
        </w:rPr>
        <w:t>2035</w:t>
      </w:r>
      <w:r>
        <w:rPr>
          <w:rFonts w:hint="eastAsia"/>
        </w:rPr>
        <w:t>年远景目标纲要》。</w:t>
      </w:r>
    </w:p>
    <w:p>
      <w:pPr>
        <w:pageBreakBefore w:val="0"/>
        <w:kinsoku/>
        <w:wordWrap w:val="0"/>
        <w:overflowPunct/>
        <w:topLinePunct w:val="0"/>
        <w:autoSpaceDE/>
        <w:autoSpaceDN/>
        <w:bidi w:val="0"/>
        <w:adjustRightInd/>
        <w:snapToGrid/>
        <w:rPr>
          <w:rFonts w:hint="default"/>
        </w:rPr>
      </w:pPr>
      <w:r>
        <w:rPr>
          <w:rFonts w:hint="eastAsia"/>
          <w:lang w:val="en-US" w:eastAsia="zh-CN"/>
        </w:rPr>
        <w:t>14、</w:t>
      </w:r>
      <w:r>
        <w:rPr>
          <w:rFonts w:hint="eastAsia"/>
        </w:rPr>
        <w:t>《国务院办公厅关于印发</w:t>
      </w:r>
      <w:r>
        <w:rPr>
          <w:rFonts w:hint="default"/>
        </w:rPr>
        <w:t>“</w:t>
      </w:r>
      <w:r>
        <w:rPr>
          <w:rFonts w:hint="eastAsia"/>
        </w:rPr>
        <w:t>无废城市</w:t>
      </w:r>
      <w:r>
        <w:rPr>
          <w:rFonts w:hint="default"/>
        </w:rPr>
        <w:t>”</w:t>
      </w:r>
      <w:r>
        <w:rPr>
          <w:rFonts w:hint="eastAsia"/>
        </w:rPr>
        <w:t>建设试点工作方案的通知》（国办发〔</w:t>
      </w:r>
      <w:r>
        <w:rPr>
          <w:rFonts w:hint="default"/>
        </w:rPr>
        <w:t>2018</w:t>
      </w:r>
      <w:r>
        <w:rPr>
          <w:rFonts w:hint="eastAsia"/>
        </w:rPr>
        <w:t>〕</w:t>
      </w:r>
      <w:r>
        <w:rPr>
          <w:rFonts w:hint="default"/>
        </w:rPr>
        <w:t>128</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15、</w:t>
      </w:r>
      <w:r>
        <w:rPr>
          <w:rFonts w:hint="eastAsia"/>
        </w:rPr>
        <w:t>《中共中央国务院关于进一步加强城市规划建设管理工作的若干意见》（中发〔</w:t>
      </w:r>
      <w:r>
        <w:rPr>
          <w:rFonts w:hint="default"/>
        </w:rPr>
        <w:t>2016</w:t>
      </w:r>
      <w:r>
        <w:rPr>
          <w:rFonts w:hint="eastAsia"/>
        </w:rPr>
        <w:t>〕</w:t>
      </w:r>
      <w:r>
        <w:rPr>
          <w:rFonts w:hint="default"/>
        </w:rPr>
        <w:t>6</w:t>
      </w:r>
      <w:r>
        <w:rPr>
          <w:rFonts w:hint="eastAsia"/>
        </w:rPr>
        <w:t>号）；</w:t>
      </w:r>
    </w:p>
    <w:p>
      <w:pPr>
        <w:pageBreakBefore w:val="0"/>
        <w:kinsoku/>
        <w:wordWrap w:val="0"/>
        <w:overflowPunct/>
        <w:topLinePunct w:val="0"/>
        <w:autoSpaceDE/>
        <w:autoSpaceDN/>
        <w:bidi w:val="0"/>
        <w:adjustRightInd/>
        <w:snapToGrid/>
        <w:rPr>
          <w:rFonts w:hint="eastAsia"/>
        </w:rPr>
      </w:pPr>
      <w:r>
        <w:rPr>
          <w:rFonts w:hint="eastAsia"/>
          <w:lang w:val="en-US" w:eastAsia="zh-CN"/>
        </w:rPr>
        <w:t>16、</w:t>
      </w:r>
      <w:r>
        <w:rPr>
          <w:rFonts w:hint="eastAsia"/>
        </w:rPr>
        <w:t>《国务院批转住房城乡建设部等部门关于进一步加强城市生活垃圾处理工作意见的通知》（国发〔</w:t>
      </w:r>
      <w:r>
        <w:rPr>
          <w:rFonts w:hint="default"/>
        </w:rPr>
        <w:t>2011</w:t>
      </w:r>
      <w:r>
        <w:rPr>
          <w:rFonts w:hint="eastAsia"/>
        </w:rPr>
        <w:t>〕</w:t>
      </w:r>
      <w:r>
        <w:rPr>
          <w:rFonts w:hint="default"/>
        </w:rPr>
        <w:t>9</w:t>
      </w:r>
      <w:r>
        <w:rPr>
          <w:rFonts w:hint="eastAsia"/>
        </w:rPr>
        <w:t>号）；</w:t>
      </w:r>
    </w:p>
    <w:p>
      <w:pPr>
        <w:pageBreakBefore w:val="0"/>
        <w:kinsoku/>
        <w:wordWrap w:val="0"/>
        <w:overflowPunct/>
        <w:topLinePunct w:val="0"/>
        <w:autoSpaceDE/>
        <w:autoSpaceDN/>
        <w:bidi w:val="0"/>
        <w:adjustRightInd/>
        <w:snapToGrid/>
        <w:rPr>
          <w:rFonts w:hint="eastAsia"/>
          <w:lang w:eastAsia="zh-CN"/>
        </w:rPr>
      </w:pPr>
      <w:r>
        <w:rPr>
          <w:rFonts w:hint="default"/>
        </w:rPr>
        <w:t>国务院办公厅转发住房城乡建设部《关于进一步加强城市建筑垃圾治理的意见》的通知</w:t>
      </w:r>
      <w:r>
        <w:rPr>
          <w:rFonts w:hint="eastAsia"/>
          <w:lang w:eastAsia="zh-CN"/>
        </w:rPr>
        <w:t>（</w:t>
      </w:r>
      <w:r>
        <w:t>国办函〔2025〕57号</w:t>
      </w:r>
      <w:r>
        <w:rPr>
          <w:rFonts w:hint="eastAsia"/>
          <w:lang w:eastAsia="zh-CN"/>
        </w:rPr>
        <w:t>）</w:t>
      </w:r>
    </w:p>
    <w:p>
      <w:pPr>
        <w:pageBreakBefore w:val="0"/>
        <w:kinsoku/>
        <w:wordWrap w:val="0"/>
        <w:overflowPunct/>
        <w:topLinePunct w:val="0"/>
        <w:autoSpaceDE/>
        <w:autoSpaceDN/>
        <w:bidi w:val="0"/>
        <w:adjustRightInd/>
        <w:snapToGrid/>
        <w:rPr>
          <w:rFonts w:hint="default"/>
        </w:rPr>
      </w:pPr>
      <w:r>
        <w:rPr>
          <w:rFonts w:hint="eastAsia"/>
          <w:lang w:val="en-US" w:eastAsia="zh-CN"/>
        </w:rPr>
        <w:t>17、</w:t>
      </w:r>
      <w:r>
        <w:rPr>
          <w:rFonts w:hint="eastAsia"/>
        </w:rPr>
        <w:t>《关于“十四五”大宗固体废弃物综合利用的指导意见》（发改环资〔</w:t>
      </w:r>
      <w:r>
        <w:rPr>
          <w:rFonts w:hint="default"/>
        </w:rPr>
        <w:t>2021</w:t>
      </w:r>
      <w:r>
        <w:rPr>
          <w:rFonts w:hint="eastAsia"/>
        </w:rPr>
        <w:t>〕</w:t>
      </w:r>
      <w:r>
        <w:rPr>
          <w:rFonts w:hint="default"/>
        </w:rPr>
        <w:t>381</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18、</w:t>
      </w:r>
      <w:r>
        <w:rPr>
          <w:rFonts w:hint="eastAsia"/>
        </w:rPr>
        <w:t>《住房城乡建设部关于开展建筑垃圾治理试点工作的通知》（建城函〔</w:t>
      </w:r>
      <w:r>
        <w:rPr>
          <w:rFonts w:hint="default"/>
        </w:rPr>
        <w:t>2018</w:t>
      </w:r>
      <w:r>
        <w:rPr>
          <w:rFonts w:hint="eastAsia"/>
        </w:rPr>
        <w:t>〕</w:t>
      </w:r>
      <w:r>
        <w:rPr>
          <w:rFonts w:hint="default"/>
        </w:rPr>
        <w:t>65</w:t>
      </w:r>
      <w:r>
        <w:rPr>
          <w:rFonts w:hint="eastAsia"/>
        </w:rPr>
        <w:t>号）；</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19、</w:t>
      </w:r>
      <w:r>
        <w:rPr>
          <w:rFonts w:hint="eastAsia"/>
        </w:rPr>
        <w:t>《住房和城乡建设部关于推进建筑垃圾减量化的指导意见》（建质〔</w:t>
      </w:r>
      <w:r>
        <w:rPr>
          <w:rFonts w:hint="default"/>
        </w:rPr>
        <w:t>2020</w:t>
      </w:r>
      <w:r>
        <w:rPr>
          <w:rFonts w:hint="eastAsia"/>
        </w:rPr>
        <w:t>〕</w:t>
      </w:r>
      <w:r>
        <w:rPr>
          <w:rFonts w:hint="default"/>
        </w:rPr>
        <w:t>46</w:t>
      </w:r>
      <w:r>
        <w:rPr>
          <w:rFonts w:hint="eastAsia"/>
        </w:rPr>
        <w:t>号）</w:t>
      </w:r>
      <w:r>
        <w:rPr>
          <w:rFonts w:hint="eastAsia"/>
          <w:lang w:eastAsia="zh-CN"/>
        </w:rPr>
        <w:t>；</w:t>
      </w:r>
    </w:p>
    <w:p>
      <w:pPr>
        <w:pageBreakBefore w:val="0"/>
        <w:kinsoku/>
        <w:wordWrap w:val="0"/>
        <w:overflowPunct/>
        <w:topLinePunct w:val="0"/>
        <w:autoSpaceDE/>
        <w:autoSpaceDN/>
        <w:bidi w:val="0"/>
        <w:adjustRightInd/>
        <w:snapToGrid/>
        <w:rPr>
          <w:rFonts w:hint="eastAsia"/>
        </w:rPr>
      </w:pPr>
      <w:r>
        <w:rPr>
          <w:rFonts w:hint="eastAsia"/>
          <w:lang w:val="en-US" w:eastAsia="zh-CN"/>
        </w:rPr>
        <w:t>20、</w:t>
      </w:r>
      <w:r>
        <w:rPr>
          <w:rFonts w:hint="eastAsia"/>
        </w:rPr>
        <w:t>《住房和城乡建设部办公厅关于推广应用施工现场建筑垃圾减量化指导图册的通知》（建办质函〔</w:t>
      </w:r>
      <w:r>
        <w:rPr>
          <w:rFonts w:hint="default"/>
        </w:rPr>
        <w:t>2020</w:t>
      </w:r>
      <w:r>
        <w:rPr>
          <w:rFonts w:hint="eastAsia"/>
        </w:rPr>
        <w:t>〕</w:t>
      </w:r>
      <w:r>
        <w:rPr>
          <w:rFonts w:hint="default"/>
        </w:rPr>
        <w:t>505</w:t>
      </w:r>
      <w:r>
        <w:rPr>
          <w:rFonts w:hint="eastAsia"/>
        </w:rPr>
        <w:t>号）；</w:t>
      </w:r>
    </w:p>
    <w:p>
      <w:pPr>
        <w:pageBreakBefore w:val="0"/>
        <w:kinsoku/>
        <w:wordWrap w:val="0"/>
        <w:overflowPunct/>
        <w:topLinePunct w:val="0"/>
        <w:autoSpaceDE/>
        <w:autoSpaceDN/>
        <w:bidi w:val="0"/>
        <w:adjustRightInd/>
        <w:snapToGrid/>
        <w:rPr>
          <w:rFonts w:hint="eastAsia"/>
          <w:lang w:eastAsia="zh-CN"/>
        </w:rPr>
      </w:pPr>
      <w:r>
        <w:rPr>
          <w:rFonts w:hint="eastAsia"/>
          <w:lang w:val="en-US" w:eastAsia="zh-CN"/>
        </w:rPr>
        <w:t>21、</w:t>
      </w:r>
      <w:r>
        <w:rPr>
          <w:rFonts w:hint="eastAsia" w:eastAsia="仿宋"/>
          <w:lang w:eastAsia="zh-CN"/>
        </w:rPr>
        <w:t>《</w:t>
      </w:r>
      <w:r>
        <w:t>湖南省实施城市市容和环境卫生</w:t>
      </w:r>
      <w:r>
        <w:rPr>
          <w:rFonts w:hint="eastAsia"/>
        </w:rPr>
        <w:t>管理条例办法</w:t>
      </w:r>
      <w:r>
        <w:rPr>
          <w:rFonts w:hint="eastAsia" w:eastAsia="仿宋"/>
          <w:lang w:eastAsia="zh-CN"/>
        </w:rPr>
        <w:t>》（</w:t>
      </w:r>
      <w:r>
        <w:rPr>
          <w:rFonts w:ascii="仿宋" w:hAnsi="仿宋" w:eastAsia="仿宋" w:cs="仿宋"/>
          <w:i w:val="0"/>
          <w:iCs w:val="0"/>
          <w:caps w:val="0"/>
          <w:color w:val="333333"/>
          <w:spacing w:val="0"/>
          <w:sz w:val="27"/>
          <w:szCs w:val="27"/>
          <w:shd w:val="clear" w:fill="FFFFFF"/>
        </w:rPr>
        <w:t>湖南省人民政府令第310号修改</w:t>
      </w:r>
      <w:r>
        <w:rPr>
          <w:rFonts w:hint="eastAsia" w:eastAsia="仿宋"/>
          <w:lang w:eastAsia="zh-CN"/>
        </w:rPr>
        <w:t>）；</w:t>
      </w:r>
    </w:p>
    <w:p>
      <w:pPr>
        <w:pageBreakBefore w:val="0"/>
        <w:kinsoku/>
        <w:wordWrap w:val="0"/>
        <w:overflowPunct/>
        <w:topLinePunct w:val="0"/>
        <w:autoSpaceDE/>
        <w:autoSpaceDN/>
        <w:bidi w:val="0"/>
        <w:adjustRightInd/>
        <w:snapToGrid/>
        <w:rPr>
          <w:rFonts w:hint="default"/>
        </w:rPr>
      </w:pPr>
      <w:r>
        <w:rPr>
          <w:rFonts w:hint="eastAsia"/>
          <w:lang w:val="en-US" w:eastAsia="zh-CN"/>
        </w:rPr>
        <w:t>22、</w:t>
      </w:r>
      <w:r>
        <w:rPr>
          <w:rFonts w:hint="eastAsia"/>
        </w:rPr>
        <w:t>《湖南省人民政府办公厅关于加强城市建筑垃圾管理和资源化利用的意见》（湘政办发〔</w:t>
      </w:r>
      <w:r>
        <w:rPr>
          <w:rFonts w:hint="default"/>
        </w:rPr>
        <w:t>2019</w:t>
      </w:r>
      <w:r>
        <w:rPr>
          <w:rFonts w:hint="eastAsia"/>
        </w:rPr>
        <w:t>〕</w:t>
      </w:r>
      <w:r>
        <w:rPr>
          <w:rFonts w:hint="default"/>
        </w:rPr>
        <w:t>4</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23、</w:t>
      </w:r>
      <w:r>
        <w:rPr>
          <w:rFonts w:hint="eastAsia"/>
        </w:rPr>
        <w:t>《关于加快城市建筑垃圾管理和资源化利用有关问题的会议纪要》（湘府阅〔</w:t>
      </w:r>
      <w:r>
        <w:rPr>
          <w:rFonts w:hint="default"/>
        </w:rPr>
        <w:t>2019</w:t>
      </w:r>
      <w:r>
        <w:rPr>
          <w:rFonts w:hint="eastAsia"/>
        </w:rPr>
        <w:t>〕</w:t>
      </w:r>
      <w:r>
        <w:rPr>
          <w:rFonts w:hint="default"/>
        </w:rPr>
        <w:t>21</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24、</w:t>
      </w:r>
      <w:r>
        <w:rPr>
          <w:rFonts w:hint="eastAsia"/>
        </w:rPr>
        <w:t>《湖南省住房和城乡建设厅关于开展建筑垃圾治理示范工作的通知》（湘建建函〔</w:t>
      </w:r>
      <w:r>
        <w:rPr>
          <w:rFonts w:hint="default"/>
        </w:rPr>
        <w:t>2019</w:t>
      </w:r>
      <w:r>
        <w:rPr>
          <w:rFonts w:hint="eastAsia"/>
        </w:rPr>
        <w:t>〕</w:t>
      </w:r>
      <w:r>
        <w:rPr>
          <w:rFonts w:hint="default"/>
        </w:rPr>
        <w:t>255</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25、</w:t>
      </w:r>
      <w:r>
        <w:rPr>
          <w:rFonts w:hint="eastAsia"/>
        </w:rPr>
        <w:t>《湖南省城市建筑垃圾管理实施细则》（湘建建〔</w:t>
      </w:r>
      <w:r>
        <w:rPr>
          <w:rFonts w:hint="default"/>
        </w:rPr>
        <w:t>2024</w:t>
      </w:r>
      <w:r>
        <w:rPr>
          <w:rFonts w:hint="eastAsia"/>
        </w:rPr>
        <w:t>〕</w:t>
      </w:r>
      <w:r>
        <w:rPr>
          <w:rFonts w:hint="default"/>
        </w:rPr>
        <w:t>9</w:t>
      </w:r>
      <w:r>
        <w:rPr>
          <w:rFonts w:hint="eastAsia"/>
        </w:rPr>
        <w:t>号）；</w:t>
      </w:r>
    </w:p>
    <w:p>
      <w:pPr>
        <w:pageBreakBefore w:val="0"/>
        <w:kinsoku/>
        <w:wordWrap w:val="0"/>
        <w:overflowPunct/>
        <w:topLinePunct w:val="0"/>
        <w:autoSpaceDE/>
        <w:autoSpaceDN/>
        <w:bidi w:val="0"/>
        <w:adjustRightInd/>
        <w:snapToGrid/>
        <w:rPr>
          <w:rFonts w:hint="eastAsia"/>
        </w:rPr>
      </w:pPr>
      <w:r>
        <w:rPr>
          <w:rFonts w:hint="eastAsia"/>
          <w:lang w:val="en-US" w:eastAsia="zh-CN"/>
        </w:rPr>
        <w:t>26、</w:t>
      </w:r>
      <w:r>
        <w:rPr>
          <w:rFonts w:hint="eastAsia"/>
        </w:rPr>
        <w:t>《湖南省建筑垃圾源头减量实施方案》（湘建建函〔</w:t>
      </w:r>
      <w:r>
        <w:rPr>
          <w:rFonts w:hint="default"/>
        </w:rPr>
        <w:t>2020</w:t>
      </w:r>
      <w:r>
        <w:rPr>
          <w:rFonts w:hint="eastAsia"/>
        </w:rPr>
        <w:t>〕</w:t>
      </w:r>
      <w:r>
        <w:rPr>
          <w:rFonts w:hint="default"/>
        </w:rPr>
        <w:t>145</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27、</w:t>
      </w:r>
      <w:r>
        <w:rPr>
          <w:rFonts w:hint="eastAsia"/>
          <w:lang w:eastAsia="zh-CN"/>
        </w:rPr>
        <w:t>《</w:t>
      </w:r>
      <w:r>
        <w:t>关于印发益阳市中心城区城市建筑垃圾管理办法的通知</w:t>
      </w:r>
      <w:r>
        <w:rPr>
          <w:rFonts w:hint="eastAsia"/>
          <w:lang w:eastAsia="zh-CN"/>
        </w:rPr>
        <w:t>》</w:t>
      </w:r>
      <w:r>
        <w:t>益政办发〔2023〕32号</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28、</w:t>
      </w:r>
      <w:r>
        <w:rPr>
          <w:rFonts w:hint="eastAsia"/>
        </w:rPr>
        <w:t>《建筑垃圾处理技术标准》（</w:t>
      </w:r>
      <w:r>
        <w:rPr>
          <w:rFonts w:hint="default"/>
        </w:rPr>
        <w:t>CJJ/T134-2019</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29、</w:t>
      </w:r>
      <w:r>
        <w:rPr>
          <w:rFonts w:hint="eastAsia"/>
        </w:rPr>
        <w:t>《建筑工程绿色施工评价标准》（</w:t>
      </w:r>
      <w:r>
        <w:rPr>
          <w:rFonts w:hint="default"/>
        </w:rPr>
        <w:t>GB/T50640-2010</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30、</w:t>
      </w:r>
      <w:r>
        <w:rPr>
          <w:rFonts w:hint="eastAsia"/>
        </w:rPr>
        <w:t>《建筑地基处理技术规范》（</w:t>
      </w:r>
      <w:r>
        <w:rPr>
          <w:rFonts w:hint="default"/>
        </w:rPr>
        <w:t>JGJ79-2012</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31、</w:t>
      </w:r>
      <w:r>
        <w:rPr>
          <w:rFonts w:hint="eastAsia"/>
        </w:rPr>
        <w:t>《城市环境卫生质量标准》（建城〔</w:t>
      </w:r>
      <w:r>
        <w:rPr>
          <w:rFonts w:hint="default"/>
        </w:rPr>
        <w:t>1997</w:t>
      </w:r>
      <w:r>
        <w:rPr>
          <w:rFonts w:hint="eastAsia"/>
        </w:rPr>
        <w:t>〕</w:t>
      </w:r>
      <w:r>
        <w:rPr>
          <w:rFonts w:hint="default"/>
        </w:rPr>
        <w:t>21</w:t>
      </w:r>
      <w:r>
        <w:rPr>
          <w:rFonts w:hint="eastAsia"/>
        </w:rPr>
        <w:t>号）；</w:t>
      </w:r>
    </w:p>
    <w:p>
      <w:pPr>
        <w:pageBreakBefore w:val="0"/>
        <w:kinsoku/>
        <w:wordWrap w:val="0"/>
        <w:overflowPunct/>
        <w:topLinePunct w:val="0"/>
        <w:autoSpaceDE/>
        <w:autoSpaceDN/>
        <w:bidi w:val="0"/>
        <w:adjustRightInd/>
        <w:snapToGrid/>
        <w:rPr>
          <w:rFonts w:hint="default"/>
        </w:rPr>
      </w:pPr>
      <w:r>
        <w:rPr>
          <w:rFonts w:hint="eastAsia"/>
          <w:lang w:val="en-US" w:eastAsia="zh-CN"/>
        </w:rPr>
        <w:t>32、</w:t>
      </w:r>
      <w:r>
        <w:rPr>
          <w:rFonts w:hint="eastAsia"/>
        </w:rPr>
        <w:t>《城市环境卫生设施规划规范》（</w:t>
      </w:r>
      <w:r>
        <w:rPr>
          <w:rFonts w:hint="default"/>
        </w:rPr>
        <w:t>GB50337-2018</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33、</w:t>
      </w:r>
      <w:r>
        <w:rPr>
          <w:rFonts w:hint="eastAsia"/>
        </w:rPr>
        <w:t>《城市环境卫生设施设置标准》（</w:t>
      </w:r>
      <w:r>
        <w:rPr>
          <w:rFonts w:hint="default"/>
        </w:rPr>
        <w:t>CJJ27-2012</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34、</w:t>
      </w:r>
      <w:r>
        <w:rPr>
          <w:rFonts w:hint="eastAsia"/>
        </w:rPr>
        <w:t>《建筑工程绿色施工规范》（</w:t>
      </w:r>
      <w:r>
        <w:rPr>
          <w:rFonts w:hint="default"/>
        </w:rPr>
        <w:t>GB/T50905-2014</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35、</w:t>
      </w:r>
      <w:r>
        <w:rPr>
          <w:rFonts w:hint="eastAsia"/>
        </w:rPr>
        <w:t>《绿色建筑评价标准》（</w:t>
      </w:r>
      <w:r>
        <w:rPr>
          <w:rFonts w:hint="default"/>
        </w:rPr>
        <w:t>GB/T50378-2019</w:t>
      </w:r>
      <w:r>
        <w:rPr>
          <w:rFonts w:hint="eastAsia"/>
        </w:rPr>
        <w:t>）；</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36、</w:t>
      </w:r>
      <w:r>
        <w:rPr>
          <w:rFonts w:hint="eastAsia"/>
        </w:rPr>
        <w:t>《湖南省建筑垃圾源头控制及处理技术标准》（</w:t>
      </w:r>
      <w:r>
        <w:rPr>
          <w:rFonts w:hint="default"/>
        </w:rPr>
        <w:t>DBJ43/T516-2020</w:t>
      </w:r>
      <w:r>
        <w:rPr>
          <w:rFonts w:hint="eastAsia"/>
        </w:rPr>
        <w:t>）</w:t>
      </w:r>
      <w:r>
        <w:rPr>
          <w:rFonts w:hint="eastAsia"/>
          <w:lang w:eastAsia="zh-CN"/>
        </w:rPr>
        <w:t>；</w:t>
      </w:r>
    </w:p>
    <w:p>
      <w:pPr>
        <w:pageBreakBefore w:val="0"/>
        <w:kinsoku/>
        <w:wordWrap w:val="0"/>
        <w:overflowPunct/>
        <w:topLinePunct w:val="0"/>
        <w:autoSpaceDE/>
        <w:autoSpaceDN/>
        <w:bidi w:val="0"/>
        <w:adjustRightInd/>
        <w:snapToGrid/>
        <w:rPr>
          <w:rFonts w:hint="default"/>
        </w:rPr>
      </w:pPr>
      <w:r>
        <w:rPr>
          <w:rFonts w:hint="eastAsia"/>
          <w:lang w:val="en-US" w:eastAsia="zh-CN"/>
        </w:rPr>
        <w:t>37、</w:t>
      </w:r>
      <w:r>
        <w:rPr>
          <w:rFonts w:hint="eastAsia"/>
        </w:rPr>
        <w:t>《建筑废弃物再生工厂设计标准》（</w:t>
      </w:r>
      <w:r>
        <w:rPr>
          <w:rFonts w:hint="default"/>
        </w:rPr>
        <w:t>GB 51322-2018</w:t>
      </w:r>
      <w:r>
        <w:rPr>
          <w:rFonts w:hint="eastAsia"/>
        </w:rPr>
        <w:t>）；</w:t>
      </w:r>
    </w:p>
    <w:p>
      <w:pPr>
        <w:pageBreakBefore w:val="0"/>
        <w:kinsoku/>
        <w:wordWrap w:val="0"/>
        <w:overflowPunct/>
        <w:topLinePunct w:val="0"/>
        <w:autoSpaceDE/>
        <w:autoSpaceDN/>
        <w:bidi w:val="0"/>
        <w:adjustRightInd/>
        <w:snapToGrid/>
        <w:rPr>
          <w:rFonts w:hint="default"/>
        </w:rPr>
      </w:pPr>
      <w:r>
        <w:rPr>
          <w:rFonts w:hint="eastAsia"/>
          <w:lang w:val="en-US" w:eastAsia="zh-CN"/>
        </w:rPr>
        <w:t>38、</w:t>
      </w:r>
      <w:r>
        <w:rPr>
          <w:rFonts w:hint="eastAsia"/>
        </w:rPr>
        <w:t>《湖南省建筑垃圾资源化利用发展规划（</w:t>
      </w:r>
      <w:r>
        <w:rPr>
          <w:rFonts w:hint="default"/>
        </w:rPr>
        <w:t>2020-2030</w:t>
      </w:r>
      <w:r>
        <w:rPr>
          <w:rFonts w:hint="eastAsia"/>
        </w:rPr>
        <w:t>）》（湘建建〔</w:t>
      </w:r>
      <w:r>
        <w:rPr>
          <w:rFonts w:hint="default"/>
        </w:rPr>
        <w:t>2020</w:t>
      </w:r>
      <w:r>
        <w:rPr>
          <w:rFonts w:hint="eastAsia"/>
        </w:rPr>
        <w:t>〕</w:t>
      </w:r>
      <w:r>
        <w:rPr>
          <w:rFonts w:hint="default"/>
        </w:rPr>
        <w:t>52</w:t>
      </w:r>
      <w:r>
        <w:rPr>
          <w:rFonts w:hint="eastAsia"/>
        </w:rPr>
        <w:t>号）；</w:t>
      </w:r>
    </w:p>
    <w:p>
      <w:pPr>
        <w:pageBreakBefore w:val="0"/>
        <w:kinsoku/>
        <w:wordWrap w:val="0"/>
        <w:overflowPunct/>
        <w:topLinePunct w:val="0"/>
        <w:autoSpaceDE/>
        <w:autoSpaceDN/>
        <w:bidi w:val="0"/>
        <w:adjustRightInd/>
        <w:snapToGrid/>
        <w:rPr>
          <w:rFonts w:hint="eastAsia" w:eastAsia="仿宋"/>
          <w:lang w:eastAsia="zh-CN"/>
        </w:rPr>
      </w:pPr>
      <w:r>
        <w:rPr>
          <w:rFonts w:hint="eastAsia"/>
          <w:lang w:val="en-US" w:eastAsia="zh-CN"/>
        </w:rPr>
        <w:t>39、</w:t>
      </w:r>
      <w:r>
        <w:rPr>
          <w:rFonts w:hint="eastAsia"/>
        </w:rPr>
        <w:t>《</w:t>
      </w:r>
      <w:r>
        <w:rPr>
          <w:rFonts w:hint="eastAsia"/>
          <w:lang w:val="en-US" w:eastAsia="zh-CN"/>
        </w:rPr>
        <w:t>桃江</w:t>
      </w:r>
      <w:r>
        <w:rPr>
          <w:rFonts w:hint="eastAsia"/>
        </w:rPr>
        <w:t>县国土空间总体规划（</w:t>
      </w:r>
      <w:r>
        <w:rPr>
          <w:rFonts w:hint="default"/>
        </w:rPr>
        <w:t>2021-2035</w:t>
      </w:r>
      <w:r>
        <w:rPr>
          <w:rFonts w:hint="eastAsia"/>
        </w:rPr>
        <w:t>）》</w:t>
      </w:r>
      <w:r>
        <w:rPr>
          <w:rFonts w:hint="eastAsia"/>
          <w:lang w:eastAsia="zh-CN"/>
        </w:rPr>
        <w:t>。</w:t>
      </w:r>
    </w:p>
    <w:p>
      <w:pPr>
        <w:pStyle w:val="3"/>
        <w:bidi w:val="0"/>
        <w:rPr>
          <w:rFonts w:hint="eastAsia" w:ascii="楷体" w:hAnsi="楷体" w:eastAsia="楷体" w:cs="楷体"/>
          <w:sz w:val="28"/>
          <w:szCs w:val="28"/>
        </w:rPr>
      </w:pPr>
      <w:bookmarkStart w:id="73" w:name="_Toc8605"/>
      <w:r>
        <w:rPr>
          <w:rFonts w:hint="eastAsia" w:ascii="楷体" w:hAnsi="楷体" w:eastAsia="楷体" w:cs="楷体"/>
          <w:sz w:val="28"/>
          <w:szCs w:val="28"/>
        </w:rPr>
        <w:t>（五）规划</w:t>
      </w:r>
      <w:r>
        <w:rPr>
          <w:rFonts w:hint="eastAsia" w:ascii="楷体" w:hAnsi="楷体" w:eastAsia="楷体" w:cs="楷体"/>
          <w:sz w:val="28"/>
          <w:szCs w:val="28"/>
          <w:lang w:val="en-US" w:eastAsia="zh-CN"/>
        </w:rPr>
        <w:t>范围和</w:t>
      </w:r>
      <w:r>
        <w:rPr>
          <w:rFonts w:hint="eastAsia" w:ascii="楷体" w:hAnsi="楷体" w:eastAsia="楷体" w:cs="楷体"/>
          <w:sz w:val="28"/>
          <w:szCs w:val="28"/>
        </w:rPr>
        <w:t>期限</w:t>
      </w:r>
      <w:bookmarkEnd w:id="73"/>
    </w:p>
    <w:p>
      <w:pPr>
        <w:bidi w:val="0"/>
      </w:pPr>
      <w:r>
        <w:t>本次规划范围为桃江县下辖1</w:t>
      </w:r>
      <w:r>
        <w:rPr>
          <w:rFonts w:hint="eastAsia"/>
          <w:lang w:val="en-US" w:eastAsia="zh-CN"/>
        </w:rPr>
        <w:t>5</w:t>
      </w:r>
      <w:r>
        <w:t>个</w:t>
      </w:r>
      <w:r>
        <w:rPr>
          <w:rFonts w:hint="eastAsia"/>
          <w:lang w:val="en-US" w:eastAsia="zh-CN"/>
        </w:rPr>
        <w:t>乡</w:t>
      </w:r>
      <w:r>
        <w:t>镇，分别为修山镇、鸬鹚渡镇、石牛江镇、牛田镇、松木塘镇、桃花江镇、灰山港镇、武潭镇、马迹塘镇、三堂街镇、大栗港镇、沾溪镇、</w:t>
      </w:r>
      <w:r>
        <w:rPr>
          <w:rFonts w:hint="eastAsia"/>
          <w:lang w:eastAsia="zh-CN"/>
        </w:rPr>
        <w:t>灰山港</w:t>
      </w:r>
      <w:r>
        <w:t>镇、鲊埠回族乡、浮丘山乡，总面积2068平方公里。</w:t>
      </w:r>
    </w:p>
    <w:p>
      <w:pPr>
        <w:bidi w:val="0"/>
      </w:pPr>
      <w:r>
        <w:t>本规划基准年为202</w:t>
      </w:r>
      <w:r>
        <w:rPr>
          <w:rFonts w:hint="eastAsia"/>
          <w:lang w:val="en-US" w:eastAsia="zh-CN"/>
        </w:rPr>
        <w:t>5</w:t>
      </w:r>
      <w:r>
        <w:t>年，规划期限为：202</w:t>
      </w:r>
      <w:r>
        <w:rPr>
          <w:rFonts w:hint="eastAsia"/>
          <w:lang w:val="en-US" w:eastAsia="zh-CN"/>
        </w:rPr>
        <w:t>5</w:t>
      </w:r>
      <w:r>
        <w:t>～203</w:t>
      </w:r>
      <w:r>
        <w:rPr>
          <w:rFonts w:hint="eastAsia"/>
          <w:lang w:val="en-US" w:eastAsia="zh-CN"/>
        </w:rPr>
        <w:t>5</w:t>
      </w:r>
      <w:r>
        <w:t>年。其中，</w:t>
      </w:r>
      <w:bookmarkStart w:id="74" w:name="_Hlk19785404"/>
      <w:r>
        <w:t>近期为202</w:t>
      </w:r>
      <w:r>
        <w:rPr>
          <w:rFonts w:hint="eastAsia"/>
          <w:lang w:val="en-US" w:eastAsia="zh-CN"/>
        </w:rPr>
        <w:t>5</w:t>
      </w:r>
      <w:r>
        <w:t>～20</w:t>
      </w:r>
      <w:r>
        <w:rPr>
          <w:rFonts w:hint="eastAsia"/>
          <w:lang w:val="en-US" w:eastAsia="zh-CN"/>
        </w:rPr>
        <w:t>30</w:t>
      </w:r>
      <w:r>
        <w:t>年</w:t>
      </w:r>
      <w:bookmarkEnd w:id="74"/>
      <w:r>
        <w:t>，远期为20</w:t>
      </w:r>
      <w:r>
        <w:rPr>
          <w:rFonts w:hint="eastAsia"/>
          <w:lang w:val="en-US" w:eastAsia="zh-CN"/>
        </w:rPr>
        <w:t>31</w:t>
      </w:r>
      <w:r>
        <w:t>～203</w:t>
      </w:r>
      <w:r>
        <w:rPr>
          <w:rFonts w:hint="eastAsia"/>
          <w:lang w:val="en-US" w:eastAsia="zh-CN"/>
        </w:rPr>
        <w:t>5</w:t>
      </w:r>
      <w:r>
        <w:t>年。</w:t>
      </w:r>
    </w:p>
    <w:p>
      <w:pPr>
        <w:pStyle w:val="3"/>
        <w:bidi w:val="0"/>
        <w:rPr>
          <w:rFonts w:hint="eastAsia" w:ascii="楷体" w:hAnsi="楷体" w:eastAsia="楷体" w:cs="楷体"/>
          <w:sz w:val="28"/>
          <w:szCs w:val="28"/>
          <w:lang w:eastAsia="zh-CN"/>
        </w:rPr>
      </w:pPr>
      <w:bookmarkStart w:id="75" w:name="_Toc30470"/>
      <w:bookmarkStart w:id="76" w:name="OLE_LINK31"/>
      <w:r>
        <w:rPr>
          <w:rFonts w:hint="eastAsia" w:ascii="楷体" w:hAnsi="楷体" w:eastAsia="楷体" w:cs="楷体"/>
          <w:sz w:val="28"/>
          <w:szCs w:val="28"/>
        </w:rPr>
        <w:t>（</w:t>
      </w:r>
      <w:r>
        <w:rPr>
          <w:rFonts w:hint="eastAsia" w:ascii="楷体" w:hAnsi="楷体" w:eastAsia="楷体" w:cs="楷体"/>
          <w:sz w:val="28"/>
          <w:szCs w:val="28"/>
          <w:lang w:val="en-US" w:eastAsia="zh-CN"/>
        </w:rPr>
        <w:t>六</w:t>
      </w:r>
      <w:r>
        <w:rPr>
          <w:rFonts w:hint="eastAsia" w:ascii="楷体" w:hAnsi="楷体" w:eastAsia="楷体" w:cs="楷体"/>
          <w:sz w:val="28"/>
          <w:szCs w:val="28"/>
        </w:rPr>
        <w:t>）</w:t>
      </w:r>
      <w:bookmarkStart w:id="77" w:name="OLE_LINK7"/>
      <w:r>
        <w:rPr>
          <w:rFonts w:hint="eastAsia" w:ascii="楷体" w:hAnsi="楷体" w:eastAsia="楷体" w:cs="楷体"/>
          <w:sz w:val="28"/>
          <w:szCs w:val="28"/>
        </w:rPr>
        <w:t>规划</w:t>
      </w:r>
      <w:r>
        <w:rPr>
          <w:rFonts w:hint="eastAsia" w:ascii="楷体" w:hAnsi="楷体" w:eastAsia="楷体" w:cs="楷体"/>
          <w:sz w:val="28"/>
          <w:szCs w:val="28"/>
          <w:lang w:val="en-US" w:eastAsia="zh-CN"/>
        </w:rPr>
        <w:t>目标</w:t>
      </w:r>
      <w:bookmarkEnd w:id="75"/>
      <w:bookmarkEnd w:id="77"/>
    </w:p>
    <w:p>
      <w:pPr>
        <w:bidi w:val="0"/>
        <w:rPr>
          <w:rFonts w:hint="eastAsia"/>
          <w:lang w:val="en-US" w:eastAsia="zh-CN"/>
        </w:rPr>
      </w:pPr>
      <w:bookmarkStart w:id="78" w:name="OLE_LINK26"/>
      <w:r>
        <w:rPr>
          <w:rFonts w:hint="eastAsia"/>
          <w:lang w:val="en-US" w:eastAsia="zh-CN"/>
        </w:rPr>
        <w:t>以建筑垃圾综合利用理念为引领，以减量化、资源化、无害化为目标，逐步建立科学有效的建筑垃圾全过程管理体系。</w:t>
      </w:r>
    </w:p>
    <w:bookmarkEnd w:id="78"/>
    <w:p>
      <w:pPr>
        <w:bidi w:val="0"/>
        <w:rPr>
          <w:rFonts w:hint="default"/>
          <w:lang w:val="en-US" w:eastAsia="zh-CN"/>
        </w:rPr>
      </w:pPr>
      <w:r>
        <w:rPr>
          <w:rFonts w:hint="default"/>
          <w:lang w:val="en-US" w:eastAsia="zh-CN"/>
        </w:rPr>
        <w:t>近期目标：基本建成“统筹规划、源头减量、规范收运、资源利用、合法处置、过程监管”的建筑垃圾治理体系。</w:t>
      </w:r>
      <w:r>
        <w:rPr>
          <w:rFonts w:hint="default"/>
          <w:u w:val="single"/>
          <w:lang w:val="en-US" w:eastAsia="zh-CN"/>
        </w:rPr>
        <w:t>到20</w:t>
      </w:r>
      <w:r>
        <w:rPr>
          <w:rFonts w:hint="eastAsia"/>
          <w:u w:val="single"/>
          <w:lang w:val="en-US" w:eastAsia="zh-CN"/>
        </w:rPr>
        <w:t>30</w:t>
      </w:r>
      <w:r>
        <w:rPr>
          <w:rFonts w:hint="default"/>
          <w:u w:val="single"/>
          <w:lang w:val="en-US" w:eastAsia="zh-CN"/>
        </w:rPr>
        <w:t>年底，实现</w:t>
      </w:r>
      <w:r>
        <w:rPr>
          <w:rFonts w:hint="eastAsia"/>
          <w:u w:val="single"/>
        </w:rPr>
        <w:t>建筑垃圾安全处置率</w:t>
      </w:r>
      <w:r>
        <w:rPr>
          <w:rFonts w:hint="eastAsia"/>
          <w:u w:val="single"/>
          <w:lang w:val="en-US" w:eastAsia="zh-CN"/>
        </w:rPr>
        <w:t>100%</w:t>
      </w:r>
      <w:r>
        <w:rPr>
          <w:rFonts w:hint="eastAsia"/>
          <w:u w:val="single"/>
          <w:lang w:eastAsia="zh-CN"/>
        </w:rPr>
        <w:t>，</w:t>
      </w:r>
      <w:r>
        <w:rPr>
          <w:rFonts w:hint="eastAsia"/>
          <w:u w:val="single"/>
        </w:rPr>
        <w:t>建筑垃圾综合利用率</w:t>
      </w:r>
      <w:r>
        <w:rPr>
          <w:rFonts w:hint="eastAsia"/>
          <w:u w:val="single"/>
          <w:lang w:val="en-US" w:eastAsia="zh-CN"/>
        </w:rPr>
        <w:t>85%</w:t>
      </w:r>
      <w:r>
        <w:rPr>
          <w:rFonts w:hint="eastAsia"/>
          <w:u w:val="single"/>
          <w:lang w:eastAsia="zh-CN"/>
        </w:rPr>
        <w:t>，</w:t>
      </w:r>
      <w:r>
        <w:rPr>
          <w:rFonts w:hint="eastAsia"/>
          <w:u w:val="single"/>
        </w:rPr>
        <w:t>建筑垃圾资源化利用率</w:t>
      </w:r>
      <w:r>
        <w:rPr>
          <w:rFonts w:hint="eastAsia"/>
          <w:u w:val="single"/>
          <w:lang w:val="en-US" w:eastAsia="zh-CN"/>
        </w:rPr>
        <w:t>65%</w:t>
      </w:r>
      <w:r>
        <w:rPr>
          <w:rFonts w:hint="eastAsia"/>
          <w:u w:val="single"/>
          <w:lang w:eastAsia="zh-CN"/>
        </w:rPr>
        <w:t>，</w:t>
      </w:r>
      <w:r>
        <w:rPr>
          <w:rFonts w:hint="eastAsia"/>
          <w:u w:val="single"/>
        </w:rPr>
        <w:t>建筑垃圾在线监管率</w:t>
      </w:r>
      <w:r>
        <w:rPr>
          <w:rFonts w:hint="eastAsia"/>
          <w:u w:val="single"/>
          <w:lang w:val="en-US" w:eastAsia="zh-CN"/>
        </w:rPr>
        <w:t>85%</w:t>
      </w:r>
      <w:r>
        <w:rPr>
          <w:rFonts w:hint="eastAsia"/>
          <w:u w:val="single"/>
          <w:lang w:eastAsia="zh-CN"/>
        </w:rPr>
        <w:t>，</w:t>
      </w:r>
      <w:r>
        <w:rPr>
          <w:rFonts w:hint="eastAsia"/>
          <w:u w:val="single"/>
        </w:rPr>
        <w:t>建筑垃圾密闭化运输率</w:t>
      </w:r>
      <w:r>
        <w:rPr>
          <w:rFonts w:hint="eastAsia"/>
          <w:u w:val="single"/>
          <w:lang w:val="en-US" w:eastAsia="zh-CN"/>
        </w:rPr>
        <w:t>100%</w:t>
      </w:r>
      <w:r>
        <w:rPr>
          <w:rFonts w:hint="eastAsia"/>
          <w:u w:val="single"/>
          <w:lang w:eastAsia="zh-CN"/>
        </w:rPr>
        <w:t>，</w:t>
      </w:r>
      <w:r>
        <w:rPr>
          <w:rFonts w:hint="eastAsia"/>
          <w:u w:val="single"/>
        </w:rPr>
        <w:t>新建建筑施工现场建筑垃圾排放量（不包括工程渣土、工程泥浆）≤</w:t>
      </w:r>
      <w:r>
        <w:rPr>
          <w:u w:val="single"/>
        </w:rPr>
        <w:t>300</w:t>
      </w:r>
      <w:r>
        <w:rPr>
          <w:rFonts w:hint="eastAsia"/>
          <w:u w:val="single"/>
        </w:rPr>
        <w:t>吨</w:t>
      </w:r>
      <w:r>
        <w:rPr>
          <w:u w:val="single"/>
        </w:rPr>
        <w:t>/</w:t>
      </w:r>
      <w:r>
        <w:rPr>
          <w:rFonts w:hint="eastAsia"/>
          <w:u w:val="single"/>
        </w:rPr>
        <w:t>万平方米</w:t>
      </w:r>
      <w:r>
        <w:rPr>
          <w:rFonts w:hint="eastAsia"/>
          <w:u w:val="single"/>
          <w:lang w:eastAsia="zh-CN"/>
        </w:rPr>
        <w:t>，</w:t>
      </w:r>
      <w:r>
        <w:rPr>
          <w:rFonts w:hint="eastAsia"/>
          <w:u w:val="single"/>
        </w:rPr>
        <w:t>装配式建筑施工现场建筑垃圾排放量（不包括工程渣土、工程泥浆）≤</w:t>
      </w:r>
      <w:r>
        <w:rPr>
          <w:u w:val="single"/>
        </w:rPr>
        <w:t>200</w:t>
      </w:r>
      <w:r>
        <w:rPr>
          <w:rFonts w:hint="eastAsia"/>
          <w:u w:val="single"/>
        </w:rPr>
        <w:t>吨</w:t>
      </w:r>
      <w:r>
        <w:rPr>
          <w:u w:val="single"/>
        </w:rPr>
        <w:t>/</w:t>
      </w:r>
      <w:r>
        <w:rPr>
          <w:rFonts w:hint="eastAsia"/>
          <w:u w:val="single"/>
        </w:rPr>
        <w:t>万平方米</w:t>
      </w:r>
      <w:r>
        <w:rPr>
          <w:rFonts w:hint="eastAsia"/>
          <w:u w:val="single"/>
          <w:lang w:eastAsia="zh-CN"/>
        </w:rPr>
        <w:t>，</w:t>
      </w:r>
      <w:r>
        <w:rPr>
          <w:rFonts w:hint="eastAsia"/>
          <w:u w:val="single"/>
        </w:rPr>
        <w:t>建筑垃圾运输车辆行驶及装卸记录仪安装率</w:t>
      </w:r>
      <w:r>
        <w:rPr>
          <w:rFonts w:hint="eastAsia"/>
          <w:u w:val="single"/>
          <w:lang w:val="en-US" w:eastAsia="zh-CN"/>
        </w:rPr>
        <w:t>100%。</w:t>
      </w:r>
      <w:r>
        <w:rPr>
          <w:rFonts w:hint="default"/>
          <w:lang w:val="en-US" w:eastAsia="zh-CN"/>
        </w:rPr>
        <w:t>源头减量初见成效，加大处置利用设施建设力度，循环利用体系初步形成，资源化利用和综合利用水平显著提高，系统平台基本建成运行，规章制度有序出台，保障城市安全运行底线。</w:t>
      </w:r>
    </w:p>
    <w:p>
      <w:pPr>
        <w:bidi w:val="0"/>
        <w:rPr>
          <w:rFonts w:hint="eastAsia"/>
          <w:lang w:val="en-US" w:eastAsia="zh-CN"/>
        </w:rPr>
      </w:pPr>
      <w:r>
        <w:rPr>
          <w:rFonts w:hint="eastAsia"/>
          <w:highlight w:val="none"/>
          <w:lang w:val="en-US" w:eastAsia="zh-CN"/>
        </w:rPr>
        <w:t>远期目标：</w:t>
      </w:r>
      <w:bookmarkStart w:id="79" w:name="OLE_LINK8"/>
      <w:r>
        <w:rPr>
          <w:rFonts w:hint="default"/>
          <w:highlight w:val="none"/>
          <w:u w:val="single"/>
          <w:lang w:val="en-US" w:eastAsia="zh-CN"/>
        </w:rPr>
        <w:t>到2035年，建成、运营合规的</w:t>
      </w:r>
      <w:r>
        <w:rPr>
          <w:rFonts w:hint="eastAsia"/>
          <w:highlight w:val="none"/>
          <w:u w:val="single"/>
          <w:lang w:val="en-US" w:eastAsia="zh-CN"/>
        </w:rPr>
        <w:t>建筑垃圾填埋处理厂2处、转运调配厂3处</w:t>
      </w:r>
      <w:r>
        <w:rPr>
          <w:rFonts w:hint="default"/>
          <w:highlight w:val="none"/>
          <w:u w:val="single"/>
          <w:lang w:val="en-US" w:eastAsia="zh-CN"/>
        </w:rPr>
        <w:t>；</w:t>
      </w:r>
      <w:r>
        <w:rPr>
          <w:rFonts w:hint="eastAsia"/>
          <w:highlight w:val="none"/>
          <w:u w:val="single"/>
        </w:rPr>
        <w:t>建筑垃圾安全处置率</w:t>
      </w:r>
      <w:r>
        <w:rPr>
          <w:rFonts w:hint="eastAsia"/>
          <w:highlight w:val="none"/>
          <w:u w:val="single"/>
          <w:lang w:val="en-US" w:eastAsia="zh-CN"/>
        </w:rPr>
        <w:t>100%</w:t>
      </w:r>
      <w:r>
        <w:rPr>
          <w:rFonts w:hint="eastAsia"/>
          <w:highlight w:val="none"/>
          <w:u w:val="single"/>
          <w:lang w:eastAsia="zh-CN"/>
        </w:rPr>
        <w:t>，</w:t>
      </w:r>
      <w:r>
        <w:rPr>
          <w:rFonts w:hint="eastAsia"/>
          <w:highlight w:val="none"/>
          <w:u w:val="single"/>
        </w:rPr>
        <w:t>建筑垃圾综合利用率</w:t>
      </w:r>
      <w:r>
        <w:rPr>
          <w:rFonts w:hint="eastAsia"/>
          <w:highlight w:val="none"/>
          <w:u w:val="single"/>
          <w:lang w:val="en-US" w:eastAsia="zh-CN"/>
        </w:rPr>
        <w:t>95%</w:t>
      </w:r>
      <w:r>
        <w:rPr>
          <w:rFonts w:hint="eastAsia"/>
          <w:highlight w:val="none"/>
          <w:u w:val="single"/>
          <w:lang w:eastAsia="zh-CN"/>
        </w:rPr>
        <w:t>，</w:t>
      </w:r>
      <w:r>
        <w:rPr>
          <w:rFonts w:hint="eastAsia"/>
          <w:highlight w:val="none"/>
          <w:u w:val="single"/>
        </w:rPr>
        <w:t>建筑垃圾资源化利用率</w:t>
      </w:r>
      <w:r>
        <w:rPr>
          <w:rFonts w:hint="eastAsia"/>
          <w:highlight w:val="none"/>
          <w:u w:val="single"/>
          <w:lang w:val="en-US" w:eastAsia="zh-CN"/>
        </w:rPr>
        <w:t>80%</w:t>
      </w:r>
      <w:r>
        <w:rPr>
          <w:rFonts w:hint="eastAsia"/>
          <w:highlight w:val="none"/>
          <w:u w:val="single"/>
          <w:lang w:eastAsia="zh-CN"/>
        </w:rPr>
        <w:t>，</w:t>
      </w:r>
      <w:r>
        <w:rPr>
          <w:rFonts w:hint="eastAsia"/>
          <w:highlight w:val="none"/>
          <w:u w:val="single"/>
        </w:rPr>
        <w:t>建筑垃圾在线监管率</w:t>
      </w:r>
      <w:r>
        <w:rPr>
          <w:rFonts w:hint="eastAsia"/>
          <w:highlight w:val="none"/>
          <w:u w:val="single"/>
          <w:lang w:val="en-US" w:eastAsia="zh-CN"/>
        </w:rPr>
        <w:t>100%</w:t>
      </w:r>
      <w:r>
        <w:rPr>
          <w:rFonts w:hint="eastAsia"/>
          <w:highlight w:val="none"/>
          <w:u w:val="single"/>
          <w:lang w:eastAsia="zh-CN"/>
        </w:rPr>
        <w:t>，</w:t>
      </w:r>
      <w:r>
        <w:rPr>
          <w:rFonts w:hint="eastAsia"/>
          <w:highlight w:val="none"/>
          <w:u w:val="single"/>
        </w:rPr>
        <w:t>建筑垃圾密闭化运输率</w:t>
      </w:r>
      <w:r>
        <w:rPr>
          <w:rFonts w:hint="eastAsia"/>
          <w:highlight w:val="none"/>
          <w:u w:val="single"/>
          <w:lang w:val="en-US" w:eastAsia="zh-CN"/>
        </w:rPr>
        <w:t>100%</w:t>
      </w:r>
      <w:r>
        <w:rPr>
          <w:rFonts w:hint="eastAsia"/>
          <w:highlight w:val="none"/>
          <w:u w:val="single"/>
          <w:lang w:eastAsia="zh-CN"/>
        </w:rPr>
        <w:t>，</w:t>
      </w:r>
      <w:r>
        <w:rPr>
          <w:rFonts w:hint="eastAsia"/>
          <w:highlight w:val="none"/>
          <w:u w:val="single"/>
        </w:rPr>
        <w:t>新建建筑施工现场建筑垃圾排放量（不包括工程渣土、工程泥浆）≤</w:t>
      </w:r>
      <w:r>
        <w:rPr>
          <w:rFonts w:hint="eastAsia"/>
          <w:highlight w:val="none"/>
          <w:u w:val="single"/>
          <w:lang w:val="en-US" w:eastAsia="zh-CN"/>
        </w:rPr>
        <w:t>280</w:t>
      </w:r>
      <w:r>
        <w:rPr>
          <w:rFonts w:hint="eastAsia"/>
          <w:highlight w:val="none"/>
          <w:u w:val="single"/>
        </w:rPr>
        <w:t>吨</w:t>
      </w:r>
      <w:r>
        <w:rPr>
          <w:highlight w:val="none"/>
          <w:u w:val="single"/>
        </w:rPr>
        <w:t>/</w:t>
      </w:r>
      <w:r>
        <w:rPr>
          <w:rFonts w:hint="eastAsia"/>
          <w:highlight w:val="none"/>
          <w:u w:val="single"/>
        </w:rPr>
        <w:t>万平方米</w:t>
      </w:r>
      <w:r>
        <w:rPr>
          <w:rFonts w:hint="eastAsia"/>
          <w:highlight w:val="none"/>
          <w:u w:val="single"/>
          <w:lang w:eastAsia="zh-CN"/>
        </w:rPr>
        <w:t>，</w:t>
      </w:r>
      <w:r>
        <w:rPr>
          <w:rFonts w:hint="eastAsia"/>
          <w:highlight w:val="none"/>
          <w:u w:val="single"/>
        </w:rPr>
        <w:t>装配式建筑施工现场建筑垃圾排放量（不包括工程渣土、工程泥浆）≤</w:t>
      </w:r>
      <w:r>
        <w:rPr>
          <w:highlight w:val="none"/>
          <w:u w:val="single"/>
        </w:rPr>
        <w:t>200</w:t>
      </w:r>
      <w:r>
        <w:rPr>
          <w:rFonts w:hint="eastAsia"/>
          <w:highlight w:val="none"/>
          <w:u w:val="single"/>
        </w:rPr>
        <w:t>吨</w:t>
      </w:r>
      <w:r>
        <w:rPr>
          <w:highlight w:val="none"/>
          <w:u w:val="single"/>
        </w:rPr>
        <w:t>/</w:t>
      </w:r>
      <w:r>
        <w:rPr>
          <w:rFonts w:hint="eastAsia"/>
          <w:highlight w:val="none"/>
          <w:u w:val="single"/>
        </w:rPr>
        <w:t>万平方米</w:t>
      </w:r>
      <w:r>
        <w:rPr>
          <w:rFonts w:hint="eastAsia"/>
          <w:highlight w:val="none"/>
          <w:u w:val="single"/>
          <w:lang w:eastAsia="zh-CN"/>
        </w:rPr>
        <w:t>，</w:t>
      </w:r>
      <w:r>
        <w:rPr>
          <w:rFonts w:hint="eastAsia"/>
          <w:highlight w:val="none"/>
          <w:u w:val="single"/>
        </w:rPr>
        <w:t>建筑垃圾运输车辆行驶及装卸记录仪安装率</w:t>
      </w:r>
      <w:r>
        <w:rPr>
          <w:rFonts w:hint="eastAsia"/>
          <w:highlight w:val="none"/>
          <w:u w:val="single"/>
          <w:lang w:val="en-US" w:eastAsia="zh-CN"/>
        </w:rPr>
        <w:t>100%。</w:t>
      </w:r>
      <w:r>
        <w:rPr>
          <w:rFonts w:hint="default"/>
          <w:highlight w:val="none"/>
          <w:lang w:val="en-US" w:eastAsia="zh-CN"/>
        </w:rPr>
        <w:t>建筑垃圾源头减量成效明显，安全处置设施运行规范，资源化利用设施高效运行，资源化利用再生产品技术标准完善，规章制度管理办法完备，实现全过程数字化监管，形成链条完整、环境友好、良性发展的建筑垃圾产</w:t>
      </w:r>
      <w:r>
        <w:rPr>
          <w:rFonts w:hint="default"/>
          <w:lang w:val="en-US" w:eastAsia="zh-CN"/>
        </w:rPr>
        <w:t>业体系</w:t>
      </w:r>
      <w:r>
        <w:rPr>
          <w:rFonts w:hint="eastAsia"/>
          <w:lang w:val="en-US" w:eastAsia="zh-CN"/>
        </w:rPr>
        <w:t>。</w:t>
      </w:r>
    </w:p>
    <w:bookmarkEnd w:id="76"/>
    <w:p>
      <w:pPr>
        <w:pStyle w:val="3"/>
        <w:bidi w:val="0"/>
        <w:rPr>
          <w:rFonts w:hint="eastAsia" w:ascii="楷体" w:hAnsi="楷体" w:eastAsia="楷体" w:cs="楷体"/>
          <w:sz w:val="28"/>
          <w:szCs w:val="28"/>
          <w:lang w:val="en-US" w:eastAsia="zh-CN"/>
        </w:rPr>
      </w:pPr>
      <w:bookmarkStart w:id="80" w:name="_Toc15022"/>
      <w:r>
        <w:rPr>
          <w:rFonts w:hint="eastAsia" w:ascii="楷体" w:hAnsi="楷体" w:eastAsia="楷体" w:cs="楷体"/>
          <w:sz w:val="28"/>
          <w:szCs w:val="28"/>
          <w:lang w:val="en-US" w:eastAsia="zh-CN"/>
        </w:rPr>
        <w:t>（七）规划名称解释</w:t>
      </w:r>
      <w:bookmarkEnd w:id="80"/>
    </w:p>
    <w:p>
      <w:pPr>
        <w:pStyle w:val="4"/>
        <w:bidi w:val="0"/>
        <w:rPr>
          <w:rFonts w:hint="default"/>
          <w:lang w:val="en-US" w:eastAsia="zh-CN"/>
        </w:rPr>
      </w:pPr>
      <w:r>
        <w:rPr>
          <w:rFonts w:hint="default"/>
          <w:lang w:val="en-US" w:eastAsia="zh-CN"/>
        </w:rPr>
        <w:t>1</w:t>
      </w:r>
      <w:r>
        <w:rPr>
          <w:rFonts w:hint="eastAsia"/>
          <w:lang w:val="en-US" w:eastAsia="zh-CN"/>
        </w:rPr>
        <w:t>、</w:t>
      </w:r>
      <w:r>
        <w:rPr>
          <w:rFonts w:hint="default"/>
          <w:lang w:val="en-US" w:eastAsia="zh-CN"/>
        </w:rPr>
        <w:t>建筑垃圾</w:t>
      </w:r>
    </w:p>
    <w:p>
      <w:pPr>
        <w:bidi w:val="0"/>
      </w:pPr>
      <w:r>
        <w:t>本规划所指建筑垃圾是工程渣土、工程泥浆、工程垃圾、拆除垃圾和装修垃圾等五类的总称，包括建设、施工单位新建、改建、扩建和拆除各类建筑物、构筑物、管网等以及居民装饰装修房屋过程中所产生的弃土、弃料及其他废弃物，不包括经检验、鉴定为危险废物的建筑垃圾。</w:t>
      </w:r>
    </w:p>
    <w:p>
      <w:pPr>
        <w:pStyle w:val="4"/>
        <w:bidi w:val="0"/>
        <w:rPr>
          <w:rFonts w:hint="default"/>
          <w:lang w:val="en-US" w:eastAsia="zh-CN"/>
        </w:rPr>
      </w:pPr>
      <w:r>
        <w:rPr>
          <w:rFonts w:hint="default"/>
          <w:lang w:val="en-US" w:eastAsia="zh-CN"/>
        </w:rPr>
        <w:t>2</w:t>
      </w:r>
      <w:r>
        <w:rPr>
          <w:rFonts w:hint="eastAsia"/>
          <w:lang w:val="en-US" w:eastAsia="zh-CN"/>
        </w:rPr>
        <w:t>、</w:t>
      </w:r>
      <w:r>
        <w:rPr>
          <w:rFonts w:hint="default"/>
          <w:lang w:val="en-US" w:eastAsia="zh-CN"/>
        </w:rPr>
        <w:t>工程渣土</w:t>
      </w:r>
    </w:p>
    <w:p>
      <w:pPr>
        <w:bidi w:val="0"/>
        <w:rPr>
          <w:rFonts w:hint="default"/>
          <w:lang w:val="en-US" w:eastAsia="zh-CN"/>
        </w:rPr>
      </w:pPr>
      <w:r>
        <w:rPr>
          <w:rFonts w:hint="default"/>
          <w:lang w:val="en-US" w:eastAsia="zh-CN"/>
        </w:rPr>
        <w:t>各类建</w:t>
      </w:r>
      <w:bookmarkStart w:id="81" w:name="OLE_LINK9"/>
      <w:r>
        <w:rPr>
          <w:rFonts w:hint="default"/>
          <w:lang w:val="en-US" w:eastAsia="zh-CN"/>
        </w:rPr>
        <w:t>筑物、构筑物、管网等基础开挖过程中产生的弃土。</w:t>
      </w:r>
    </w:p>
    <w:p>
      <w:pPr>
        <w:pStyle w:val="4"/>
        <w:bidi w:val="0"/>
      </w:pPr>
      <w:r>
        <w:rPr>
          <w:rFonts w:hint="eastAsia"/>
          <w:lang w:val="en-US" w:eastAsia="zh-CN"/>
        </w:rPr>
        <w:t>3、</w:t>
      </w:r>
      <w:r>
        <w:t>工程泥浆</w:t>
      </w:r>
    </w:p>
    <w:p>
      <w:pPr>
        <w:bidi w:val="0"/>
      </w:pPr>
      <w:r>
        <w:t>钻孔桩基施工、地下连续墙施工、泥水盾构施工、水平定向钻及泥水顶管等施工产生的泥浆。</w:t>
      </w:r>
    </w:p>
    <w:bookmarkEnd w:id="81"/>
    <w:p>
      <w:pPr>
        <w:pStyle w:val="4"/>
        <w:bidi w:val="0"/>
        <w:rPr>
          <w:rFonts w:hint="default"/>
          <w:lang w:val="en-US" w:eastAsia="zh-CN"/>
        </w:rPr>
      </w:pPr>
      <w:r>
        <w:rPr>
          <w:rFonts w:hint="eastAsia"/>
          <w:lang w:val="en-US" w:eastAsia="zh-CN"/>
        </w:rPr>
        <w:t>4、</w:t>
      </w:r>
      <w:r>
        <w:rPr>
          <w:rFonts w:hint="default"/>
          <w:lang w:val="en-US" w:eastAsia="zh-CN"/>
        </w:rPr>
        <w:t>工程垃圾</w:t>
      </w:r>
    </w:p>
    <w:p>
      <w:pPr>
        <w:bidi w:val="0"/>
        <w:rPr>
          <w:rFonts w:hint="default"/>
          <w:lang w:val="en-US" w:eastAsia="zh-CN"/>
        </w:rPr>
      </w:pPr>
      <w:r>
        <w:rPr>
          <w:rFonts w:hint="default"/>
          <w:lang w:val="en-US" w:eastAsia="zh-CN"/>
        </w:rPr>
        <w:t>各类建筑物、构筑物等建设过程中产生的弃料。</w:t>
      </w:r>
    </w:p>
    <w:p>
      <w:pPr>
        <w:pStyle w:val="4"/>
        <w:bidi w:val="0"/>
        <w:rPr>
          <w:rFonts w:hint="default"/>
          <w:lang w:val="en-US" w:eastAsia="zh-CN"/>
        </w:rPr>
      </w:pPr>
      <w:r>
        <w:rPr>
          <w:rFonts w:hint="default"/>
          <w:lang w:val="en-US" w:eastAsia="zh-CN"/>
        </w:rPr>
        <w:t>5</w:t>
      </w:r>
      <w:r>
        <w:rPr>
          <w:rFonts w:hint="eastAsia"/>
          <w:lang w:val="en-US" w:eastAsia="zh-CN"/>
        </w:rPr>
        <w:t>、</w:t>
      </w:r>
      <w:r>
        <w:rPr>
          <w:rFonts w:hint="default"/>
          <w:lang w:val="en-US" w:eastAsia="zh-CN"/>
        </w:rPr>
        <w:t>拆除垃圾</w:t>
      </w:r>
    </w:p>
    <w:p>
      <w:pPr>
        <w:bidi w:val="0"/>
        <w:rPr>
          <w:rFonts w:hint="default"/>
          <w:lang w:val="en-US" w:eastAsia="zh-CN"/>
        </w:rPr>
      </w:pPr>
      <w:r>
        <w:rPr>
          <w:rFonts w:hint="default"/>
          <w:lang w:val="en-US" w:eastAsia="zh-CN"/>
        </w:rPr>
        <w:t>各类建筑物、构筑物等拆除过程中产生的弃料。</w:t>
      </w:r>
    </w:p>
    <w:p>
      <w:pPr>
        <w:pStyle w:val="4"/>
        <w:bidi w:val="0"/>
        <w:rPr>
          <w:rFonts w:hint="default"/>
          <w:lang w:val="en-US" w:eastAsia="zh-CN"/>
        </w:rPr>
      </w:pPr>
      <w:r>
        <w:rPr>
          <w:rFonts w:hint="default"/>
          <w:lang w:val="en-US" w:eastAsia="zh-CN"/>
        </w:rPr>
        <w:t>6</w:t>
      </w:r>
      <w:r>
        <w:rPr>
          <w:rFonts w:hint="eastAsia"/>
          <w:lang w:val="en-US" w:eastAsia="zh-CN"/>
        </w:rPr>
        <w:t>、</w:t>
      </w:r>
      <w:r>
        <w:rPr>
          <w:rFonts w:hint="default"/>
          <w:lang w:val="en-US" w:eastAsia="zh-CN"/>
        </w:rPr>
        <w:t>装修垃圾</w:t>
      </w:r>
    </w:p>
    <w:p>
      <w:pPr>
        <w:bidi w:val="0"/>
        <w:rPr>
          <w:rFonts w:hint="default"/>
          <w:lang w:val="en-US" w:eastAsia="zh-CN"/>
        </w:rPr>
      </w:pPr>
      <w:r>
        <w:rPr>
          <w:rFonts w:hint="default"/>
          <w:lang w:val="en-US" w:eastAsia="zh-CN"/>
        </w:rPr>
        <w:t>装饰装修房屋中产生的废弃物。</w:t>
      </w:r>
    </w:p>
    <w:p>
      <w:pPr>
        <w:pStyle w:val="4"/>
        <w:bidi w:val="0"/>
      </w:pPr>
      <w:r>
        <w:rPr>
          <w:rFonts w:hint="eastAsia"/>
          <w:lang w:val="en-US" w:eastAsia="zh-CN"/>
        </w:rPr>
        <w:t>7</w:t>
      </w:r>
      <w:r>
        <w:t>、分类收集点</w:t>
      </w:r>
    </w:p>
    <w:p>
      <w:pPr>
        <w:bidi w:val="0"/>
      </w:pPr>
      <w:r>
        <w:t>主要用于收集居民区装饰、维修及拆除等过程中产生的装修垃圾。</w:t>
      </w:r>
    </w:p>
    <w:p>
      <w:pPr>
        <w:pStyle w:val="4"/>
        <w:bidi w:val="0"/>
        <w:rPr>
          <w:rFonts w:hint="default"/>
          <w:lang w:val="en-US" w:eastAsia="zh-CN"/>
        </w:rPr>
      </w:pPr>
      <w:r>
        <w:rPr>
          <w:rFonts w:hint="default"/>
          <w:lang w:val="en-US" w:eastAsia="zh-CN"/>
        </w:rPr>
        <w:t>8</w:t>
      </w:r>
      <w:r>
        <w:rPr>
          <w:rFonts w:hint="eastAsia"/>
          <w:lang w:val="en-US" w:eastAsia="zh-CN"/>
        </w:rPr>
        <w:t>、建筑垃圾</w:t>
      </w:r>
      <w:r>
        <w:rPr>
          <w:rFonts w:hint="default"/>
          <w:lang w:val="en-US" w:eastAsia="zh-CN"/>
        </w:rPr>
        <w:t>资源化利用</w:t>
      </w:r>
    </w:p>
    <w:p>
      <w:pPr>
        <w:bidi w:val="0"/>
        <w:rPr>
          <w:rFonts w:hint="default"/>
          <w:lang w:val="en-US" w:eastAsia="zh-CN"/>
        </w:rPr>
      </w:pPr>
      <w:bookmarkStart w:id="82" w:name="OLE_LINK10"/>
      <w:r>
        <w:rPr>
          <w:rFonts w:hint="default"/>
          <w:lang w:val="en-US" w:eastAsia="zh-CN"/>
        </w:rPr>
        <w:t>建筑垃圾经处理转化成有用物质的方法</w:t>
      </w:r>
      <w:bookmarkEnd w:id="82"/>
      <w:r>
        <w:rPr>
          <w:rFonts w:hint="eastAsia"/>
          <w:lang w:val="en-US" w:eastAsia="zh-CN"/>
        </w:rPr>
        <w:t>。</w:t>
      </w:r>
    </w:p>
    <w:p>
      <w:pPr>
        <w:pStyle w:val="4"/>
        <w:bidi w:val="0"/>
        <w:rPr>
          <w:lang w:eastAsia="en-US"/>
        </w:rPr>
      </w:pPr>
      <w:r>
        <w:rPr>
          <w:rFonts w:hint="eastAsia"/>
          <w:lang w:val="en-US" w:eastAsia="zh-CN"/>
        </w:rPr>
        <w:t>9</w:t>
      </w:r>
      <w:r>
        <w:rPr>
          <w:lang w:eastAsia="en-US"/>
        </w:rPr>
        <w:t>、建筑垃圾资源化利用率</w:t>
      </w:r>
    </w:p>
    <w:p>
      <w:pPr>
        <w:bidi w:val="0"/>
        <w:rPr>
          <w:lang w:eastAsia="en-US"/>
        </w:rPr>
      </w:pPr>
      <w:r>
        <w:rPr>
          <w:lang w:eastAsia="en-US"/>
        </w:rPr>
        <w:t>指建筑垃圾资源化利</w:t>
      </w:r>
      <w:r>
        <w:rPr>
          <w:rFonts w:hint="eastAsia"/>
          <w:lang w:eastAsia="zh-CN"/>
        </w:rPr>
        <w:t>用</w:t>
      </w:r>
      <w:r>
        <w:rPr>
          <w:lang w:eastAsia="en-US"/>
        </w:rPr>
        <w:t>、再生利用量占建筑垃圾产生量的比例。计算公式：建筑垃圾资源化利用利率（%）=工程垃圾、拆除垃圾、装修垃圾利用总量÷工程垃圾、拆除垃圾、装修垃圾产生总量× 100%。</w:t>
      </w:r>
    </w:p>
    <w:p>
      <w:pPr>
        <w:pStyle w:val="4"/>
        <w:bidi w:val="0"/>
        <w:rPr>
          <w:lang w:eastAsia="en-US"/>
        </w:rPr>
      </w:pPr>
      <w:r>
        <w:rPr>
          <w:rFonts w:hint="eastAsia"/>
          <w:lang w:val="en-US" w:eastAsia="zh-CN"/>
        </w:rPr>
        <w:t>10</w:t>
      </w:r>
      <w:r>
        <w:rPr>
          <w:lang w:eastAsia="en-US"/>
        </w:rPr>
        <w:t>、建筑垃圾综合利用率</w:t>
      </w:r>
    </w:p>
    <w:p>
      <w:pPr>
        <w:bidi w:val="0"/>
        <w:rPr>
          <w:rFonts w:hint="eastAsia"/>
        </w:rPr>
      </w:pPr>
      <w:r>
        <w:rPr>
          <w:lang w:eastAsia="en-US"/>
        </w:rPr>
        <w:t>建筑垃圾回填利用、资源化利用、再</w:t>
      </w:r>
      <w:bookmarkEnd w:id="79"/>
      <w:r>
        <w:rPr>
          <w:rFonts w:hint="eastAsia"/>
        </w:rPr>
        <w:t>生利用量占建筑垃圾总产生量的比例。计算公式：建筑垃圾综合利用利率（%）=建筑垃圾综合利用总量÷建筑垃圾产生总量×100%。</w:t>
      </w:r>
    </w:p>
    <w:p>
      <w:pPr>
        <w:pStyle w:val="4"/>
        <w:bidi w:val="0"/>
        <w:rPr>
          <w:rFonts w:hint="eastAsia"/>
        </w:rPr>
      </w:pPr>
      <w:r>
        <w:rPr>
          <w:rFonts w:hint="default"/>
          <w:lang w:val="en-US" w:eastAsia="zh-CN"/>
        </w:rPr>
        <w:t>1</w:t>
      </w:r>
      <w:r>
        <w:rPr>
          <w:rFonts w:hint="eastAsia"/>
          <w:lang w:val="en-US" w:eastAsia="zh-CN"/>
        </w:rPr>
        <w:t>1、</w:t>
      </w:r>
      <w:r>
        <w:rPr>
          <w:rFonts w:hint="eastAsia"/>
        </w:rPr>
        <w:t>中心城区</w:t>
      </w:r>
    </w:p>
    <w:p>
      <w:pPr>
        <w:bidi w:val="0"/>
        <w:rPr>
          <w:rFonts w:hint="eastAsia"/>
        </w:rPr>
      </w:pPr>
      <w:r>
        <w:rPr>
          <w:rFonts w:hint="eastAsia"/>
        </w:rPr>
        <w:t>县城建成区及规划扩展区域，东至崆峒村、南抵近桃社区、西达浮邱山大道、北至牛潭河社区，总面积37.27平方公里。</w:t>
      </w:r>
    </w:p>
    <w:p>
      <w:pPr>
        <w:pStyle w:val="2"/>
        <w:bidi w:val="0"/>
        <w:rPr>
          <w:rFonts w:hint="eastAsia"/>
        </w:rPr>
      </w:pPr>
      <w:bookmarkStart w:id="83" w:name="_Toc31999"/>
      <w:r>
        <w:rPr>
          <w:rFonts w:hint="eastAsia"/>
        </w:rPr>
        <w:t>二、区域概况及相关规划</w:t>
      </w:r>
      <w:bookmarkEnd w:id="83"/>
    </w:p>
    <w:p>
      <w:pPr>
        <w:pStyle w:val="3"/>
        <w:bidi w:val="0"/>
        <w:rPr>
          <w:rFonts w:hint="eastAsia" w:ascii="楷体" w:hAnsi="楷体" w:eastAsia="楷体" w:cs="楷体"/>
          <w:sz w:val="28"/>
          <w:szCs w:val="28"/>
        </w:rPr>
      </w:pPr>
      <w:bookmarkStart w:id="84" w:name="_Toc17242"/>
      <w:r>
        <w:rPr>
          <w:rFonts w:hint="eastAsia" w:ascii="楷体" w:hAnsi="楷体" w:eastAsia="楷体" w:cs="楷体"/>
          <w:sz w:val="28"/>
          <w:szCs w:val="28"/>
        </w:rPr>
        <w:t>（一）区域概况</w:t>
      </w:r>
      <w:bookmarkEnd w:id="84"/>
    </w:p>
    <w:p>
      <w:pPr>
        <w:bidi w:val="0"/>
        <w:rPr>
          <w:rFonts w:hint="eastAsia"/>
        </w:rPr>
      </w:pPr>
      <w:r>
        <w:rPr>
          <w:rFonts w:hint="eastAsia"/>
        </w:rPr>
        <w:t>桃江县位于湖南省益阳市中部偏北，地处资水中下游。东与益阳市赫山区相抵，南与宁乡市接壤，西、西南与安化县相连，西北与常德市鼎城区相接，北与汉寿县共壤，东北与益阳市资阳区相接，东西长73.3千米，南北宽51.5千米，总面积2068平方公里。全县现辖15个乡镇，包括13个镇、1个乡、1个民族乡，县政府驻桃花江镇。</w:t>
      </w:r>
    </w:p>
    <w:p>
      <w:pPr>
        <w:bidi w:val="0"/>
        <w:rPr>
          <w:rFonts w:hint="eastAsia"/>
        </w:rPr>
      </w:pPr>
      <w:r>
        <w:rPr>
          <w:rFonts w:hint="eastAsia"/>
        </w:rPr>
        <w:t>桃江县属中亚热带大陆季风湿润气候区，其特点是：冬冷期短，夏热期长，春温多变，雨季明显，夏秋多旱，四季分明。年平均气温16.6℃，极端最高温度40℃，极端最低温度-15.5℃；年日照数1583.9小时，太阳总辐射量102.7千卡/cm</w:t>
      </w:r>
      <w:r>
        <w:rPr>
          <w:rFonts w:hint="eastAsia"/>
          <w:vertAlign w:val="superscript"/>
        </w:rPr>
        <w:t>2</w:t>
      </w:r>
      <w:r>
        <w:rPr>
          <w:rFonts w:hint="eastAsia"/>
        </w:rPr>
        <w:t>,</w:t>
      </w:r>
      <w:r>
        <w:rPr>
          <w:rFonts w:hint="eastAsia"/>
        </w:rPr>
        <w:tab/>
      </w:r>
      <w:r>
        <w:rPr>
          <w:rFonts w:hint="eastAsia"/>
        </w:rPr>
        <w:t>无霜期263天。平均年降雨量1566毫米，雨季集中在4-6月份，占全年降水总量的42%，7-9月份偏少，占24%，全县年降水总量为33亿立方米，地面蒸发量14.4亿立方米，地表径流18.8亿立方米，平均水温17.2℃，最高水温28.6℃，最低水温2℃，平均干燥度0.9，相对湿度82%。光热资源充足，温度适宜，雨量充沛。</w:t>
      </w:r>
    </w:p>
    <w:p>
      <w:pPr>
        <w:bidi w:val="0"/>
        <w:rPr>
          <w:rFonts w:hint="eastAsia"/>
        </w:rPr>
      </w:pPr>
      <w:r>
        <w:rPr>
          <w:rFonts w:hint="eastAsia"/>
        </w:rPr>
        <w:t>桃江县境内山丘环绕，岭谷并列，东北狭窄开口。最高海拔917.5米，最低海拔29米。地貌以山丘地岗地为主，其中山地占27.26%，丘陵占29.46%，岗地占14.7%，平原占26.35%，水面占2.22%。县域呈“六山一水二份田，一份道路和庄园”的格局。资江流经县境‌102公里‌，形成桃花江竹海、浮邱山、羞女峰等20余处自然景观。森林覆盖率‌64.15%‌，野生动植物达1584种，拥有‌桃花江国家森林公园‌、羞女湖国家湿地公园等生态保护区‌。有楠竹面积‌115万亩‌（全国第三），竹凉席、竹笋、绿茶获国家地理标志认证。现已探明有陶粒板岩、花岗石、锑等25种矿产，花岗石、石灰石储量居全国前列。建有3座大型水电站及风电场，是全国绿色能源示范县。素有“美人窝”、“楠竹之乡”、“茶叶之乡”、“建材之乡”等美誉。</w:t>
      </w:r>
    </w:p>
    <w:p>
      <w:pPr>
        <w:bidi w:val="0"/>
        <w:rPr>
          <w:rFonts w:hint="eastAsia"/>
        </w:rPr>
      </w:pPr>
      <w:r>
        <w:rPr>
          <w:rFonts w:hint="eastAsia"/>
        </w:rPr>
        <w:t>2025年全县总人口约‌85.26万‌，常住人口67.52万‌。2024年实现地区生产总值348.4亿元左右，增长5%；固定资产投资增长7%左右，实现社会消费品零售总额145.5亿元左右，增长6.5%；完成地方一般公共预算收入11.75亿元左右增长7.5%；实现全体居民人均可支配收入31387.6元左右，增长4.8%，综合发展水平实现新提升，加快高质量发展迎来新局面。</w:t>
      </w:r>
    </w:p>
    <w:p>
      <w:pPr>
        <w:pStyle w:val="3"/>
        <w:bidi w:val="0"/>
        <w:rPr>
          <w:rFonts w:hint="eastAsia" w:ascii="楷体" w:hAnsi="楷体" w:eastAsia="楷体" w:cs="楷体"/>
          <w:sz w:val="28"/>
          <w:szCs w:val="28"/>
        </w:rPr>
      </w:pPr>
      <w:bookmarkStart w:id="85" w:name="_Toc26834"/>
      <w:r>
        <w:rPr>
          <w:rFonts w:hint="eastAsia" w:ascii="楷体" w:hAnsi="楷体" w:eastAsia="楷体" w:cs="楷体"/>
          <w:sz w:val="28"/>
          <w:szCs w:val="28"/>
        </w:rPr>
        <w:t>（二）相关规划分析</w:t>
      </w:r>
      <w:bookmarkEnd w:id="85"/>
    </w:p>
    <w:p>
      <w:pPr>
        <w:pageBreakBefore w:val="0"/>
        <w:kinsoku/>
        <w:wordWrap w:val="0"/>
        <w:overflowPunct/>
        <w:topLinePunct w:val="0"/>
        <w:autoSpaceDE/>
        <w:autoSpaceDN/>
        <w:bidi w:val="0"/>
        <w:adjustRightInd/>
        <w:snapToGrid/>
        <w:ind w:firstLine="560"/>
        <w:rPr>
          <w:rFonts w:hint="eastAsia" w:cs="Times New Roman"/>
          <w:szCs w:val="28"/>
        </w:rPr>
      </w:pPr>
      <w:r>
        <w:rPr>
          <w:rFonts w:hint="eastAsia" w:cs="Times New Roman"/>
          <w:szCs w:val="28"/>
        </w:rPr>
        <w:t>《湖南省人民政府办公厅关于加强城市建筑垃圾管理促进资源化利用的意见》（湘政办发〔2019〕4号）要求：</w:t>
      </w:r>
      <w:r>
        <w:rPr>
          <w:rFonts w:hint="eastAsia" w:cs="Times New Roman"/>
          <w:b/>
          <w:bCs/>
          <w:szCs w:val="28"/>
        </w:rPr>
        <w:t>推进源头减量。</w:t>
      </w:r>
      <w:r>
        <w:rPr>
          <w:rFonts w:hint="eastAsia" w:cs="Times New Roman"/>
          <w:szCs w:val="28"/>
        </w:rPr>
        <w:t>工程建设单位要将建筑垃圾运输和处置费用纳入工程预算，工程施工单位应估测建筑垃圾产生量并编制处置方案。工程设计单位、施工单位应按有关规定，优化建筑设计，科学组织施工，优先就地利用、就地减量，在地形整理、工程填垫等环节合理利用建筑垃圾，鼓励和支持采用铝合金模板、装配式建筑、精装修住宅，从源头降低建筑施工和房屋装修建筑垃圾产生。</w:t>
      </w:r>
      <w:r>
        <w:rPr>
          <w:rFonts w:hint="eastAsia" w:cs="Times New Roman"/>
          <w:b/>
          <w:bCs/>
          <w:szCs w:val="28"/>
        </w:rPr>
        <w:t>推进资源化利用处置基地规划建设。</w:t>
      </w:r>
      <w:r>
        <w:rPr>
          <w:rFonts w:hint="eastAsia" w:cs="Times New Roman"/>
          <w:szCs w:val="28"/>
        </w:rPr>
        <w:t>各级人民政府要根据区域建筑垃圾产生量，按照资源就近利用原则，合理安排建筑垃圾资源化利用企业的布局、用地和规模，</w:t>
      </w:r>
      <w:r>
        <w:rPr>
          <w:rFonts w:hint="eastAsia" w:cs="Times New Roman"/>
          <w:szCs w:val="28"/>
          <w:lang w:val="en-US" w:eastAsia="zh-CN"/>
        </w:rPr>
        <w:t>在</w:t>
      </w:r>
      <w:r>
        <w:rPr>
          <w:rFonts w:hint="eastAsia" w:cs="Times New Roman"/>
          <w:szCs w:val="28"/>
          <w:lang w:eastAsia="zh-CN"/>
        </w:rPr>
        <w:t>国土空间规划</w:t>
      </w:r>
      <w:r>
        <w:rPr>
          <w:rFonts w:hint="eastAsia" w:cs="Times New Roman"/>
          <w:szCs w:val="28"/>
          <w:lang w:val="en-US" w:eastAsia="zh-CN"/>
        </w:rPr>
        <w:t>的框架内</w:t>
      </w:r>
      <w:r>
        <w:rPr>
          <w:rFonts w:hint="eastAsia" w:cs="Times New Roman"/>
          <w:szCs w:val="28"/>
        </w:rPr>
        <w:t>科学编制建筑垃圾资源化利用发展规划，确保建筑垃圾资源化利用的科学性和有效性。</w:t>
      </w:r>
      <w:r>
        <w:rPr>
          <w:rFonts w:hint="eastAsia" w:cs="Times New Roman"/>
          <w:b/>
          <w:bCs/>
          <w:szCs w:val="28"/>
        </w:rPr>
        <w:t>加快</w:t>
      </w:r>
      <w:r>
        <w:rPr>
          <w:rFonts w:hint="eastAsia" w:cs="Times New Roman"/>
          <w:b/>
          <w:bCs/>
          <w:szCs w:val="28"/>
          <w:highlight w:val="none"/>
        </w:rPr>
        <w:t>建设</w:t>
      </w:r>
      <w:r>
        <w:rPr>
          <w:rFonts w:hint="eastAsia" w:cs="Times New Roman"/>
          <w:b/>
          <w:bCs/>
          <w:szCs w:val="28"/>
        </w:rPr>
        <w:t>垃圾资源化利用设施。</w:t>
      </w:r>
      <w:r>
        <w:rPr>
          <w:rFonts w:hint="eastAsia" w:cs="Times New Roman"/>
          <w:szCs w:val="28"/>
        </w:rPr>
        <w:t>建筑垃圾消纳或资源化利用设施是重要的市政基础设施。各地要根据建筑垃圾产生量及其分布，合理规划布局建筑垃圾资源化利用设施，满足城市建筑垃圾资源化利用要求。采取固定与移动、厂区和现场相结合的资源化利用处置方式，尽可能实现就地处理、就地就近回用，最大限度地降低运输成本。建筑垃圾资源化处置设施要严格控制废气、废水、粉尘、噪音污染，符合环境保护要求。</w:t>
      </w:r>
    </w:p>
    <w:p>
      <w:pPr>
        <w:pageBreakBefore w:val="0"/>
        <w:kinsoku/>
        <w:wordWrap w:val="0"/>
        <w:overflowPunct/>
        <w:topLinePunct w:val="0"/>
        <w:autoSpaceDE/>
        <w:autoSpaceDN/>
        <w:bidi w:val="0"/>
        <w:adjustRightInd/>
        <w:snapToGrid/>
        <w:ind w:firstLine="560"/>
        <w:rPr>
          <w:rFonts w:hint="eastAsia" w:cs="Times New Roman"/>
          <w:szCs w:val="28"/>
        </w:rPr>
      </w:pPr>
      <w:r>
        <w:rPr>
          <w:rFonts w:hint="eastAsia" w:cs="Times New Roman"/>
          <w:szCs w:val="28"/>
        </w:rPr>
        <w:t>《湖南省人民政府办公厅关于印发&lt;湖南省“十四五”生态环境保护规划&gt;的通知》（湘政办发〔2021〕61号）要求：</w:t>
      </w:r>
      <w:r>
        <w:rPr>
          <w:rFonts w:hint="eastAsia" w:cs="Times New Roman"/>
          <w:b/>
          <w:bCs/>
          <w:szCs w:val="28"/>
        </w:rPr>
        <w:t>推动建筑垃圾资源化利用。</w:t>
      </w:r>
      <w:r>
        <w:rPr>
          <w:rFonts w:hint="eastAsia" w:cs="Times New Roman"/>
          <w:szCs w:val="28"/>
        </w:rPr>
        <w:t>推动构建建筑垃圾资源化利用标准体系，形成建筑垃圾处理处置、再生材料研发、生产及利用等方面自主知识产权，打通建筑垃圾到再生材料之间的技术壁垒。推动建立省级建筑垃圾资源化示范城市、资源化示范工程、资源化利用基地，全面提升建筑垃圾资源化率。到2025年，建筑垃圾资源化率达到50%以上，建成2—3个省级建筑垃圾资源化示范城市，建成10个以上建筑垃圾资源化示范工程，建设30个建筑垃圾资源化利用基地。</w:t>
      </w:r>
    </w:p>
    <w:p>
      <w:pPr>
        <w:pageBreakBefore w:val="0"/>
        <w:kinsoku/>
        <w:wordWrap w:val="0"/>
        <w:overflowPunct/>
        <w:topLinePunct w:val="0"/>
        <w:autoSpaceDE/>
        <w:autoSpaceDN/>
        <w:bidi w:val="0"/>
        <w:adjustRightInd/>
        <w:snapToGrid/>
        <w:ind w:firstLine="560"/>
        <w:rPr>
          <w:rFonts w:hint="eastAsia" w:cs="Times New Roman"/>
          <w:b/>
          <w:bCs/>
          <w:szCs w:val="28"/>
        </w:rPr>
      </w:pPr>
      <w:r>
        <w:rPr>
          <w:rFonts w:hint="eastAsia" w:cs="Times New Roman"/>
          <w:szCs w:val="28"/>
        </w:rPr>
        <w:t>《湖南省住房和城乡建设厅关于印发&lt;湖南省城市建筑垃圾管理实施细则&gt;的通知》（湘建建〔2024〕9号）要求：各市州、县市区人民政府市容环境卫生主管部门或住房城乡建设部门负责</w:t>
      </w:r>
      <w:r>
        <w:rPr>
          <w:rFonts w:hint="eastAsia" w:cs="Times New Roman"/>
          <w:b/>
          <w:bCs/>
          <w:szCs w:val="28"/>
        </w:rPr>
        <w:t>牵头本行政区域内建筑垃圾管理和资源化利用工作，建立健全本级协同监管工作机制。</w:t>
      </w:r>
    </w:p>
    <w:p>
      <w:pPr>
        <w:pageBreakBefore w:val="0"/>
        <w:kinsoku/>
        <w:wordWrap w:val="0"/>
        <w:overflowPunct/>
        <w:topLinePunct w:val="0"/>
        <w:autoSpaceDE/>
        <w:autoSpaceDN/>
        <w:bidi w:val="0"/>
        <w:adjustRightInd/>
        <w:snapToGrid/>
        <w:ind w:firstLine="560"/>
        <w:rPr>
          <w:rFonts w:hint="eastAsia" w:cs="Times New Roman"/>
          <w:szCs w:val="28"/>
        </w:rPr>
      </w:pPr>
      <w:r>
        <w:rPr>
          <w:rFonts w:hint="eastAsia" w:cs="Times New Roman"/>
          <w:szCs w:val="28"/>
        </w:rPr>
        <w:t>《湖南省住房和城乡建设厅关于印发&lt;城市建筑垃圾污染环境防治工作规划编制大纲&gt;的通知》（湘建执函〔2025〕109号）要求：科学、合理指定规划，</w:t>
      </w:r>
      <w:r>
        <w:rPr>
          <w:rFonts w:hint="eastAsia" w:cs="Times New Roman"/>
          <w:b/>
          <w:bCs/>
          <w:szCs w:val="28"/>
        </w:rPr>
        <w:t>提高建筑垃圾处理资源化、减量化、无害化水平，</w:t>
      </w:r>
      <w:r>
        <w:rPr>
          <w:rFonts w:hint="eastAsia" w:cs="Times New Roman"/>
          <w:szCs w:val="28"/>
        </w:rPr>
        <w:t>逐步建立县域统筹、布局合理、技术先进、资源得到有效利用的建筑垃圾处理体系；构建规范有序、安全卫生、全程可控的建筑垃圾收运系统；形成链条完整、环境友好良性发展的建筑垃圾产业体系。</w:t>
      </w:r>
    </w:p>
    <w:p>
      <w:pPr>
        <w:pageBreakBefore w:val="0"/>
        <w:kinsoku/>
        <w:wordWrap w:val="0"/>
        <w:overflowPunct/>
        <w:topLinePunct w:val="0"/>
        <w:autoSpaceDE/>
        <w:autoSpaceDN/>
        <w:bidi w:val="0"/>
        <w:adjustRightInd/>
        <w:snapToGrid/>
        <w:ind w:firstLine="560"/>
        <w:rPr>
          <w:rFonts w:hint="eastAsia" w:cs="Times New Roman"/>
          <w:szCs w:val="28"/>
        </w:rPr>
      </w:pPr>
      <w:r>
        <w:rPr>
          <w:rFonts w:hint="eastAsia" w:cs="Times New Roman"/>
          <w:szCs w:val="28"/>
        </w:rPr>
        <w:t>《桃江县国土空间总体规划（2021—2035年）》提出：　本次规划范围为桃江县行政辖区全域国土空间，分为县域和中心城区2个空间层次。</w:t>
      </w:r>
      <w:r>
        <w:rPr>
          <w:rFonts w:hint="eastAsia" w:cs="Times New Roman"/>
          <w:b/>
          <w:bCs/>
          <w:szCs w:val="28"/>
        </w:rPr>
        <w:t>县域层次：</w:t>
      </w:r>
      <w:r>
        <w:rPr>
          <w:rFonts w:hint="eastAsia" w:cs="Times New Roman"/>
          <w:szCs w:val="28"/>
        </w:rPr>
        <w:t>桃江县行政管辖范围，总面积2068.15平方公里。</w:t>
      </w:r>
      <w:r>
        <w:rPr>
          <w:rFonts w:hint="eastAsia" w:cs="Times New Roman"/>
          <w:b/>
          <w:bCs/>
          <w:szCs w:val="28"/>
        </w:rPr>
        <w:t>中心城区层次：</w:t>
      </w:r>
      <w:r>
        <w:rPr>
          <w:rFonts w:hint="eastAsia" w:cs="Times New Roman"/>
          <w:szCs w:val="28"/>
        </w:rPr>
        <w:t>县城建成区及规划扩展区域，东至崆峒村、南抵近桃社区、西达浮邱山大道、北至牛潭河社区，总面积37.27平方公里。统筹各类资源要素配置，积极融入益沅桃城镇群和长株潭都市圈，科学布局生产、生活、生态空间，聚焦《桃江县国民经济和社会发展第十四个五年规划和2035年远景目标纲要》发展战略与定位，突出“楠竹之乡”城市特色，将桃江建设成为千亿竹产业核心引领区、环长株潭“竹美”文旅康养城市、益阳城市副中心。落实主体功能区优化战略，构建</w:t>
      </w:r>
      <w:r>
        <w:rPr>
          <w:rFonts w:hint="eastAsia" w:cs="Times New Roman"/>
          <w:b/>
          <w:bCs/>
          <w:szCs w:val="28"/>
        </w:rPr>
        <w:t>“一体两翼四轴，一链两屏三区”</w:t>
      </w:r>
      <w:r>
        <w:rPr>
          <w:rFonts w:hint="eastAsia" w:cs="Times New Roman"/>
          <w:szCs w:val="28"/>
        </w:rPr>
        <w:t>的县域国土空间总体格局。</w:t>
      </w:r>
      <w:r>
        <w:rPr>
          <w:rFonts w:hint="eastAsia" w:cs="Times New Roman"/>
          <w:b/>
          <w:bCs/>
          <w:szCs w:val="28"/>
        </w:rPr>
        <w:t>一体：</w:t>
      </w:r>
      <w:r>
        <w:rPr>
          <w:rFonts w:hint="eastAsia" w:cs="Times New Roman"/>
          <w:szCs w:val="28"/>
        </w:rPr>
        <w:t>以桃花江镇为中心，以浮邱山乡为拓展，形成“两镇一体化”的组合型中心城区。</w:t>
      </w:r>
      <w:r>
        <w:rPr>
          <w:rFonts w:hint="eastAsia" w:cs="Times New Roman"/>
          <w:b/>
          <w:bCs/>
          <w:szCs w:val="28"/>
        </w:rPr>
        <w:t>两翼：</w:t>
      </w:r>
      <w:r>
        <w:rPr>
          <w:rFonts w:hint="eastAsia" w:cs="Times New Roman"/>
          <w:szCs w:val="28"/>
        </w:rPr>
        <w:t>灰山港镇和马武地区（马迹塘镇、武潭镇）两个县域次中心。</w:t>
      </w:r>
      <w:r>
        <w:rPr>
          <w:rFonts w:hint="eastAsia" w:cs="Times New Roman"/>
          <w:b/>
          <w:bCs/>
          <w:szCs w:val="28"/>
        </w:rPr>
        <w:t>四轴：</w:t>
      </w:r>
      <w:r>
        <w:rPr>
          <w:rFonts w:hint="eastAsia" w:cs="Times New Roman"/>
          <w:szCs w:val="28"/>
        </w:rPr>
        <w:t>沿二广高速公路、G207城镇发展轴，沿平洞高速公路、G536城镇发展轴，沿S319城镇发展轴和沿S223城镇发展轴四条轴线，支撑带动全县域的社会经济发展。</w:t>
      </w:r>
      <w:r>
        <w:rPr>
          <w:rFonts w:hint="eastAsia" w:cs="Times New Roman"/>
          <w:b/>
          <w:bCs/>
          <w:szCs w:val="28"/>
        </w:rPr>
        <w:t>一链：</w:t>
      </w:r>
      <w:r>
        <w:rPr>
          <w:rFonts w:hint="eastAsia" w:cs="Times New Roman"/>
          <w:szCs w:val="28"/>
        </w:rPr>
        <w:t>资江生态蓝链。</w:t>
      </w:r>
      <w:r>
        <w:rPr>
          <w:rFonts w:hint="eastAsia" w:cs="Times New Roman"/>
          <w:b/>
          <w:bCs/>
          <w:szCs w:val="28"/>
        </w:rPr>
        <w:t>两屏：</w:t>
      </w:r>
      <w:r>
        <w:rPr>
          <w:rFonts w:hint="eastAsia" w:cs="Times New Roman"/>
          <w:szCs w:val="28"/>
        </w:rPr>
        <w:t>江北雪峰山余脉、江南雪峰山余脉两处生态屏障。</w:t>
      </w:r>
      <w:r>
        <w:rPr>
          <w:rFonts w:hint="eastAsia" w:cs="Times New Roman"/>
          <w:b/>
          <w:bCs/>
          <w:szCs w:val="28"/>
        </w:rPr>
        <w:t>三区：</w:t>
      </w:r>
      <w:r>
        <w:rPr>
          <w:rFonts w:hint="eastAsia" w:cs="Times New Roman"/>
          <w:szCs w:val="28"/>
        </w:rPr>
        <w:t>东部生态与休闲观光农业区、东南部高效现代农业区、西部及南部的特色生态农业区。</w:t>
      </w: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r>
        <w:rPr>
          <w:rFonts w:hint="eastAsia" w:ascii="微软雅黑" w:hAnsi="微软雅黑" w:eastAsia="微软雅黑" w:cs="微软雅黑"/>
          <w:i w:val="0"/>
          <w:iCs w:val="0"/>
          <w:caps w:val="0"/>
          <w:color w:val="333333"/>
          <w:spacing w:val="0"/>
          <w:sz w:val="24"/>
          <w:szCs w:val="24"/>
          <w:shd w:val="clear" w:color="auto" w:fill="FFFFFF"/>
        </w:rPr>
        <w:drawing>
          <wp:anchor distT="0" distB="0" distL="114300" distR="114300" simplePos="0" relativeHeight="251659264" behindDoc="1" locked="0" layoutInCell="1" allowOverlap="1">
            <wp:simplePos x="0" y="0"/>
            <wp:positionH relativeFrom="column">
              <wp:posOffset>109220</wp:posOffset>
            </wp:positionH>
            <wp:positionV relativeFrom="paragraph">
              <wp:posOffset>59690</wp:posOffset>
            </wp:positionV>
            <wp:extent cx="5112385" cy="3625850"/>
            <wp:effectExtent l="0" t="0" r="8255" b="1270"/>
            <wp:wrapNone/>
            <wp:docPr id="5" name="图片 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8"/>
                    <pic:cNvPicPr>
                      <a:picLocks noChangeAspect="1"/>
                    </pic:cNvPicPr>
                  </pic:nvPicPr>
                  <pic:blipFill>
                    <a:blip r:embed="rId17"/>
                    <a:stretch>
                      <a:fillRect/>
                    </a:stretch>
                  </pic:blipFill>
                  <pic:spPr>
                    <a:xfrm>
                      <a:off x="0" y="0"/>
                      <a:ext cx="5112385" cy="3625850"/>
                    </a:xfrm>
                    <a:prstGeom prst="rect">
                      <a:avLst/>
                    </a:prstGeom>
                    <a:noFill/>
                    <a:ln>
                      <a:noFill/>
                    </a:ln>
                  </pic:spPr>
                </pic:pic>
              </a:graphicData>
            </a:graphic>
          </wp:anchor>
        </w:drawing>
      </w: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firstLine="560"/>
        <w:rPr>
          <w:rFonts w:hint="eastAsia" w:cs="Times New Roman"/>
          <w:szCs w:val="28"/>
        </w:rPr>
      </w:pPr>
    </w:p>
    <w:p>
      <w:pPr>
        <w:pageBreakBefore w:val="0"/>
        <w:kinsoku/>
        <w:wordWrap w:val="0"/>
        <w:overflowPunct/>
        <w:topLinePunct w:val="0"/>
        <w:autoSpaceDE/>
        <w:autoSpaceDN/>
        <w:bidi w:val="0"/>
        <w:adjustRightInd/>
        <w:snapToGrid/>
        <w:ind w:left="0" w:leftChars="0" w:firstLine="0" w:firstLineChars="0"/>
        <w:jc w:val="center"/>
        <w:rPr>
          <w:rFonts w:hint="eastAsia" w:cs="Times New Roman"/>
          <w:szCs w:val="28"/>
        </w:rPr>
      </w:pPr>
      <w:r>
        <w:rPr>
          <w:rFonts w:hint="eastAsia" w:cs="Times New Roman"/>
          <w:szCs w:val="28"/>
          <w:lang w:val="en-US" w:eastAsia="zh-CN"/>
        </w:rPr>
        <w:t xml:space="preserve">图2-1 </w:t>
      </w:r>
      <w:r>
        <w:rPr>
          <w:rFonts w:hint="eastAsia" w:cs="Times New Roman"/>
          <w:szCs w:val="28"/>
        </w:rPr>
        <w:t>桃江县县域国土空间总体格局规划图</w:t>
      </w:r>
    </w:p>
    <w:p>
      <w:pPr>
        <w:pStyle w:val="2"/>
        <w:bidi w:val="0"/>
        <w:rPr>
          <w:rFonts w:hint="eastAsia"/>
        </w:rPr>
      </w:pPr>
      <w:bookmarkStart w:id="86" w:name="_Toc28035"/>
      <w:r>
        <w:rPr>
          <w:rFonts w:hint="eastAsia"/>
        </w:rPr>
        <w:t>三、建筑垃圾治理现状及分析</w:t>
      </w:r>
      <w:bookmarkEnd w:id="86"/>
    </w:p>
    <w:p>
      <w:pPr>
        <w:pStyle w:val="3"/>
        <w:bidi w:val="0"/>
        <w:rPr>
          <w:rFonts w:hint="eastAsia" w:ascii="楷体" w:hAnsi="楷体" w:eastAsia="楷体" w:cs="楷体"/>
          <w:sz w:val="28"/>
          <w:szCs w:val="28"/>
        </w:rPr>
      </w:pPr>
      <w:bookmarkStart w:id="87" w:name="_Toc9238"/>
      <w:r>
        <w:rPr>
          <w:rFonts w:hint="eastAsia" w:ascii="楷体" w:hAnsi="楷体" w:eastAsia="楷体" w:cs="楷体"/>
          <w:sz w:val="28"/>
          <w:szCs w:val="28"/>
        </w:rPr>
        <w:t>（一）建筑垃圾产生情况</w:t>
      </w:r>
      <w:bookmarkEnd w:id="87"/>
    </w:p>
    <w:p>
      <w:pPr>
        <w:bidi w:val="0"/>
        <w:rPr>
          <w:rFonts w:hint="eastAsia"/>
        </w:rPr>
      </w:pPr>
      <w:r>
        <w:rPr>
          <w:rFonts w:hint="eastAsia"/>
          <w:lang w:val="en-US" w:eastAsia="zh-CN"/>
        </w:rPr>
        <w:t>桃江县建筑垃圾来源主要为新建建筑、老旧小区改造、违章建筑拆除、新房装修</w:t>
      </w:r>
      <w:r>
        <w:t>以及市政基础设施建设等产生的建筑垃圾。</w:t>
      </w:r>
      <w:r>
        <w:rPr>
          <w:rFonts w:hint="eastAsia"/>
          <w:lang w:val="en-US" w:eastAsia="zh-CN"/>
        </w:rPr>
        <w:t>参考2021年至2025年政府工作报告、</w:t>
      </w:r>
      <w:bookmarkStart w:id="88" w:name="OLE_LINK16"/>
      <w:r>
        <w:rPr>
          <w:rFonts w:hint="eastAsia"/>
        </w:rPr>
        <w:t>桃江县202</w:t>
      </w:r>
      <w:r>
        <w:rPr>
          <w:rFonts w:hint="eastAsia"/>
          <w:lang w:val="en-US" w:eastAsia="zh-CN"/>
        </w:rPr>
        <w:t>0</w:t>
      </w:r>
      <w:r>
        <w:rPr>
          <w:rFonts w:hint="eastAsia"/>
        </w:rPr>
        <w:t>年</w:t>
      </w:r>
      <w:r>
        <w:rPr>
          <w:rFonts w:hint="eastAsia"/>
          <w:lang w:val="en-US" w:eastAsia="zh-CN"/>
        </w:rPr>
        <w:t>至2024年</w:t>
      </w:r>
      <w:r>
        <w:rPr>
          <w:rFonts w:hint="eastAsia"/>
        </w:rPr>
        <w:t>国民经济和社会发展统计公报</w:t>
      </w:r>
      <w:bookmarkEnd w:id="88"/>
      <w:r>
        <w:rPr>
          <w:rFonts w:hint="eastAsia"/>
          <w:lang w:eastAsia="zh-CN"/>
        </w:rPr>
        <w:t>，</w:t>
      </w:r>
      <w:r>
        <w:rPr>
          <w:rFonts w:hint="eastAsia"/>
          <w:lang w:val="en-US" w:eastAsia="zh-CN"/>
        </w:rPr>
        <w:t>桃江县中心城区近</w:t>
      </w:r>
      <w:r>
        <w:rPr>
          <w:rFonts w:hint="eastAsia"/>
        </w:rPr>
        <w:t>5年建筑垃圾产生情况</w:t>
      </w:r>
      <w:r>
        <w:rPr>
          <w:rFonts w:hint="eastAsia"/>
          <w:lang w:val="en-US" w:eastAsia="zh-CN"/>
        </w:rPr>
        <w:t>如表3-1所示。</w:t>
      </w:r>
    </w:p>
    <w:p>
      <w:pPr>
        <w:bidi w:val="0"/>
        <w:rPr>
          <w:rFonts w:hint="eastAsia"/>
          <w:lang w:val="en-US" w:eastAsia="zh-CN"/>
        </w:rPr>
      </w:pPr>
      <w:r>
        <w:rPr>
          <w:rFonts w:hint="eastAsia"/>
          <w:lang w:val="en-US" w:eastAsia="zh-CN"/>
        </w:rPr>
        <w:t>2020年，</w:t>
      </w:r>
      <w:r>
        <w:rPr>
          <w:rFonts w:hint="eastAsia"/>
        </w:rPr>
        <w:t>完成建筑施</w:t>
      </w:r>
      <w:bookmarkStart w:id="89" w:name="OLE_LINK13"/>
      <w:r>
        <w:rPr>
          <w:rFonts w:hint="eastAsia"/>
        </w:rPr>
        <w:t>工面积</w:t>
      </w:r>
      <w:r>
        <w:rPr>
          <w:rFonts w:hint="eastAsia"/>
          <w:lang w:val="en-US" w:eastAsia="zh-CN"/>
        </w:rPr>
        <w:t>419</w:t>
      </w:r>
      <w:r>
        <w:rPr>
          <w:rFonts w:hint="eastAsia"/>
        </w:rPr>
        <w:t>万平方米</w:t>
      </w:r>
      <w:r>
        <w:rPr>
          <w:rFonts w:hint="eastAsia"/>
          <w:lang w:eastAsia="zh-CN"/>
        </w:rPr>
        <w:t>，</w:t>
      </w:r>
      <w:r>
        <w:rPr>
          <w:rFonts w:hint="eastAsia"/>
          <w:lang w:val="en-US" w:eastAsia="zh-CN"/>
        </w:rPr>
        <w:t>育英巷东片区棚改拆除建筑物4.74万平方米，</w:t>
      </w:r>
      <w:r>
        <w:rPr>
          <w:rFonts w:hint="eastAsia"/>
        </w:rPr>
        <w:t>商品房屋销售面积48.36万平方米，拆除各类违建5.7万平方米</w:t>
      </w:r>
      <w:bookmarkStart w:id="90" w:name="OLE_LINK14"/>
      <w:r>
        <w:rPr>
          <w:rFonts w:hint="eastAsia"/>
        </w:rPr>
        <w:t>。</w:t>
      </w:r>
    </w:p>
    <w:bookmarkEnd w:id="89"/>
    <w:bookmarkEnd w:id="90"/>
    <w:p>
      <w:pPr>
        <w:bidi w:val="0"/>
        <w:rPr>
          <w:rFonts w:hint="eastAsia"/>
        </w:rPr>
      </w:pPr>
      <w:bookmarkStart w:id="91" w:name="OLE_LINK19"/>
      <w:r>
        <w:rPr>
          <w:rFonts w:hint="eastAsia"/>
          <w:lang w:val="en-US" w:eastAsia="zh-CN"/>
        </w:rPr>
        <w:t>2021年，</w:t>
      </w:r>
      <w:r>
        <w:rPr>
          <w:rFonts w:hint="default"/>
          <w:lang w:val="en-US" w:eastAsia="zh-CN"/>
        </w:rPr>
        <w:t>建筑施工面积406.72万平方米，</w:t>
      </w:r>
      <w:r>
        <w:rPr>
          <w:rFonts w:hint="eastAsia"/>
          <w:lang w:val="en-US" w:eastAsia="zh-CN"/>
        </w:rPr>
        <w:t>弄溪桥片区棚改项目拆除建筑物8.62万平方米，</w:t>
      </w:r>
      <w:r>
        <w:rPr>
          <w:rFonts w:hint="default"/>
          <w:lang w:val="en-US" w:eastAsia="zh-CN"/>
        </w:rPr>
        <w:t>商品</w:t>
      </w:r>
      <w:bookmarkStart w:id="92" w:name="OLE_LINK15"/>
      <w:r>
        <w:rPr>
          <w:rFonts w:hint="default"/>
          <w:lang w:val="en-US" w:eastAsia="zh-CN"/>
        </w:rPr>
        <w:t>房屋销售面积38.16万平方米，</w:t>
      </w:r>
      <w:r>
        <w:rPr>
          <w:rFonts w:hint="eastAsia"/>
        </w:rPr>
        <w:t>拆除违建4.1万平方米</w:t>
      </w:r>
      <w:bookmarkEnd w:id="92"/>
      <w:r>
        <w:rPr>
          <w:rFonts w:hint="eastAsia"/>
          <w:lang w:eastAsia="zh-CN"/>
        </w:rPr>
        <w:t>。</w:t>
      </w:r>
    </w:p>
    <w:p>
      <w:pPr>
        <w:bidi w:val="0"/>
        <w:rPr>
          <w:rFonts w:hint="eastAsia"/>
          <w:lang w:val="en-US" w:eastAsia="zh-CN"/>
        </w:rPr>
      </w:pPr>
      <w:r>
        <w:rPr>
          <w:rFonts w:hint="eastAsia"/>
          <w:lang w:val="en-US" w:eastAsia="zh-CN"/>
        </w:rPr>
        <w:t>2022年，建筑施工面积</w:t>
      </w:r>
      <w:r>
        <w:rPr>
          <w:rFonts w:hint="default"/>
          <w:lang w:val="en-US" w:eastAsia="zh-CN"/>
        </w:rPr>
        <w:t>402.33</w:t>
      </w:r>
      <w:r>
        <w:rPr>
          <w:rFonts w:hint="eastAsia"/>
          <w:lang w:val="en-US" w:eastAsia="zh-CN"/>
        </w:rPr>
        <w:t>万平方米，商品房屋销售面积</w:t>
      </w:r>
      <w:r>
        <w:rPr>
          <w:rFonts w:hint="default"/>
          <w:lang w:val="en-US" w:eastAsia="zh-CN"/>
        </w:rPr>
        <w:t>31.87</w:t>
      </w:r>
      <w:r>
        <w:rPr>
          <w:rFonts w:hint="eastAsia"/>
          <w:lang w:val="en-US" w:eastAsia="zh-CN"/>
        </w:rPr>
        <w:t>万平方米，</w:t>
      </w:r>
      <w:r>
        <w:rPr>
          <w:rFonts w:hint="eastAsia"/>
        </w:rPr>
        <w:t>拆除违建</w:t>
      </w:r>
      <w:r>
        <w:rPr>
          <w:rFonts w:hint="default"/>
        </w:rPr>
        <w:t>2.6</w:t>
      </w:r>
      <w:r>
        <w:rPr>
          <w:rFonts w:hint="eastAsia"/>
        </w:rPr>
        <w:t>万平方米</w:t>
      </w:r>
      <w:r>
        <w:rPr>
          <w:rFonts w:hint="eastAsia"/>
          <w:lang w:eastAsia="zh-CN"/>
        </w:rPr>
        <w:t>。</w:t>
      </w:r>
    </w:p>
    <w:p>
      <w:pPr>
        <w:bidi w:val="0"/>
        <w:rPr>
          <w:rFonts w:hint="eastAsia"/>
          <w:lang w:val="en-US" w:eastAsia="zh-CN"/>
        </w:rPr>
      </w:pPr>
      <w:r>
        <w:rPr>
          <w:rFonts w:hint="eastAsia"/>
          <w:lang w:val="en-US" w:eastAsia="zh-CN"/>
        </w:rPr>
        <w:t>2023年，</w:t>
      </w:r>
      <w:r>
        <w:rPr>
          <w:rFonts w:hint="default"/>
          <w:lang w:val="en-US" w:eastAsia="zh-CN"/>
        </w:rPr>
        <w:t>建筑施工面积</w:t>
      </w:r>
      <w:r>
        <w:rPr>
          <w:rFonts w:hint="eastAsia"/>
          <w:lang w:val="en-US" w:eastAsia="zh-CN"/>
        </w:rPr>
        <w:t>355.95</w:t>
      </w:r>
      <w:r>
        <w:rPr>
          <w:rFonts w:hint="default"/>
          <w:lang w:val="en-US" w:eastAsia="zh-CN"/>
        </w:rPr>
        <w:t>万平方米，商品房屋销售面积21.09万平方米，</w:t>
      </w:r>
      <w:r>
        <w:rPr>
          <w:rFonts w:hint="eastAsia"/>
          <w:lang w:val="en-US" w:eastAsia="zh-CN"/>
        </w:rPr>
        <w:t>完成11个老旧小区改造、拆除违建1.9万平方米。</w:t>
      </w:r>
    </w:p>
    <w:p>
      <w:pPr>
        <w:bidi w:val="0"/>
        <w:rPr>
          <w:rFonts w:hint="eastAsia"/>
          <w:lang w:val="en-US" w:eastAsia="zh-CN"/>
        </w:rPr>
      </w:pPr>
      <w:r>
        <w:rPr>
          <w:rFonts w:hint="eastAsia"/>
          <w:lang w:val="en-US" w:eastAsia="zh-CN"/>
        </w:rPr>
        <w:t>2024年，建筑施工面积</w:t>
      </w:r>
      <w:r>
        <w:rPr>
          <w:rFonts w:hint="default"/>
          <w:lang w:val="en-US" w:eastAsia="zh-CN"/>
        </w:rPr>
        <w:t>345.16</w:t>
      </w:r>
      <w:r>
        <w:rPr>
          <w:rFonts w:hint="eastAsia"/>
          <w:lang w:val="en-US" w:eastAsia="zh-CN"/>
        </w:rPr>
        <w:t>万平方米，商品房屋销售面积</w:t>
      </w:r>
      <w:r>
        <w:rPr>
          <w:rFonts w:hint="default"/>
          <w:lang w:val="en-US" w:eastAsia="zh-CN"/>
        </w:rPr>
        <w:t>16.12</w:t>
      </w:r>
      <w:r>
        <w:rPr>
          <w:rFonts w:hint="eastAsia"/>
          <w:lang w:val="en-US" w:eastAsia="zh-CN"/>
        </w:rPr>
        <w:t>万平方米，拆除违建4992.3平方米</w:t>
      </w:r>
      <w:bookmarkStart w:id="93" w:name="OLE_LINK18"/>
      <w:r>
        <w:rPr>
          <w:rFonts w:hint="eastAsia"/>
          <w:lang w:val="en-US" w:eastAsia="zh-CN"/>
        </w:rPr>
        <w:t>，</w:t>
      </w:r>
      <w:r>
        <w:rPr>
          <w:rFonts w:hint="eastAsia"/>
        </w:rPr>
        <w:t>清理陈年建筑装修垃圾800吨</w:t>
      </w:r>
      <w:bookmarkEnd w:id="93"/>
      <w:r>
        <w:rPr>
          <w:rFonts w:hint="eastAsia"/>
          <w:lang w:eastAsia="zh-CN"/>
        </w:rPr>
        <w:t>。</w:t>
      </w:r>
      <w:bookmarkEnd w:id="91"/>
    </w:p>
    <w:p>
      <w:pPr>
        <w:bidi w:val="0"/>
        <w:jc w:val="center"/>
        <w:rPr>
          <w:b/>
          <w:bCs/>
        </w:rPr>
      </w:pPr>
      <w:r>
        <w:rPr>
          <w:rFonts w:hint="eastAsia"/>
          <w:b/>
          <w:bCs/>
          <w:lang w:val="en-US" w:eastAsia="zh-CN"/>
        </w:rPr>
        <w:t>表3-1  桃江县年建筑垃圾清运处置量统计表（万t）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856"/>
        <w:gridCol w:w="997"/>
        <w:gridCol w:w="997"/>
        <w:gridCol w:w="997"/>
        <w:gridCol w:w="997"/>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bidi w:val="0"/>
              <w:ind w:left="0" w:leftChars="0" w:firstLine="0" w:firstLineChars="0"/>
              <w:jc w:val="center"/>
              <w:rPr>
                <w:rFonts w:hint="default"/>
                <w:b/>
                <w:bCs/>
                <w:sz w:val="24"/>
                <w:szCs w:val="24"/>
                <w:lang w:val="en-US" w:eastAsia="zh-CN"/>
              </w:rPr>
            </w:pPr>
            <w:r>
              <w:rPr>
                <w:rFonts w:hint="eastAsia"/>
                <w:b/>
                <w:bCs/>
                <w:sz w:val="24"/>
                <w:szCs w:val="24"/>
                <w:lang w:val="en-US" w:eastAsia="zh-CN"/>
              </w:rPr>
              <w:t>序号</w:t>
            </w:r>
          </w:p>
        </w:tc>
        <w:tc>
          <w:tcPr>
            <w:tcW w:w="0" w:type="auto"/>
            <w:vAlign w:val="center"/>
          </w:tcPr>
          <w:p>
            <w:pPr>
              <w:bidi w:val="0"/>
              <w:ind w:left="0" w:leftChars="0" w:firstLine="0" w:firstLineChars="0"/>
              <w:jc w:val="center"/>
              <w:rPr>
                <w:rFonts w:hint="default"/>
                <w:b/>
                <w:bCs/>
                <w:sz w:val="24"/>
                <w:szCs w:val="24"/>
                <w:lang w:val="en-US" w:eastAsia="zh-CN"/>
              </w:rPr>
            </w:pPr>
            <w:r>
              <w:rPr>
                <w:rFonts w:hint="eastAsia"/>
                <w:b/>
                <w:bCs/>
                <w:sz w:val="24"/>
                <w:szCs w:val="24"/>
                <w:lang w:val="en-US" w:eastAsia="zh-CN"/>
              </w:rPr>
              <w:t>建筑垃圾类别</w:t>
            </w:r>
          </w:p>
        </w:tc>
        <w:tc>
          <w:tcPr>
            <w:tcW w:w="0" w:type="auto"/>
            <w:vAlign w:val="center"/>
          </w:tcPr>
          <w:p>
            <w:pPr>
              <w:bidi w:val="0"/>
              <w:ind w:left="0" w:leftChars="0" w:firstLine="0" w:firstLineChars="0"/>
              <w:jc w:val="center"/>
              <w:rPr>
                <w:rFonts w:hint="default"/>
                <w:b/>
                <w:bCs/>
                <w:sz w:val="24"/>
                <w:szCs w:val="24"/>
                <w:lang w:val="en-US" w:eastAsia="zh-CN"/>
              </w:rPr>
            </w:pPr>
            <w:r>
              <w:rPr>
                <w:rFonts w:hint="eastAsia"/>
                <w:b/>
                <w:bCs/>
                <w:sz w:val="24"/>
                <w:szCs w:val="24"/>
                <w:lang w:val="en-US" w:eastAsia="zh-CN"/>
              </w:rPr>
              <w:t>2020年</w:t>
            </w:r>
          </w:p>
        </w:tc>
        <w:tc>
          <w:tcPr>
            <w:tcW w:w="0" w:type="auto"/>
            <w:vAlign w:val="center"/>
          </w:tcPr>
          <w:p>
            <w:pPr>
              <w:bidi w:val="0"/>
              <w:ind w:left="0" w:leftChars="0" w:firstLine="0" w:firstLineChars="0"/>
              <w:jc w:val="center"/>
              <w:rPr>
                <w:rFonts w:hint="eastAsia"/>
                <w:b/>
                <w:bCs/>
                <w:sz w:val="24"/>
                <w:szCs w:val="24"/>
              </w:rPr>
            </w:pPr>
            <w:r>
              <w:rPr>
                <w:rFonts w:hint="eastAsia"/>
                <w:b/>
                <w:bCs/>
                <w:sz w:val="24"/>
                <w:szCs w:val="24"/>
                <w:lang w:val="en-US" w:eastAsia="zh-CN"/>
              </w:rPr>
              <w:t>2021年</w:t>
            </w:r>
          </w:p>
        </w:tc>
        <w:tc>
          <w:tcPr>
            <w:tcW w:w="0" w:type="auto"/>
            <w:vAlign w:val="center"/>
          </w:tcPr>
          <w:p>
            <w:pPr>
              <w:bidi w:val="0"/>
              <w:ind w:left="0" w:leftChars="0" w:firstLine="0" w:firstLineChars="0"/>
              <w:jc w:val="center"/>
              <w:rPr>
                <w:rFonts w:hint="eastAsia"/>
                <w:b/>
                <w:bCs/>
                <w:sz w:val="24"/>
                <w:szCs w:val="24"/>
              </w:rPr>
            </w:pPr>
            <w:r>
              <w:rPr>
                <w:rFonts w:hint="eastAsia"/>
                <w:b/>
                <w:bCs/>
                <w:sz w:val="24"/>
                <w:szCs w:val="24"/>
                <w:lang w:val="en-US" w:eastAsia="zh-CN"/>
              </w:rPr>
              <w:t>2022年</w:t>
            </w:r>
          </w:p>
        </w:tc>
        <w:tc>
          <w:tcPr>
            <w:tcW w:w="0" w:type="auto"/>
            <w:vAlign w:val="center"/>
          </w:tcPr>
          <w:p>
            <w:pPr>
              <w:bidi w:val="0"/>
              <w:ind w:left="0" w:leftChars="0" w:firstLine="0" w:firstLineChars="0"/>
              <w:jc w:val="center"/>
              <w:rPr>
                <w:rFonts w:hint="eastAsia"/>
                <w:b/>
                <w:bCs/>
                <w:sz w:val="24"/>
                <w:szCs w:val="24"/>
              </w:rPr>
            </w:pPr>
            <w:r>
              <w:rPr>
                <w:rFonts w:hint="eastAsia"/>
                <w:b/>
                <w:bCs/>
                <w:sz w:val="24"/>
                <w:szCs w:val="24"/>
                <w:lang w:val="en-US" w:eastAsia="zh-CN"/>
              </w:rPr>
              <w:t>2023年</w:t>
            </w:r>
          </w:p>
        </w:tc>
        <w:tc>
          <w:tcPr>
            <w:tcW w:w="0" w:type="auto"/>
            <w:vAlign w:val="center"/>
          </w:tcPr>
          <w:p>
            <w:pPr>
              <w:bidi w:val="0"/>
              <w:ind w:left="0" w:leftChars="0" w:firstLine="0" w:firstLineChars="0"/>
              <w:jc w:val="center"/>
              <w:rPr>
                <w:rFonts w:hint="eastAsia"/>
                <w:b/>
                <w:bCs/>
                <w:sz w:val="24"/>
                <w:szCs w:val="24"/>
              </w:rPr>
            </w:pPr>
            <w:r>
              <w:rPr>
                <w:rFonts w:hint="eastAsia"/>
                <w:b/>
                <w:bCs/>
                <w:sz w:val="24"/>
                <w:szCs w:val="24"/>
                <w:lang w:val="en-US" w:eastAsia="zh-CN"/>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1</w:t>
            </w:r>
          </w:p>
        </w:tc>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工程渣土（含工程泥浆）</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83.8</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81.34</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80.47</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71.19</w:t>
            </w:r>
          </w:p>
        </w:tc>
        <w:tc>
          <w:tcPr>
            <w:tcW w:w="0" w:type="auto"/>
            <w:vAlign w:val="center"/>
          </w:tcPr>
          <w:p>
            <w:pPr>
              <w:bidi w:val="0"/>
              <w:ind w:left="0" w:leftChars="0" w:firstLine="0" w:firstLineChars="0"/>
              <w:jc w:val="center"/>
              <w:rPr>
                <w:rFonts w:hint="default"/>
                <w:sz w:val="24"/>
                <w:szCs w:val="24"/>
                <w:lang w:val="en-US"/>
              </w:rPr>
            </w:pPr>
            <w:r>
              <w:rPr>
                <w:rFonts w:hint="eastAsia"/>
                <w:sz w:val="24"/>
                <w:szCs w:val="24"/>
                <w:lang w:val="en-US" w:eastAsia="zh-CN"/>
              </w:rPr>
              <w:t>69.03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3</w:t>
            </w:r>
          </w:p>
        </w:tc>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工程垃圾</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12.57</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12.2</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12.07</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10.68</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4</w:t>
            </w:r>
          </w:p>
        </w:tc>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拆除垃圾</w:t>
            </w:r>
          </w:p>
        </w:tc>
        <w:tc>
          <w:tcPr>
            <w:tcW w:w="0" w:type="auto"/>
            <w:vAlign w:val="center"/>
          </w:tcPr>
          <w:p>
            <w:pPr>
              <w:bidi w:val="0"/>
              <w:ind w:left="0" w:leftChars="0" w:firstLine="0" w:firstLineChars="0"/>
              <w:jc w:val="center"/>
              <w:rPr>
                <w:rFonts w:hint="default"/>
                <w:sz w:val="24"/>
                <w:szCs w:val="24"/>
                <w:lang w:val="en-US"/>
              </w:rPr>
            </w:pPr>
            <w:r>
              <w:rPr>
                <w:rFonts w:hint="eastAsia"/>
                <w:sz w:val="24"/>
                <w:szCs w:val="24"/>
                <w:lang w:val="en-US" w:eastAsia="zh-CN"/>
              </w:rPr>
              <w:t>10.44</w:t>
            </w:r>
          </w:p>
        </w:tc>
        <w:tc>
          <w:tcPr>
            <w:tcW w:w="0" w:type="auto"/>
            <w:vAlign w:val="center"/>
          </w:tcPr>
          <w:p>
            <w:pPr>
              <w:bidi w:val="0"/>
              <w:ind w:left="0" w:leftChars="0" w:firstLine="0" w:firstLineChars="0"/>
              <w:jc w:val="center"/>
              <w:rPr>
                <w:rFonts w:hint="default"/>
                <w:sz w:val="24"/>
                <w:szCs w:val="24"/>
                <w:lang w:val="en-US"/>
              </w:rPr>
            </w:pPr>
            <w:r>
              <w:rPr>
                <w:rFonts w:hint="eastAsia"/>
                <w:sz w:val="24"/>
                <w:szCs w:val="24"/>
                <w:lang w:val="en-US" w:eastAsia="zh-CN"/>
              </w:rPr>
              <w:t>12.72</w:t>
            </w:r>
          </w:p>
        </w:tc>
        <w:tc>
          <w:tcPr>
            <w:tcW w:w="0" w:type="auto"/>
            <w:vAlign w:val="center"/>
          </w:tcPr>
          <w:p>
            <w:pPr>
              <w:bidi w:val="0"/>
              <w:ind w:left="0" w:leftChars="0" w:firstLine="0" w:firstLineChars="0"/>
              <w:jc w:val="center"/>
              <w:rPr>
                <w:rFonts w:hint="default"/>
                <w:sz w:val="24"/>
                <w:szCs w:val="24"/>
                <w:lang w:val="en-US"/>
              </w:rPr>
            </w:pPr>
            <w:r>
              <w:rPr>
                <w:rFonts w:hint="eastAsia"/>
                <w:sz w:val="24"/>
                <w:szCs w:val="24"/>
                <w:lang w:val="en-US" w:eastAsia="zh-CN"/>
              </w:rPr>
              <w:t>10.65</w:t>
            </w:r>
          </w:p>
        </w:tc>
        <w:tc>
          <w:tcPr>
            <w:tcW w:w="0" w:type="auto"/>
            <w:vAlign w:val="center"/>
          </w:tcPr>
          <w:p>
            <w:pPr>
              <w:bidi w:val="0"/>
              <w:ind w:left="0" w:leftChars="0" w:firstLine="0" w:firstLineChars="0"/>
              <w:jc w:val="center"/>
              <w:rPr>
                <w:rFonts w:hint="default"/>
                <w:sz w:val="24"/>
                <w:szCs w:val="24"/>
                <w:lang w:val="en-US"/>
              </w:rPr>
            </w:pPr>
            <w:r>
              <w:rPr>
                <w:rFonts w:hint="eastAsia"/>
                <w:sz w:val="24"/>
                <w:szCs w:val="24"/>
                <w:lang w:val="en-US" w:eastAsia="zh-CN"/>
              </w:rPr>
              <w:t>9.02</w:t>
            </w:r>
          </w:p>
        </w:tc>
        <w:tc>
          <w:tcPr>
            <w:tcW w:w="0" w:type="auto"/>
            <w:vAlign w:val="center"/>
          </w:tcPr>
          <w:p>
            <w:pPr>
              <w:bidi w:val="0"/>
              <w:ind w:left="0" w:leftChars="0" w:firstLine="0" w:firstLineChars="0"/>
              <w:jc w:val="center"/>
              <w:rPr>
                <w:rFonts w:hint="default"/>
                <w:sz w:val="24"/>
                <w:szCs w:val="24"/>
                <w:lang w:val="en-US"/>
              </w:rPr>
            </w:pPr>
            <w:r>
              <w:rPr>
                <w:rFonts w:hint="eastAsia"/>
                <w:sz w:val="24"/>
                <w:szCs w:val="24"/>
                <w:lang w:val="en-US" w:eastAsia="zh-CN"/>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5</w:t>
            </w:r>
          </w:p>
        </w:tc>
        <w:tc>
          <w:tcPr>
            <w:tcW w:w="0" w:type="auto"/>
            <w:vAlign w:val="center"/>
          </w:tcPr>
          <w:p>
            <w:pPr>
              <w:bidi w:val="0"/>
              <w:ind w:left="0" w:leftChars="0" w:firstLine="0" w:firstLineChars="0"/>
              <w:jc w:val="center"/>
              <w:rPr>
                <w:rFonts w:hint="default"/>
                <w:sz w:val="24"/>
                <w:szCs w:val="24"/>
                <w:lang w:val="en-US" w:eastAsia="zh-CN"/>
              </w:rPr>
            </w:pPr>
            <w:r>
              <w:rPr>
                <w:rFonts w:hint="eastAsia"/>
                <w:sz w:val="24"/>
                <w:szCs w:val="24"/>
                <w:lang w:val="en-US" w:eastAsia="zh-CN"/>
              </w:rPr>
              <w:t>装修垃圾</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13.5</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13.1</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12</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11.76</w:t>
            </w:r>
          </w:p>
        </w:tc>
        <w:tc>
          <w:tcPr>
            <w:tcW w:w="0" w:type="auto"/>
            <w:vAlign w:val="center"/>
          </w:tcPr>
          <w:p>
            <w:pPr>
              <w:bidi w:val="0"/>
              <w:ind w:left="0" w:leftChars="0" w:firstLine="0" w:firstLineChars="0"/>
              <w:jc w:val="center"/>
              <w:rPr>
                <w:rFonts w:hint="eastAsia"/>
                <w:sz w:val="24"/>
                <w:szCs w:val="24"/>
              </w:rPr>
            </w:pPr>
            <w:r>
              <w:rPr>
                <w:rFonts w:hint="eastAsia"/>
                <w:sz w:val="24"/>
                <w:szCs w:val="24"/>
                <w:lang w:val="en-US" w:eastAsia="zh-CN"/>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bidi w:val="0"/>
              <w:jc w:val="center"/>
              <w:rPr>
                <w:rFonts w:hint="eastAsia"/>
                <w:sz w:val="24"/>
                <w:szCs w:val="24"/>
                <w:lang w:val="en-US" w:eastAsia="zh-CN"/>
              </w:rPr>
            </w:pPr>
          </w:p>
        </w:tc>
        <w:tc>
          <w:tcPr>
            <w:tcW w:w="0" w:type="auto"/>
            <w:vAlign w:val="center"/>
          </w:tcPr>
          <w:p>
            <w:pPr>
              <w:bidi w:val="0"/>
              <w:ind w:left="0" w:leftChars="0" w:firstLine="0" w:firstLineChars="0"/>
              <w:jc w:val="center"/>
              <w:rPr>
                <w:rFonts w:hint="eastAsia"/>
                <w:sz w:val="24"/>
                <w:szCs w:val="24"/>
                <w:lang w:val="en-US" w:eastAsia="zh-CN"/>
              </w:rPr>
            </w:pPr>
            <w:r>
              <w:rPr>
                <w:rFonts w:hint="eastAsia"/>
                <w:sz w:val="24"/>
                <w:szCs w:val="24"/>
                <w:lang w:val="en-US" w:eastAsia="zh-CN"/>
              </w:rPr>
              <w:t>总量</w:t>
            </w:r>
          </w:p>
        </w:tc>
        <w:tc>
          <w:tcPr>
            <w:tcW w:w="0" w:type="auto"/>
            <w:vAlign w:val="center"/>
          </w:tcPr>
          <w:p>
            <w:pPr>
              <w:bidi w:val="0"/>
              <w:ind w:left="0" w:leftChars="0" w:firstLine="0" w:firstLineChars="0"/>
              <w:jc w:val="center"/>
              <w:rPr>
                <w:rFonts w:hint="default" w:eastAsia="仿宋"/>
                <w:sz w:val="24"/>
                <w:szCs w:val="24"/>
                <w:lang w:val="en-US" w:eastAsia="zh-CN"/>
              </w:rPr>
            </w:pPr>
            <w:r>
              <w:rPr>
                <w:rFonts w:hint="eastAsia"/>
                <w:sz w:val="24"/>
                <w:szCs w:val="24"/>
                <w:lang w:val="en-US" w:eastAsia="zh-CN"/>
              </w:rPr>
              <w:t>120.31</w:t>
            </w:r>
          </w:p>
        </w:tc>
        <w:tc>
          <w:tcPr>
            <w:tcW w:w="0" w:type="auto"/>
            <w:shd w:val="clear" w:color="auto" w:fill="auto"/>
            <w:vAlign w:val="center"/>
          </w:tcPr>
          <w:p>
            <w:pPr>
              <w:bidi w:val="0"/>
              <w:ind w:left="0" w:leftChars="0" w:firstLine="0" w:firstLineChars="0"/>
              <w:jc w:val="center"/>
              <w:rPr>
                <w:rFonts w:hint="default" w:ascii="Times New Roman" w:hAnsi="Times New Roman" w:eastAsia="仿宋" w:cstheme="minorBidi"/>
                <w:kern w:val="2"/>
                <w:sz w:val="24"/>
                <w:szCs w:val="24"/>
                <w:lang w:val="en-US" w:eastAsia="zh-CN" w:bidi="ar-SA"/>
              </w:rPr>
            </w:pPr>
            <w:r>
              <w:rPr>
                <w:rFonts w:hint="eastAsia"/>
                <w:sz w:val="24"/>
                <w:szCs w:val="24"/>
                <w:lang w:val="en-US" w:eastAsia="zh-CN"/>
              </w:rPr>
              <w:t>119.36</w:t>
            </w:r>
          </w:p>
        </w:tc>
        <w:tc>
          <w:tcPr>
            <w:tcW w:w="0" w:type="auto"/>
            <w:shd w:val="clear" w:color="auto" w:fill="auto"/>
            <w:vAlign w:val="center"/>
          </w:tcPr>
          <w:p>
            <w:pPr>
              <w:bidi w:val="0"/>
              <w:ind w:left="0" w:leftChars="0" w:firstLine="0" w:firstLineChars="0"/>
              <w:jc w:val="center"/>
              <w:rPr>
                <w:rFonts w:hint="default" w:ascii="Times New Roman" w:hAnsi="Times New Roman" w:eastAsia="仿宋" w:cstheme="minorBidi"/>
                <w:kern w:val="2"/>
                <w:sz w:val="24"/>
                <w:szCs w:val="24"/>
                <w:lang w:val="en-US" w:eastAsia="zh-CN" w:bidi="ar-SA"/>
              </w:rPr>
            </w:pPr>
            <w:r>
              <w:rPr>
                <w:rFonts w:hint="eastAsia"/>
                <w:sz w:val="24"/>
                <w:szCs w:val="24"/>
                <w:lang w:val="en-US" w:eastAsia="zh-CN"/>
              </w:rPr>
              <w:t>115.19</w:t>
            </w:r>
          </w:p>
        </w:tc>
        <w:tc>
          <w:tcPr>
            <w:tcW w:w="0" w:type="auto"/>
            <w:shd w:val="clear" w:color="auto" w:fill="auto"/>
            <w:vAlign w:val="center"/>
          </w:tcPr>
          <w:p>
            <w:pPr>
              <w:bidi w:val="0"/>
              <w:ind w:left="0" w:leftChars="0" w:firstLine="0" w:firstLineChars="0"/>
              <w:jc w:val="center"/>
              <w:rPr>
                <w:rFonts w:hint="default" w:ascii="Times New Roman" w:hAnsi="Times New Roman" w:eastAsia="仿宋" w:cstheme="minorBidi"/>
                <w:kern w:val="2"/>
                <w:sz w:val="24"/>
                <w:szCs w:val="24"/>
                <w:lang w:val="en-US" w:eastAsia="zh-CN" w:bidi="ar-SA"/>
              </w:rPr>
            </w:pPr>
            <w:r>
              <w:rPr>
                <w:rFonts w:hint="eastAsia"/>
                <w:sz w:val="24"/>
                <w:szCs w:val="24"/>
                <w:lang w:val="en-US" w:eastAsia="zh-CN"/>
              </w:rPr>
              <w:t>102.65</w:t>
            </w:r>
          </w:p>
        </w:tc>
        <w:tc>
          <w:tcPr>
            <w:tcW w:w="0" w:type="auto"/>
            <w:shd w:val="clear" w:color="auto" w:fill="auto"/>
            <w:vAlign w:val="center"/>
          </w:tcPr>
          <w:p>
            <w:pPr>
              <w:bidi w:val="0"/>
              <w:ind w:left="0" w:leftChars="0" w:firstLine="0" w:firstLineChars="0"/>
              <w:jc w:val="center"/>
              <w:rPr>
                <w:rFonts w:hint="eastAsia" w:ascii="Times New Roman" w:hAnsi="Times New Roman" w:eastAsia="仿宋" w:cstheme="minorBidi"/>
                <w:kern w:val="2"/>
                <w:sz w:val="24"/>
                <w:szCs w:val="24"/>
                <w:lang w:val="en-US" w:eastAsia="zh-CN" w:bidi="ar-SA"/>
              </w:rPr>
            </w:pPr>
            <w:r>
              <w:rPr>
                <w:rFonts w:hint="eastAsia"/>
                <w:sz w:val="24"/>
                <w:szCs w:val="24"/>
                <w:lang w:val="en-US" w:eastAsia="zh-CN"/>
              </w:rPr>
              <w:t>98.28</w:t>
            </w:r>
          </w:p>
        </w:tc>
      </w:tr>
    </w:tbl>
    <w:p>
      <w:pPr>
        <w:pageBreakBefore w:val="0"/>
        <w:kinsoku/>
        <w:wordWrap w:val="0"/>
        <w:overflowPunct/>
        <w:topLinePunct w:val="0"/>
        <w:autoSpaceDE/>
        <w:autoSpaceDN/>
        <w:bidi w:val="0"/>
        <w:adjustRightInd/>
        <w:snapToGrid/>
        <w:ind w:firstLine="560"/>
        <w:rPr>
          <w:rFonts w:hint="eastAsia" w:cs="Times New Roman"/>
          <w:szCs w:val="28"/>
          <w:highlight w:val="cyan"/>
        </w:rPr>
      </w:pPr>
    </w:p>
    <w:p>
      <w:pPr>
        <w:pStyle w:val="3"/>
        <w:bidi w:val="0"/>
        <w:rPr>
          <w:rFonts w:hint="eastAsia" w:ascii="楷体" w:hAnsi="楷体" w:eastAsia="楷体" w:cs="楷体"/>
          <w:sz w:val="28"/>
          <w:szCs w:val="28"/>
        </w:rPr>
      </w:pPr>
      <w:bookmarkStart w:id="94" w:name="_Toc1688"/>
      <w:r>
        <w:rPr>
          <w:rFonts w:hint="eastAsia" w:ascii="楷体" w:hAnsi="楷体" w:eastAsia="楷体" w:cs="楷体"/>
          <w:sz w:val="28"/>
          <w:szCs w:val="28"/>
        </w:rPr>
        <w:t>（二）建筑垃圾收运现状</w:t>
      </w:r>
      <w:bookmarkEnd w:id="94"/>
    </w:p>
    <w:p>
      <w:pPr>
        <w:bidi w:val="0"/>
      </w:pPr>
      <w:r>
        <w:rPr>
          <w:rFonts w:hint="eastAsia"/>
          <w:lang w:val="en-US" w:eastAsia="zh-CN"/>
        </w:rPr>
        <w:t>桃江县</w:t>
      </w:r>
      <w:r>
        <w:t>建筑垃圾运输服务企业</w:t>
      </w:r>
      <w:r>
        <w:rPr>
          <w:rFonts w:hint="eastAsia"/>
          <w:lang w:val="en-US" w:eastAsia="zh-CN"/>
        </w:rPr>
        <w:t>向桃江</w:t>
      </w:r>
      <w:r>
        <w:t>县城市管理和综合执法局</w:t>
      </w:r>
      <w:r>
        <w:rPr>
          <w:rFonts w:hint="eastAsia"/>
          <w:lang w:val="en-US" w:eastAsia="zh-CN"/>
        </w:rPr>
        <w:t>提出申请，</w:t>
      </w:r>
      <w:r>
        <w:t>获得建筑垃圾</w:t>
      </w:r>
      <w:r>
        <w:rPr>
          <w:rFonts w:hint="eastAsia"/>
          <w:lang w:val="en-US" w:eastAsia="zh-CN"/>
        </w:rPr>
        <w:t>运输</w:t>
      </w:r>
      <w:r>
        <w:t>核准后，方可运输建筑垃圾。运输车辆需按照城市管理和综合执法主管部门确定的时间、路线运输到指定地点，不得乱倾乱倒。</w:t>
      </w:r>
      <w:r>
        <w:rPr>
          <w:rFonts w:hint="eastAsia"/>
          <w:lang w:val="en-US" w:eastAsia="zh-CN"/>
        </w:rPr>
        <w:t>桃江县</w:t>
      </w:r>
      <w:r>
        <w:t>现状建筑垃圾运输企业以渣土运输企业为主，建筑垃圾收运主要采用直运模式，建筑垃圾产生单位将建筑垃圾统一整理后由建筑垃圾收运企业收集或渣土运输公司进行运送。</w:t>
      </w:r>
    </w:p>
    <w:p>
      <w:pPr>
        <w:bidi w:val="0"/>
      </w:pPr>
      <w:r>
        <w:t>现有建筑垃圾运输车辆颜色为绿色，有部分为老式运输车辆，新型智能环保运输车辆普及率相对较低，车载智能管控设备配置率待提升。</w:t>
      </w:r>
    </w:p>
    <w:p>
      <w:pPr>
        <w:pStyle w:val="3"/>
        <w:bidi w:val="0"/>
        <w:rPr>
          <w:rFonts w:hint="eastAsia" w:ascii="楷体" w:hAnsi="楷体" w:eastAsia="楷体" w:cs="楷体"/>
          <w:sz w:val="28"/>
          <w:szCs w:val="28"/>
        </w:rPr>
      </w:pPr>
      <w:bookmarkStart w:id="95" w:name="_Toc4051"/>
      <w:r>
        <w:rPr>
          <w:rFonts w:hint="eastAsia" w:ascii="楷体" w:hAnsi="楷体" w:eastAsia="楷体" w:cs="楷体"/>
          <w:sz w:val="28"/>
          <w:szCs w:val="28"/>
          <w:lang w:val="en-US" w:eastAsia="zh-CN"/>
        </w:rPr>
        <w:t>（三）</w:t>
      </w:r>
      <w:r>
        <w:rPr>
          <w:rFonts w:hint="eastAsia" w:ascii="楷体" w:hAnsi="楷体" w:eastAsia="楷体" w:cs="楷体"/>
          <w:sz w:val="28"/>
          <w:szCs w:val="28"/>
        </w:rPr>
        <w:t>建筑垃圾处理处置现状</w:t>
      </w:r>
      <w:bookmarkEnd w:id="95"/>
    </w:p>
    <w:p>
      <w:pPr>
        <w:pStyle w:val="4"/>
        <w:bidi w:val="0"/>
      </w:pPr>
      <w:r>
        <w:t>1、建筑垃圾处置方式</w:t>
      </w:r>
    </w:p>
    <w:p>
      <w:pPr>
        <w:bidi w:val="0"/>
        <w:rPr>
          <w:strike w:val="0"/>
          <w:dstrike w:val="0"/>
          <w:highlight w:val="none"/>
          <w:u w:val="single"/>
        </w:rPr>
      </w:pPr>
      <w:bookmarkStart w:id="96" w:name="bookmark146"/>
      <w:bookmarkEnd w:id="96"/>
      <w:r>
        <w:rPr>
          <w:rFonts w:hint="eastAsia"/>
          <w:lang w:val="en-US" w:eastAsia="zh-CN"/>
        </w:rPr>
        <w:t>桃江县</w:t>
      </w:r>
      <w:r>
        <w:t>建筑垃圾分类处理方式主要包括工程回填、堆填、资源化利用等方式。其中，工程渣土通常直接用于低洼地块或待填高地块的回填利用、绿化造景、农田复垦等；工程垃圾和拆除垃圾具有一定的强度，资源化利用价值高，常直接用于回填、铺筑道路和加工制备再生骨料；装修垃圾具有轻质、组分复杂的特点，目前</w:t>
      </w:r>
      <w:r>
        <w:rPr>
          <w:rFonts w:hint="eastAsia"/>
          <w:lang w:val="en-US" w:eastAsia="zh-CN"/>
        </w:rPr>
        <w:t>桃江县</w:t>
      </w:r>
      <w:r>
        <w:t>装修垃圾主要通过分拣筛选后进行分类处理，其中筛出的金属、塑料、玻璃等进行资源化再生利用，废布、木头等可作为燃物利用，剩余垃圾进行堆填消纳。</w:t>
      </w:r>
      <w:r>
        <w:rPr>
          <w:strike w:val="0"/>
          <w:dstrike w:val="0"/>
          <w:highlight w:val="none"/>
          <w:u w:val="single"/>
        </w:rPr>
        <w:t>2024年，</w:t>
      </w:r>
      <w:r>
        <w:rPr>
          <w:rFonts w:hint="eastAsia"/>
          <w:strike w:val="0"/>
          <w:dstrike w:val="0"/>
          <w:highlight w:val="none"/>
          <w:u w:val="single"/>
          <w:lang w:val="en-US" w:eastAsia="zh-CN"/>
        </w:rPr>
        <w:t>桃江县</w:t>
      </w:r>
      <w:r>
        <w:rPr>
          <w:strike w:val="0"/>
          <w:dstrike w:val="0"/>
          <w:highlight w:val="none"/>
          <w:u w:val="single"/>
        </w:rPr>
        <w:t>资源化利用建筑垃圾量约</w:t>
      </w:r>
      <w:r>
        <w:rPr>
          <w:rFonts w:hint="eastAsia"/>
          <w:strike w:val="0"/>
          <w:dstrike w:val="0"/>
          <w:highlight w:val="none"/>
          <w:u w:val="single"/>
          <w:lang w:val="en-US" w:eastAsia="zh-CN"/>
        </w:rPr>
        <w:t>68.78</w:t>
      </w:r>
      <w:r>
        <w:rPr>
          <w:strike w:val="0"/>
          <w:dstrike w:val="0"/>
          <w:highlight w:val="none"/>
          <w:u w:val="single"/>
        </w:rPr>
        <w:t>万吨，建筑垃圾资源化利用率约为</w:t>
      </w:r>
      <w:r>
        <w:rPr>
          <w:rFonts w:hint="eastAsia"/>
          <w:strike w:val="0"/>
          <w:dstrike w:val="0"/>
          <w:highlight w:val="none"/>
          <w:u w:val="single"/>
          <w:lang w:val="en-US" w:eastAsia="zh-CN"/>
        </w:rPr>
        <w:t>70</w:t>
      </w:r>
      <w:r>
        <w:rPr>
          <w:strike w:val="0"/>
          <w:dstrike w:val="0"/>
          <w:highlight w:val="none"/>
          <w:u w:val="single"/>
        </w:rPr>
        <w:t>%。</w:t>
      </w:r>
    </w:p>
    <w:p>
      <w:pPr>
        <w:pStyle w:val="4"/>
        <w:bidi w:val="0"/>
      </w:pPr>
      <w:r>
        <w:t>2、建筑垃圾处理设施现状</w:t>
      </w:r>
    </w:p>
    <w:p>
      <w:pPr>
        <w:bidi w:val="0"/>
      </w:pPr>
      <w:r>
        <w:rPr>
          <w:rFonts w:hint="eastAsia"/>
          <w:lang w:val="en-US" w:eastAsia="zh-CN"/>
        </w:rPr>
        <w:t>桃江县</w:t>
      </w:r>
      <w:r>
        <w:t>现状建筑垃圾处理设施主要为资源化利用</w:t>
      </w:r>
      <w:r>
        <w:rPr>
          <w:rFonts w:hint="eastAsia"/>
          <w:lang w:val="en-US" w:eastAsia="zh-CN"/>
        </w:rPr>
        <w:t>厂</w:t>
      </w:r>
      <w:r>
        <w:t>和堆填场，</w:t>
      </w:r>
      <w:bookmarkStart w:id="97" w:name="OLE_LINK57"/>
      <w:r>
        <w:t>资源化利用</w:t>
      </w:r>
      <w:r>
        <w:rPr>
          <w:rFonts w:hint="eastAsia"/>
          <w:lang w:val="en-US" w:eastAsia="zh-CN"/>
        </w:rPr>
        <w:t>厂</w:t>
      </w:r>
      <w:r>
        <w:t>包括</w:t>
      </w:r>
      <w:bookmarkEnd w:id="97"/>
      <w:bookmarkStart w:id="98" w:name="OLE_LINK111"/>
      <w:r>
        <w:rPr>
          <w:rFonts w:hint="eastAsia"/>
        </w:rPr>
        <w:t>益阳方成建筑新材料有限公司</w:t>
      </w:r>
      <w:r>
        <w:rPr>
          <w:rFonts w:hint="eastAsia"/>
          <w:lang w:eastAsia="zh-CN"/>
        </w:rPr>
        <w:t>、</w:t>
      </w:r>
      <w:r>
        <w:rPr>
          <w:rFonts w:hint="eastAsia"/>
          <w:lang w:val="en-US" w:eastAsia="zh-CN"/>
        </w:rPr>
        <w:t>桃江县晓亿建材有限责任公司、</w:t>
      </w:r>
      <w:r>
        <w:rPr>
          <w:rFonts w:hint="eastAsia"/>
        </w:rPr>
        <w:t>桃江惠强环保建材有限公司</w:t>
      </w:r>
      <w:bookmarkEnd w:id="98"/>
      <w:r>
        <w:rPr>
          <w:rFonts w:hint="eastAsia"/>
          <w:lang w:eastAsia="zh-CN"/>
        </w:rPr>
        <w:t>；</w:t>
      </w:r>
      <w:r>
        <w:t>建筑垃圾堆填场包括</w:t>
      </w:r>
      <w:r>
        <w:rPr>
          <w:rFonts w:hint="eastAsia"/>
          <w:lang w:val="en-US" w:eastAsia="zh-CN"/>
        </w:rPr>
        <w:t>浮邱山垃圾堆场，但目前已停用，本规划设计新建2个建筑垃圾填埋消纳场、3个建筑垃圾转运调配场。</w:t>
      </w:r>
    </w:p>
    <w:p>
      <w:pPr>
        <w:bidi w:val="0"/>
        <w:rPr>
          <w:rFonts w:hint="eastAsia"/>
        </w:rPr>
      </w:pPr>
      <w:r>
        <w:rPr>
          <w:rFonts w:hint="eastAsia"/>
        </w:rPr>
        <w:t>益阳方成建筑新材料有限公司年处理100万吨建筑垃圾(固体废料)综合处理利用项目</w:t>
      </w:r>
      <w:r>
        <w:rPr>
          <w:rFonts w:hint="eastAsia"/>
          <w:lang w:val="en-US" w:eastAsia="zh-CN"/>
        </w:rPr>
        <w:t>位于</w:t>
      </w:r>
      <w:r>
        <w:rPr>
          <w:rFonts w:hint="eastAsia"/>
        </w:rPr>
        <w:t>桃江县浮邱山乡人形山村，用地面积46666.9m</w:t>
      </w:r>
      <w:r>
        <w:rPr>
          <w:rFonts w:hint="eastAsia"/>
          <w:vertAlign w:val="superscript"/>
        </w:rPr>
        <w:t>2</w:t>
      </w:r>
      <w:r>
        <w:rPr>
          <w:rFonts w:hint="eastAsia"/>
        </w:rPr>
        <w:t>（合70亩），年处理建筑垃圾(固体废料)100万吨，年生产各类路面景观砖60万m</w:t>
      </w:r>
      <w:r>
        <w:rPr>
          <w:rFonts w:hint="eastAsia"/>
          <w:vertAlign w:val="superscript"/>
        </w:rPr>
        <w:t>2</w:t>
      </w:r>
      <w:r>
        <w:rPr>
          <w:rFonts w:hint="eastAsia"/>
        </w:rPr>
        <w:t>、干粉砂浆20万吨、稳定层料90万吨。</w:t>
      </w:r>
    </w:p>
    <w:p>
      <w:pPr>
        <w:bidi w:val="0"/>
        <w:rPr>
          <w:rFonts w:hint="eastAsia"/>
        </w:rPr>
      </w:pPr>
      <w:r>
        <w:rPr>
          <w:rFonts w:hint="eastAsia"/>
        </w:rPr>
        <w:t>桃江惠强环保建材有限公司污泥、淤泥、废弃土无害化处理与再生利用基地建设项目</w:t>
      </w:r>
      <w:r>
        <w:rPr>
          <w:rFonts w:hint="eastAsia"/>
          <w:lang w:val="en-US" w:eastAsia="zh-CN"/>
        </w:rPr>
        <w:t>位于</w:t>
      </w:r>
      <w:r>
        <w:rPr>
          <w:rFonts w:hint="eastAsia"/>
        </w:rPr>
        <w:t>桃江县浮邱山乡人形山村丁家湾组，桃花江大道（G536）南侧。项目规划用地面积63064.01m</w:t>
      </w:r>
      <w:r>
        <w:rPr>
          <w:rFonts w:hint="eastAsia"/>
          <w:vertAlign w:val="superscript"/>
        </w:rPr>
        <w:t>2</w:t>
      </w:r>
      <w:r>
        <w:rPr>
          <w:rFonts w:hint="eastAsia"/>
        </w:rPr>
        <w:t>（合94.6亩）</w:t>
      </w:r>
      <w:r>
        <w:rPr>
          <w:rFonts w:hint="eastAsia"/>
          <w:lang w:eastAsia="zh-CN"/>
        </w:rPr>
        <w:t>，</w:t>
      </w:r>
      <w:r>
        <w:rPr>
          <w:rFonts w:hint="eastAsia"/>
        </w:rPr>
        <w:t>年处理污泥、废弃土、建筑废渣粉尘9.2万吨（其中污泥7.3万吨），</w:t>
      </w:r>
      <w:r>
        <w:t>年</w:t>
      </w:r>
      <w:r>
        <w:rPr>
          <w:rFonts w:hint="eastAsia"/>
        </w:rPr>
        <w:t>生</w:t>
      </w:r>
      <w:r>
        <w:t>产烧结保温</w:t>
      </w:r>
      <w:r>
        <w:rPr>
          <w:rFonts w:hint="eastAsia"/>
        </w:rPr>
        <w:t>空心</w:t>
      </w:r>
      <w:r>
        <w:t>砌块30万</w:t>
      </w:r>
      <w:r>
        <w:rPr>
          <w:rFonts w:hint="eastAsia"/>
        </w:rPr>
        <w:t>m</w:t>
      </w:r>
      <w:r>
        <w:rPr>
          <w:rFonts w:hint="eastAsia"/>
          <w:vertAlign w:val="superscript"/>
        </w:rPr>
        <w:t>3</w:t>
      </w:r>
      <w:r>
        <w:rPr>
          <w:rFonts w:hint="eastAsia"/>
        </w:rPr>
        <w:t>（折合标砖20000万块）</w:t>
      </w:r>
      <w:r>
        <w:t>。</w:t>
      </w:r>
    </w:p>
    <w:p>
      <w:pPr>
        <w:bidi w:val="0"/>
      </w:pPr>
      <w:r>
        <w:rPr>
          <w:rFonts w:hint="eastAsia"/>
        </w:rPr>
        <w:t>桃江县晓亿建材有限责任公司年处理60万吨建筑垃圾建设项目</w:t>
      </w:r>
      <w:r>
        <w:rPr>
          <w:rFonts w:hint="eastAsia"/>
          <w:lang w:val="en-US" w:eastAsia="zh-CN"/>
        </w:rPr>
        <w:t>位于</w:t>
      </w:r>
      <w:r>
        <w:rPr>
          <w:rFonts w:hint="eastAsia"/>
        </w:rPr>
        <w:t>桃江县石牛江镇增塘村鱼形山组和莲花组</w:t>
      </w:r>
      <w:r>
        <w:rPr>
          <w:rFonts w:hint="eastAsia"/>
          <w:lang w:eastAsia="zh-CN"/>
        </w:rPr>
        <w:t>，</w:t>
      </w:r>
      <w:r>
        <w:rPr>
          <w:rFonts w:hint="eastAsia"/>
        </w:rPr>
        <w:t>项目用地面积13334平方米(20亩)，年处理建筑垃圾60万吨，年生产骨料51万吨、环保砖32万吨、水稳料25万吨。</w:t>
      </w:r>
    </w:p>
    <w:p>
      <w:pPr>
        <w:pStyle w:val="3"/>
        <w:bidi w:val="0"/>
        <w:rPr>
          <w:rFonts w:hint="eastAsia" w:ascii="楷体" w:hAnsi="楷体" w:eastAsia="楷体" w:cs="楷体"/>
          <w:sz w:val="28"/>
          <w:szCs w:val="28"/>
        </w:rPr>
      </w:pPr>
      <w:bookmarkStart w:id="99" w:name="bookmark32"/>
      <w:bookmarkEnd w:id="99"/>
      <w:bookmarkStart w:id="100" w:name="bookmark33"/>
      <w:bookmarkEnd w:id="100"/>
      <w:bookmarkStart w:id="101" w:name="_Toc22412"/>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四</w:t>
      </w:r>
      <w:r>
        <w:rPr>
          <w:rFonts w:hint="eastAsia" w:ascii="楷体" w:hAnsi="楷体" w:eastAsia="楷体" w:cs="楷体"/>
          <w:sz w:val="28"/>
          <w:szCs w:val="28"/>
          <w:lang w:eastAsia="zh-CN"/>
        </w:rPr>
        <w:t>）</w:t>
      </w:r>
      <w:r>
        <w:rPr>
          <w:rFonts w:hint="eastAsia" w:ascii="楷体" w:hAnsi="楷体" w:eastAsia="楷体" w:cs="楷体"/>
          <w:sz w:val="28"/>
          <w:szCs w:val="28"/>
        </w:rPr>
        <w:t>建筑垃圾监管现状</w:t>
      </w:r>
      <w:bookmarkEnd w:id="101"/>
    </w:p>
    <w:p>
      <w:pPr>
        <w:bidi w:val="0"/>
      </w:pPr>
      <w:r>
        <w:t>根据《桃江县加强建筑</w:t>
      </w:r>
      <w:r>
        <w:rPr>
          <w:rFonts w:hint="eastAsia"/>
        </w:rPr>
        <w:t>垃圾管理促进</w:t>
      </w:r>
      <w:r>
        <w:t>资源化利用工作实施方案》</w:t>
      </w:r>
      <w:r>
        <w:rPr>
          <w:rFonts w:hint="eastAsia"/>
          <w:lang w:eastAsia="zh-CN"/>
        </w:rPr>
        <w:t>、</w:t>
      </w:r>
      <w:r>
        <w:t>《桃江县城市建筑消纳治理和资源化利用特许经营实施方案》，城市管理和综合执法主管部门负责</w:t>
      </w:r>
      <w:r>
        <w:rPr>
          <w:rFonts w:hint="eastAsia"/>
          <w:lang w:val="en-US" w:eastAsia="zh-CN"/>
        </w:rPr>
        <w:t>县域</w:t>
      </w:r>
      <w:r>
        <w:t>范围内的建筑垃圾处置核准许可和行政执法工作，</w:t>
      </w:r>
      <w:bookmarkStart w:id="102" w:name="OLE_LINK60"/>
      <w:r>
        <w:t>县住房和城乡建设局</w:t>
      </w:r>
      <w:r>
        <w:rPr>
          <w:rFonts w:hint="eastAsia"/>
          <w:lang w:val="en-US" w:eastAsia="zh-CN"/>
        </w:rPr>
        <w:t>和</w:t>
      </w:r>
      <w:r>
        <w:rPr>
          <w:rFonts w:hint="eastAsia"/>
        </w:rPr>
        <w:t>县城市管理和综合执法局</w:t>
      </w:r>
      <w:r>
        <w:rPr>
          <w:rFonts w:hint="eastAsia"/>
          <w:lang w:val="en-US" w:eastAsia="zh-CN"/>
        </w:rPr>
        <w:t>共同</w:t>
      </w:r>
      <w:r>
        <w:t>指导、协调、监督、考</w:t>
      </w:r>
      <w:bookmarkEnd w:id="102"/>
      <w:r>
        <w:t>核</w:t>
      </w:r>
      <w:r>
        <w:rPr>
          <w:rFonts w:hint="eastAsia"/>
          <w:lang w:val="en-US" w:eastAsia="zh-CN"/>
        </w:rPr>
        <w:t>全县</w:t>
      </w:r>
      <w:r>
        <w:t>建筑垃圾管理工作。建筑垃圾处置单位应当向城市管理和综合执法主管部门提出申请，获得建筑垃圾处置核准后方可处置，建筑垃圾处置管理相关许可事项实行联合办理制度。建筑垃圾运输实行市场准入和专业化运输制度，市城市管理和综合执法主管部门负责对运输企业进入市中心城区建筑垃圾运输市场的条件进行认定，对符合条件的运输企业核发城市建筑垃圾运输核准证件，并纳入市中心城区建筑垃圾运输企业名录。</w:t>
      </w:r>
    </w:p>
    <w:p>
      <w:pPr>
        <w:bidi w:val="0"/>
      </w:pPr>
      <w:r>
        <w:t>从</w:t>
      </w:r>
      <w:r>
        <w:rPr>
          <w:rFonts w:hint="eastAsia"/>
          <w:lang w:val="en-US" w:eastAsia="zh-CN"/>
        </w:rPr>
        <w:t>桃江县域情况</w:t>
      </w:r>
      <w:r>
        <w:t>来看，</w:t>
      </w:r>
      <w:r>
        <w:rPr>
          <w:rFonts w:hint="eastAsia"/>
          <w:lang w:val="en-US" w:eastAsia="zh-CN"/>
        </w:rPr>
        <w:t>桃江县</w:t>
      </w:r>
      <w:r>
        <w:t>下辖乡镇建筑垃圾管理存在一定管理漏洞，乡镇尚未设立镇级建筑垃圾管理部门，各乡镇的建筑垃圾管理工作无人监管。从信息化管理水平来看，目前</w:t>
      </w:r>
      <w:r>
        <w:rPr>
          <w:rFonts w:hint="eastAsia"/>
          <w:lang w:val="en-US" w:eastAsia="zh-CN"/>
        </w:rPr>
        <w:t>桃江县中心城区</w:t>
      </w:r>
      <w:r>
        <w:t>已经建立建筑垃圾信息化管理平台，初步实现建筑垃圾的产生、运输和处置全过程监管，但尚未建立面向企业和公众的应用界面，建筑垃圾的全过程联单管理制度尚未有效执行，建筑垃圾处置的智能化水平和监管效率待提升。</w:t>
      </w:r>
    </w:p>
    <w:p>
      <w:pPr>
        <w:pStyle w:val="3"/>
        <w:bidi w:val="0"/>
        <w:rPr>
          <w:rFonts w:hint="eastAsia" w:ascii="楷体" w:hAnsi="楷体" w:eastAsia="楷体" w:cs="楷体"/>
          <w:sz w:val="28"/>
          <w:szCs w:val="28"/>
          <w:lang w:val="en-US" w:eastAsia="zh-CN"/>
        </w:rPr>
      </w:pPr>
      <w:bookmarkStart w:id="103" w:name="_Toc13586"/>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五</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建筑垃圾利用市场现状</w:t>
      </w:r>
      <w:bookmarkEnd w:id="103"/>
    </w:p>
    <w:p>
      <w:pPr>
        <w:bidi w:val="0"/>
        <w:rPr>
          <w:rFonts w:hint="eastAsia"/>
          <w:lang w:eastAsia="zh-CN"/>
        </w:rPr>
      </w:pPr>
      <w:r>
        <w:t>我县作为建筑垃圾治理和资源化利用工作的试点县，积极推行建筑垃圾管理处措，大力推进建筑垃圾资源化利用，着力健全完善制度，强化各方责任，</w:t>
      </w:r>
      <w:r>
        <w:rPr>
          <w:rFonts w:hint="eastAsia"/>
          <w:lang w:val="en-US" w:eastAsia="zh-CN"/>
        </w:rPr>
        <w:t>目前</w:t>
      </w:r>
      <w:r>
        <w:t>已建成桃江慧强环</w:t>
      </w:r>
      <w:r>
        <w:rPr>
          <w:rFonts w:hint="eastAsia"/>
        </w:rPr>
        <w:t>保</w:t>
      </w:r>
      <w:r>
        <w:t>建材有限责任公司、益阳方成建筑材料有限责任公司和桃江晓亿建材有限责任公司</w:t>
      </w:r>
      <w:r>
        <w:rPr>
          <w:rFonts w:hint="eastAsia"/>
          <w:lang w:val="en-US" w:eastAsia="zh-CN"/>
        </w:rPr>
        <w:t>3</w:t>
      </w:r>
      <w:r>
        <w:t>家企业建筑垃</w:t>
      </w:r>
      <w:bookmarkStart w:id="104" w:name="OLE_LINK62"/>
      <w:r>
        <w:t>圾处理企业</w:t>
      </w:r>
      <w:r>
        <w:rPr>
          <w:rFonts w:hint="eastAsia"/>
          <w:lang w:eastAsia="zh-CN"/>
        </w:rPr>
        <w:t>。</w:t>
      </w:r>
    </w:p>
    <w:p>
      <w:pPr>
        <w:bidi w:val="0"/>
      </w:pPr>
      <w:r>
        <w:t>生</w:t>
      </w:r>
      <w:bookmarkEnd w:id="104"/>
      <w:r>
        <w:t>产各类市政产品及构件，其生产的粘土空心砖广泛用于各在建项目中。</w:t>
      </w:r>
      <w:r>
        <w:rPr>
          <w:rFonts w:hint="eastAsia"/>
          <w:lang w:val="en-US" w:eastAsia="zh-CN"/>
        </w:rPr>
        <w:t>3家企业</w:t>
      </w:r>
      <w:r>
        <w:rPr>
          <w:rFonts w:hint="eastAsia"/>
        </w:rPr>
        <w:t>均采用国</w:t>
      </w:r>
      <w:r>
        <w:rPr>
          <w:rFonts w:hint="eastAsia"/>
          <w:lang w:val="en-US" w:eastAsia="zh-CN"/>
        </w:rPr>
        <w:t>内目前处理建筑垃圾的最新技术，其中方成公司、晓亿建材主营处理骨料</w:t>
      </w:r>
      <w:r>
        <w:rPr>
          <w:rFonts w:hint="eastAsia"/>
        </w:rPr>
        <w:t>、砌块及装修垃圾等硬垃圾，</w:t>
      </w:r>
      <w:r>
        <w:rPr>
          <w:rFonts w:hint="eastAsia"/>
          <w:lang w:val="en-US" w:eastAsia="zh-CN"/>
        </w:rPr>
        <w:t>生产</w:t>
      </w:r>
      <w:r>
        <w:rPr>
          <w:rFonts w:hint="eastAsia"/>
        </w:rPr>
        <w:t>再生骨料、再生水泥水稳垫层料、再生混凝土、各类海绵城市景观透水砖、路面仿石材透水砖、市政道路彩砖、水利护坡砖等</w:t>
      </w:r>
      <w:r>
        <w:rPr>
          <w:rFonts w:hint="eastAsia"/>
          <w:lang w:eastAsia="zh-CN"/>
        </w:rPr>
        <w:t>；</w:t>
      </w:r>
      <w:r>
        <w:rPr>
          <w:rFonts w:hint="eastAsia"/>
        </w:rPr>
        <w:t>惠强公司主要处理工程废弃土、污泥、淤泥等软垃圾，生产房建环保砖。</w:t>
      </w:r>
      <w:r>
        <w:rPr>
          <w:rFonts w:hint="eastAsia"/>
          <w:lang w:val="en-US" w:eastAsia="zh-CN"/>
        </w:rPr>
        <w:t>3</w:t>
      </w:r>
      <w:r>
        <w:rPr>
          <w:rFonts w:hint="eastAsia"/>
        </w:rPr>
        <w:t>家公司</w:t>
      </w:r>
      <w:r>
        <w:rPr>
          <w:rFonts w:hint="eastAsia"/>
          <w:lang w:val="en-US" w:eastAsia="zh-CN"/>
        </w:rPr>
        <w:t>处理建筑垃圾相辅相成</w:t>
      </w:r>
      <w:r>
        <w:rPr>
          <w:rFonts w:hint="eastAsia"/>
        </w:rPr>
        <w:t>，基本实现了对各类建筑垃圾处理的全覆盖。</w:t>
      </w:r>
      <w:bookmarkStart w:id="105" w:name="OLE_LINK66"/>
      <w:r>
        <w:rPr>
          <w:rFonts w:hint="eastAsia"/>
          <w:lang w:val="en-US" w:eastAsia="zh-CN"/>
        </w:rPr>
        <w:t>2022年一季度</w:t>
      </w:r>
      <w:r>
        <w:rPr>
          <w:rFonts w:hint="eastAsia"/>
        </w:rPr>
        <w:t>，已处理建筑垃圾</w:t>
      </w:r>
      <w:r>
        <w:rPr>
          <w:rFonts w:hint="eastAsia"/>
          <w:lang w:val="en-US" w:eastAsia="zh-CN"/>
        </w:rPr>
        <w:t>8.09</w:t>
      </w:r>
      <w:r>
        <w:rPr>
          <w:rFonts w:hint="eastAsia"/>
        </w:rPr>
        <w:t>万吨。</w:t>
      </w:r>
      <w:r>
        <w:rPr>
          <w:rFonts w:hint="eastAsia"/>
          <w:lang w:val="en-US" w:eastAsia="zh-CN"/>
        </w:rPr>
        <w:t>2024年</w:t>
      </w:r>
      <w:r>
        <w:t>各类建筑垃圾资源化利用</w:t>
      </w:r>
      <w:r>
        <w:rPr>
          <w:rFonts w:hint="eastAsia"/>
          <w:lang w:val="en-US" w:eastAsia="zh-CN"/>
        </w:rPr>
        <w:t>200余</w:t>
      </w:r>
      <w:r>
        <w:t>万吨左右</w:t>
      </w:r>
      <w:r>
        <w:rPr>
          <w:rFonts w:hint="eastAsia"/>
          <w:lang w:eastAsia="zh-CN"/>
        </w:rPr>
        <w:t>（</w:t>
      </w:r>
      <w:r>
        <w:rPr>
          <w:rFonts w:hint="eastAsia"/>
          <w:lang w:val="en-US" w:eastAsia="zh-CN"/>
        </w:rPr>
        <w:t>含县外转运</w:t>
      </w:r>
      <w:r>
        <w:rPr>
          <w:rFonts w:hint="eastAsia"/>
          <w:lang w:eastAsia="zh-CN"/>
        </w:rPr>
        <w:t>）</w:t>
      </w:r>
      <w:r>
        <w:t>，</w:t>
      </w:r>
      <w:r>
        <w:rPr>
          <w:rFonts w:hint="eastAsia"/>
          <w:lang w:val="en-US" w:eastAsia="zh-CN"/>
        </w:rPr>
        <w:t>县域</w:t>
      </w:r>
      <w:r>
        <w:t>建筑垃圾资源化综合利用率达到</w:t>
      </w:r>
      <w:r>
        <w:rPr>
          <w:rFonts w:hint="eastAsia"/>
          <w:lang w:val="en-US" w:eastAsia="zh-CN"/>
        </w:rPr>
        <w:t>63</w:t>
      </w:r>
      <w:r>
        <w:t>%。</w:t>
      </w:r>
      <w:bookmarkEnd w:id="105"/>
    </w:p>
    <w:p>
      <w:pPr>
        <w:bidi w:val="0"/>
      </w:pPr>
      <w:r>
        <w:rPr>
          <w:rFonts w:hint="eastAsia"/>
          <w:lang w:val="en-US" w:eastAsia="zh-CN"/>
        </w:rPr>
        <w:t>公司</w:t>
      </w:r>
      <w:r>
        <w:rPr>
          <w:rFonts w:hint="eastAsia"/>
        </w:rPr>
        <w:t>产品应用范围较广，主要适用于市政工程道路、景观建设、水利护坡工程建设、楼盘景观建设等，销售已辐射桃江县周边200公里。已承建的项目有</w:t>
      </w:r>
      <w:r>
        <w:rPr>
          <w:rFonts w:hint="eastAsia"/>
          <w:lang w:eastAsia="zh-CN"/>
        </w:rPr>
        <w:t>：</w:t>
      </w:r>
      <w:r>
        <w:rPr>
          <w:rFonts w:hint="eastAsia"/>
        </w:rPr>
        <w:t>益阳市高铁站项目</w:t>
      </w:r>
      <w:r>
        <w:rPr>
          <w:rFonts w:hint="eastAsia"/>
          <w:lang w:eastAsia="zh-CN"/>
        </w:rPr>
        <w:t>（</w:t>
      </w:r>
      <w:r>
        <w:rPr>
          <w:rFonts w:hint="eastAsia"/>
        </w:rPr>
        <w:t>水稳、路面混凝土、透水砖、植草砖等用材</w:t>
      </w:r>
      <w:r>
        <w:rPr>
          <w:rFonts w:hint="eastAsia"/>
          <w:lang w:eastAsia="zh-CN"/>
        </w:rPr>
        <w:t>）、</w:t>
      </w:r>
      <w:r>
        <w:rPr>
          <w:rFonts w:hint="eastAsia"/>
        </w:rPr>
        <w:t>桃江县城投公司市政工程建设项目</w:t>
      </w:r>
      <w:r>
        <w:rPr>
          <w:rFonts w:hint="eastAsia"/>
          <w:lang w:eastAsia="zh-CN"/>
        </w:rPr>
        <w:t>（</w:t>
      </w:r>
      <w:r>
        <w:rPr>
          <w:rFonts w:hint="eastAsia"/>
        </w:rPr>
        <w:t>水稳、路面混凝土、市政透水砖等用材</w:t>
      </w:r>
      <w:r>
        <w:rPr>
          <w:rFonts w:hint="eastAsia"/>
          <w:lang w:eastAsia="zh-CN"/>
        </w:rPr>
        <w:t>）、</w:t>
      </w:r>
      <w:r>
        <w:rPr>
          <w:rFonts w:hint="eastAsia"/>
        </w:rPr>
        <w:t xml:space="preserve">桃江县三所合一项目 </w:t>
      </w:r>
      <w:r>
        <w:rPr>
          <w:rFonts w:hint="eastAsia"/>
          <w:lang w:eastAsia="zh-CN"/>
        </w:rPr>
        <w:t>（</w:t>
      </w:r>
      <w:r>
        <w:rPr>
          <w:rFonts w:hint="eastAsia"/>
        </w:rPr>
        <w:t>路面混凝土、砂石骨料供应</w:t>
      </w:r>
      <w:r>
        <w:rPr>
          <w:rFonts w:hint="eastAsia"/>
          <w:lang w:eastAsia="zh-CN"/>
        </w:rPr>
        <w:t>）、</w:t>
      </w:r>
      <w:r>
        <w:rPr>
          <w:rFonts w:hint="eastAsia"/>
        </w:rPr>
        <w:t>桃江沾溪二期治理工程项目</w:t>
      </w:r>
      <w:r>
        <w:rPr>
          <w:rFonts w:hint="eastAsia"/>
          <w:lang w:eastAsia="zh-CN"/>
        </w:rPr>
        <w:t>（</w:t>
      </w:r>
      <w:r>
        <w:rPr>
          <w:rFonts w:hint="eastAsia"/>
        </w:rPr>
        <w:t>连锁式生态砖供应</w:t>
      </w:r>
      <w:r>
        <w:rPr>
          <w:rFonts w:hint="eastAsia"/>
          <w:lang w:eastAsia="zh-CN"/>
        </w:rPr>
        <w:t>）、</w:t>
      </w:r>
      <w:r>
        <w:rPr>
          <w:rFonts w:hint="eastAsia"/>
        </w:rPr>
        <w:t>南县开发区厂区配套设施、大通湖殡仪馆景观配套设施、高铁新城项目水稳级配料供应、武潭镇镇区街道改造项目、益阳市一园两中心建设项目等</w:t>
      </w:r>
      <w:r>
        <w:rPr>
          <w:rFonts w:hint="eastAsia"/>
          <w:lang w:eastAsia="zh-CN"/>
        </w:rPr>
        <w:t>，</w:t>
      </w:r>
      <w:r>
        <w:rPr>
          <w:rFonts w:hint="eastAsia"/>
        </w:rPr>
        <w:t>下一步准备进入益阳及长沙等周边市场。</w:t>
      </w:r>
    </w:p>
    <w:p>
      <w:pPr>
        <w:pStyle w:val="3"/>
        <w:bidi w:val="0"/>
        <w:rPr>
          <w:rFonts w:hint="eastAsia" w:ascii="楷体" w:hAnsi="楷体" w:eastAsia="楷体" w:cs="楷体"/>
          <w:sz w:val="28"/>
          <w:szCs w:val="28"/>
        </w:rPr>
      </w:pPr>
      <w:bookmarkStart w:id="106" w:name="bookmark34"/>
      <w:bookmarkEnd w:id="106"/>
      <w:bookmarkStart w:id="107" w:name="bookmark35"/>
      <w:bookmarkEnd w:id="107"/>
      <w:bookmarkStart w:id="108" w:name="_Toc8611"/>
      <w:r>
        <w:rPr>
          <w:rFonts w:hint="eastAsia" w:ascii="楷体" w:hAnsi="楷体" w:eastAsia="楷体" w:cs="楷体"/>
          <w:sz w:val="28"/>
          <w:szCs w:val="28"/>
          <w:lang w:val="en-US" w:eastAsia="zh-CN"/>
        </w:rPr>
        <w:t>（六）</w:t>
      </w:r>
      <w:r>
        <w:rPr>
          <w:rFonts w:hint="eastAsia" w:ascii="楷体" w:hAnsi="楷体" w:eastAsia="楷体" w:cs="楷体"/>
          <w:sz w:val="28"/>
          <w:szCs w:val="28"/>
        </w:rPr>
        <w:t>现状问题分析</w:t>
      </w:r>
      <w:bookmarkEnd w:id="108"/>
    </w:p>
    <w:p>
      <w:pPr>
        <w:pStyle w:val="4"/>
        <w:bidi w:val="0"/>
      </w:pPr>
      <w:r>
        <w:t>1、分类收集程度不高，源头减量待提升</w:t>
      </w:r>
    </w:p>
    <w:p>
      <w:pPr>
        <w:bidi w:val="0"/>
      </w:pPr>
      <w:r>
        <w:t>当前建筑垃圾的源头排放管理仅限于处理核准制度，未与监管制度形成联动。工程建设方偏向专注施工进度和质量，忽视建筑垃圾源头减量，对建筑垃圾的分类处理意识不强。大部分建筑垃圾依然是混合收集，尤其是装修垃圾与渣土等其他建筑垃圾混合排放问题严重，增大了垃圾资源化、无害化处理的难度和分拣成本，导致资源浪费和环境污染。</w:t>
      </w:r>
    </w:p>
    <w:p>
      <w:pPr>
        <w:pStyle w:val="4"/>
        <w:bidi w:val="0"/>
      </w:pPr>
      <w:r>
        <w:t>2、消纳处置场所不足，布局需完善</w:t>
      </w:r>
    </w:p>
    <w:p>
      <w:pPr>
        <w:bidi w:val="0"/>
      </w:pPr>
      <w:r>
        <w:rPr>
          <w:rFonts w:hint="eastAsia"/>
          <w:lang w:val="en-US" w:eastAsia="zh-CN"/>
        </w:rPr>
        <w:t>浮邱山</w:t>
      </w:r>
      <w:r>
        <w:t>垃圾堆填场已经停运，消纳处置能力不足，需要重新进行建筑垃圾堆填场的选址。由于缺乏统筹规划，建筑垃圾集中堆填场项目面临选址难、落地难、运营难的现实困境，规划需要布置集中建筑垃圾堆填场，提升消纳处置能力，满足</w:t>
      </w:r>
      <w:r>
        <w:rPr>
          <w:rFonts w:hint="eastAsia"/>
          <w:lang w:val="en-US" w:eastAsia="zh-CN"/>
        </w:rPr>
        <w:t>桃江县</w:t>
      </w:r>
      <w:r>
        <w:t>建筑垃圾消纳处置需求。</w:t>
      </w:r>
    </w:p>
    <w:p>
      <w:pPr>
        <w:pStyle w:val="4"/>
        <w:bidi w:val="0"/>
      </w:pPr>
      <w:r>
        <w:t>3、</w:t>
      </w:r>
      <w:r>
        <w:rPr>
          <w:rFonts w:hint="eastAsia"/>
          <w:lang w:val="en-US" w:eastAsia="zh-CN"/>
        </w:rPr>
        <w:t>推广利用有待加强</w:t>
      </w:r>
      <w:r>
        <w:t>，</w:t>
      </w:r>
      <w:bookmarkStart w:id="109" w:name="OLE_LINK81"/>
      <w:r>
        <w:t>资源化</w:t>
      </w:r>
      <w:r>
        <w:rPr>
          <w:rFonts w:hint="eastAsia"/>
          <w:lang w:val="en-US" w:eastAsia="zh-CN"/>
        </w:rPr>
        <w:t>新技术</w:t>
      </w:r>
      <w:r>
        <w:t>待提升</w:t>
      </w:r>
      <w:bookmarkEnd w:id="109"/>
    </w:p>
    <w:p>
      <w:pPr>
        <w:bidi w:val="0"/>
      </w:pPr>
      <w:r>
        <w:t>目前，</w:t>
      </w:r>
      <w:r>
        <w:rPr>
          <w:rFonts w:hint="eastAsia"/>
          <w:lang w:val="en-US" w:eastAsia="zh-CN"/>
        </w:rPr>
        <w:t>桃江县</w:t>
      </w:r>
      <w:r>
        <w:t>建筑垃圾再生产品</w:t>
      </w:r>
      <w:r>
        <w:rPr>
          <w:rFonts w:hint="eastAsia"/>
        </w:rPr>
        <w:t>面临</w:t>
      </w:r>
      <w:r>
        <w:rPr>
          <w:rFonts w:hint="eastAsia"/>
          <w:lang w:val="en-US" w:eastAsia="zh-CN"/>
        </w:rPr>
        <w:t>推广利用宣传力度不够、</w:t>
      </w:r>
      <w:r>
        <w:rPr>
          <w:rFonts w:hint="eastAsia"/>
        </w:rPr>
        <w:t>市场认知度低、政策执行不均衡</w:t>
      </w:r>
      <w:r>
        <w:rPr>
          <w:rFonts w:hint="eastAsia"/>
          <w:lang w:val="en-US" w:eastAsia="zh-CN"/>
        </w:rPr>
        <w:t>等诸多问题</w:t>
      </w:r>
      <w:r>
        <w:rPr>
          <w:rFonts w:hint="eastAsia"/>
          <w:lang w:eastAsia="zh-CN"/>
        </w:rPr>
        <w:t>，</w:t>
      </w:r>
      <w:r>
        <w:rPr>
          <w:rFonts w:hint="eastAsia"/>
          <w:lang w:val="en-US" w:eastAsia="zh-CN"/>
        </w:rPr>
        <w:t>市场开发力度有待进一步加强</w:t>
      </w:r>
      <w:r>
        <w:rPr>
          <w:rFonts w:hint="eastAsia"/>
          <w:lang w:eastAsia="zh-CN"/>
        </w:rPr>
        <w:t>；</w:t>
      </w:r>
      <w:r>
        <w:rPr>
          <w:rFonts w:hint="eastAsia"/>
          <w:lang w:val="en-US" w:eastAsia="zh-CN"/>
        </w:rPr>
        <w:t>现有的3家</w:t>
      </w:r>
      <w:r>
        <w:t>建筑垃圾资源化利用企业技术研发投入不足、设备智能化水平较低</w:t>
      </w:r>
      <w:r>
        <w:rPr>
          <w:rFonts w:hint="eastAsia"/>
          <w:lang w:eastAsia="zh-CN"/>
        </w:rPr>
        <w:t>，</w:t>
      </w:r>
      <w:r>
        <w:t>缺乏高效、环保的处理技术和设备，面临环保压力、再生产品质量不稳定、市场价格优势不明显等多种问题。</w:t>
      </w:r>
    </w:p>
    <w:p>
      <w:pPr>
        <w:pStyle w:val="4"/>
        <w:bidi w:val="0"/>
      </w:pPr>
      <w:r>
        <w:t>4、部门统筹协作待加强，信息化管理水平待提升</w:t>
      </w:r>
    </w:p>
    <w:p>
      <w:pPr>
        <w:bidi w:val="0"/>
        <w:rPr>
          <w:rFonts w:hint="eastAsia"/>
          <w:lang w:val="en-US" w:eastAsia="zh-CN"/>
        </w:rPr>
      </w:pPr>
      <w:r>
        <w:t>建筑垃圾从源头产生、中端收运、末端处置涉及城市管理、住房和城乡建设、交通运输、生态环境等多个部门。由于各部门所掌握的信息不对称，建筑垃圾源头管控、中端监管、末端处置的闭环体系还不严密，部门统筹协作有待加强。同时，尚未建立面向企业和公众的应用界面，建筑垃圾处置的智能化和信息化水平待提升。</w:t>
      </w:r>
    </w:p>
    <w:p>
      <w:pPr>
        <w:pStyle w:val="2"/>
        <w:bidi w:val="0"/>
      </w:pPr>
      <w:bookmarkStart w:id="110" w:name="_Toc8950"/>
      <w:r>
        <w:t>四、建筑垃圾产生量预测</w:t>
      </w:r>
      <w:bookmarkEnd w:id="110"/>
    </w:p>
    <w:p>
      <w:pPr>
        <w:pStyle w:val="3"/>
        <w:bidi w:val="0"/>
        <w:rPr>
          <w:rFonts w:hint="eastAsia" w:ascii="楷体" w:hAnsi="楷体" w:eastAsia="楷体" w:cs="楷体"/>
          <w:sz w:val="28"/>
          <w:szCs w:val="28"/>
        </w:rPr>
      </w:pPr>
      <w:bookmarkStart w:id="111" w:name="_Toc1686"/>
      <w:r>
        <w:rPr>
          <w:rFonts w:hint="eastAsia" w:ascii="楷体" w:hAnsi="楷体" w:eastAsia="楷体" w:cs="楷体"/>
          <w:sz w:val="28"/>
          <w:szCs w:val="28"/>
        </w:rPr>
        <w:t>（一）预测范围及方法依据</w:t>
      </w:r>
      <w:bookmarkEnd w:id="111"/>
    </w:p>
    <w:p>
      <w:pPr>
        <w:bidi w:val="0"/>
        <w:rPr>
          <w:rFonts w:hint="eastAsia"/>
        </w:rPr>
      </w:pPr>
      <w:bookmarkStart w:id="112" w:name="OLE_LINK12"/>
      <w:r>
        <w:rPr>
          <w:rFonts w:hint="eastAsia"/>
        </w:rPr>
        <w:t>本规划依据《建筑垃圾处理技术标准》</w:t>
      </w:r>
      <w:r>
        <w:rPr>
          <w:rFonts w:hint="eastAsia"/>
          <w:lang w:eastAsia="zh-CN"/>
        </w:rPr>
        <w:t>（</w:t>
      </w:r>
      <w:r>
        <w:rPr>
          <w:rFonts w:hint="eastAsia"/>
        </w:rPr>
        <w:t>CIJT134</w:t>
      </w:r>
      <w:r>
        <w:rPr>
          <w:rFonts w:hint="eastAsia"/>
          <w:lang w:val="en-US" w:eastAsia="zh-CN"/>
        </w:rPr>
        <w:t>-</w:t>
      </w:r>
      <w:r>
        <w:rPr>
          <w:rFonts w:hint="eastAsia"/>
        </w:rPr>
        <w:t>2019</w:t>
      </w:r>
      <w:r>
        <w:rPr>
          <w:rFonts w:hint="eastAsia"/>
          <w:lang w:eastAsia="zh-CN"/>
        </w:rPr>
        <w:t>）、《湖南省城市建筑垃圾管理实施细则》、</w:t>
      </w:r>
      <w:r>
        <w:rPr>
          <w:rFonts w:hint="eastAsia"/>
        </w:rPr>
        <w:t>《湖南省建筑垃圾资源化利用发展规划</w:t>
      </w:r>
      <w:r>
        <w:rPr>
          <w:rFonts w:hint="eastAsia"/>
          <w:lang w:eastAsia="zh-CN"/>
        </w:rPr>
        <w:t>（</w:t>
      </w:r>
      <w:r>
        <w:rPr>
          <w:rFonts w:hint="eastAsia"/>
        </w:rPr>
        <w:t>2020-2030</w:t>
      </w:r>
      <w:r>
        <w:rPr>
          <w:rFonts w:hint="eastAsia"/>
          <w:lang w:eastAsia="zh-CN"/>
        </w:rPr>
        <w:t>）</w:t>
      </w:r>
      <w:r>
        <w:rPr>
          <w:rFonts w:hint="eastAsia"/>
        </w:rPr>
        <w:t>》，以建筑垃圾主管部门掌握</w:t>
      </w:r>
      <w:bookmarkEnd w:id="112"/>
      <w:r>
        <w:rPr>
          <w:rFonts w:hint="eastAsia"/>
        </w:rPr>
        <w:t>的关于建筑垃圾的大数据为基准，并结合</w:t>
      </w:r>
      <w:r>
        <w:rPr>
          <w:rFonts w:hint="eastAsia"/>
          <w:lang w:eastAsia="zh-CN"/>
        </w:rPr>
        <w:t>桃江县</w:t>
      </w:r>
      <w:r>
        <w:rPr>
          <w:rFonts w:hint="eastAsia"/>
        </w:rPr>
        <w:t>统计局、</w:t>
      </w:r>
      <w:r>
        <w:rPr>
          <w:rFonts w:hint="eastAsia"/>
          <w:lang w:val="en-US" w:eastAsia="zh-CN"/>
        </w:rPr>
        <w:t>住房保障中心</w:t>
      </w:r>
      <w:r>
        <w:rPr>
          <w:rFonts w:hint="eastAsia"/>
        </w:rPr>
        <w:t>等相关部门获取的相关历史数据，包括建筑竣工面积、人口、老旧小区改造面积、经验参数等</w:t>
      </w:r>
      <w:r>
        <w:rPr>
          <w:rFonts w:hint="eastAsia"/>
          <w:lang w:eastAsia="zh-CN"/>
        </w:rPr>
        <w:t>，</w:t>
      </w:r>
      <w:r>
        <w:rPr>
          <w:rFonts w:hint="eastAsia"/>
        </w:rPr>
        <w:t>利用</w:t>
      </w:r>
      <w:r>
        <w:rPr>
          <w:rFonts w:hint="eastAsia"/>
          <w:lang w:val="en-US" w:eastAsia="zh-CN"/>
        </w:rPr>
        <w:t>线性回归法和经验系数法</w:t>
      </w:r>
      <w:r>
        <w:rPr>
          <w:rFonts w:hint="eastAsia"/>
        </w:rPr>
        <w:t>分别对工程渣土</w:t>
      </w:r>
      <w:r>
        <w:rPr>
          <w:rFonts w:hint="eastAsia"/>
          <w:lang w:eastAsia="zh-CN"/>
        </w:rPr>
        <w:t>（</w:t>
      </w:r>
      <w:r>
        <w:rPr>
          <w:rFonts w:hint="eastAsia"/>
          <w:lang w:val="en-US" w:eastAsia="zh-CN"/>
        </w:rPr>
        <w:t>含工程泥浆</w:t>
      </w:r>
      <w:r>
        <w:rPr>
          <w:rFonts w:hint="eastAsia"/>
          <w:lang w:eastAsia="zh-CN"/>
        </w:rPr>
        <w:t>）</w:t>
      </w:r>
      <w:r>
        <w:rPr>
          <w:rFonts w:hint="eastAsia"/>
        </w:rPr>
        <w:t>、工程垃圾、拆除垃圾、装修垃圾</w:t>
      </w:r>
      <w:r>
        <w:rPr>
          <w:rFonts w:hint="eastAsia"/>
          <w:lang w:val="en-US" w:eastAsia="zh-CN"/>
        </w:rPr>
        <w:t>四</w:t>
      </w:r>
      <w:r>
        <w:rPr>
          <w:rFonts w:hint="eastAsia"/>
        </w:rPr>
        <w:t>种类别，建立相应的数学模型来预测</w:t>
      </w:r>
      <w:r>
        <w:rPr>
          <w:rFonts w:hint="eastAsia"/>
          <w:lang w:eastAsia="zh-CN"/>
        </w:rPr>
        <w:t>桃江县</w:t>
      </w:r>
      <w:r>
        <w:rPr>
          <w:rFonts w:hint="eastAsia"/>
        </w:rPr>
        <w:t>建筑垃圾产生量。</w:t>
      </w:r>
    </w:p>
    <w:p>
      <w:pPr>
        <w:pStyle w:val="3"/>
        <w:bidi w:val="0"/>
        <w:rPr>
          <w:rFonts w:hint="eastAsia" w:ascii="楷体" w:hAnsi="楷体" w:eastAsia="楷体" w:cs="楷体"/>
          <w:sz w:val="28"/>
          <w:szCs w:val="28"/>
        </w:rPr>
      </w:pPr>
      <w:bookmarkStart w:id="113" w:name="_Toc11993"/>
      <w:r>
        <w:rPr>
          <w:rFonts w:hint="eastAsia" w:ascii="楷体" w:hAnsi="楷体" w:eastAsia="楷体" w:cs="楷体"/>
          <w:sz w:val="28"/>
          <w:szCs w:val="28"/>
        </w:rPr>
        <w:t>（二）产生量预测</w:t>
      </w:r>
      <w:bookmarkEnd w:id="113"/>
    </w:p>
    <w:p>
      <w:pPr>
        <w:pStyle w:val="4"/>
        <w:bidi w:val="0"/>
      </w:pPr>
      <w:r>
        <w:t>1、工程垃圾</w:t>
      </w:r>
    </w:p>
    <w:p>
      <w:pPr>
        <w:bidi w:val="0"/>
      </w:pPr>
      <w:r>
        <w:t>根据《建筑垃圾处理技术标准（CJJ/T134-2019）》中的规定， 工程垃圾产生量可按以下公式进行估算：</w:t>
      </w:r>
    </w:p>
    <w:p>
      <w:pPr>
        <w:bidi w:val="0"/>
      </w:pPr>
      <w:r>
        <w:t>Mg=Rgmg</w:t>
      </w:r>
    </w:p>
    <w:p>
      <w:pPr>
        <w:bidi w:val="0"/>
      </w:pPr>
      <w:r>
        <w:t>式中：Mg—某城市或区域工程垃圾产生量，t/a；</w:t>
      </w:r>
    </w:p>
    <w:p>
      <w:pPr>
        <w:bidi w:val="0"/>
      </w:pPr>
      <w:r>
        <w:t>Rg—城市或区域新增建筑面积（104m</w:t>
      </w:r>
      <w:r>
        <w:rPr>
          <w:vertAlign w:val="superscript"/>
        </w:rPr>
        <w:t>2</w:t>
      </w:r>
      <w:r>
        <w:t>/a）；</w:t>
      </w:r>
    </w:p>
    <w:p>
      <w:pPr>
        <w:bidi w:val="0"/>
      </w:pPr>
      <w:r>
        <w:t>mg—单位面积工程垃圾产生量基数（t/104m</w:t>
      </w:r>
      <w:r>
        <w:rPr>
          <w:vertAlign w:val="superscript"/>
        </w:rPr>
        <w:t>2</w:t>
      </w:r>
      <w:r>
        <w:t>），可取300~800t/104 m</w:t>
      </w:r>
      <w:r>
        <w:rPr>
          <w:vertAlign w:val="superscript"/>
        </w:rPr>
        <w:t>2</w:t>
      </w:r>
      <w:r>
        <w:t>。</w:t>
      </w:r>
    </w:p>
    <w:p>
      <w:pPr>
        <w:bidi w:val="0"/>
      </w:pPr>
      <w:r>
        <w:t>从</w:t>
      </w:r>
      <w:r>
        <w:rPr>
          <w:rFonts w:hint="eastAsia"/>
          <w:lang w:eastAsia="zh-CN"/>
        </w:rPr>
        <w:t>桃江县</w:t>
      </w:r>
      <w:r>
        <w:t>近五年的新建建筑面积来看，受建筑行业整体下行趋势影响，</w:t>
      </w:r>
      <w:r>
        <w:rPr>
          <w:rFonts w:hint="eastAsia"/>
          <w:lang w:eastAsia="zh-CN"/>
        </w:rPr>
        <w:t>桃江县</w:t>
      </w:r>
      <w:r>
        <w:t>新建建筑面积下行趋势明显。结合</w:t>
      </w:r>
      <w:r>
        <w:rPr>
          <w:rFonts w:hint="eastAsia"/>
          <w:lang w:eastAsia="zh-CN"/>
        </w:rPr>
        <w:t>桃江县</w:t>
      </w:r>
      <w:r>
        <w:t>实际情况，根据</w:t>
      </w:r>
      <w:r>
        <w:rPr>
          <w:rFonts w:hint="eastAsia"/>
          <w:lang w:val="en-US" w:eastAsia="zh-CN"/>
        </w:rPr>
        <w:t>桃江县</w:t>
      </w:r>
      <w:r>
        <w:rPr>
          <w:rFonts w:hint="eastAsia"/>
        </w:rPr>
        <w:t>国民经济和社会发展统计公报</w:t>
      </w:r>
      <w:r>
        <w:rPr>
          <w:rFonts w:hint="eastAsia"/>
          <w:lang w:eastAsia="zh-CN"/>
        </w:rPr>
        <w:t>，</w:t>
      </w:r>
      <w:r>
        <w:rPr>
          <w:rFonts w:hint="eastAsia"/>
          <w:lang w:val="en-US" w:eastAsia="zh-CN"/>
        </w:rPr>
        <w:t>2020年桃江县新建建筑面积419</w:t>
      </w:r>
      <w:r>
        <w:t>万平方米</w:t>
      </w:r>
      <w:r>
        <w:rPr>
          <w:rFonts w:hint="eastAsia"/>
          <w:lang w:eastAsia="zh-CN"/>
        </w:rPr>
        <w:t>，</w:t>
      </w:r>
      <w:r>
        <w:rPr>
          <w:rFonts w:hint="eastAsia"/>
          <w:lang w:val="en-US" w:eastAsia="zh-CN"/>
        </w:rPr>
        <w:t>2021年桃江县新建建筑面积406.72</w:t>
      </w:r>
      <w:r>
        <w:t>万平方米</w:t>
      </w:r>
      <w:r>
        <w:rPr>
          <w:rFonts w:hint="eastAsia"/>
          <w:lang w:eastAsia="zh-CN"/>
        </w:rPr>
        <w:t>，</w:t>
      </w:r>
      <w:r>
        <w:rPr>
          <w:rFonts w:hint="eastAsia"/>
          <w:lang w:val="en-US" w:eastAsia="zh-CN"/>
        </w:rPr>
        <w:t>2022年桃江县新建建筑面积402.33</w:t>
      </w:r>
      <w:r>
        <w:t>万平方米</w:t>
      </w:r>
      <w:r>
        <w:rPr>
          <w:rFonts w:hint="eastAsia"/>
          <w:lang w:eastAsia="zh-CN"/>
        </w:rPr>
        <w:t>，</w:t>
      </w:r>
      <w:r>
        <w:rPr>
          <w:rFonts w:hint="eastAsia"/>
          <w:lang w:val="en-US" w:eastAsia="zh-CN"/>
        </w:rPr>
        <w:t>2023年桃江县新建建筑面积355.95</w:t>
      </w:r>
      <w:r>
        <w:t>万平方米</w:t>
      </w:r>
      <w:r>
        <w:rPr>
          <w:rFonts w:hint="eastAsia"/>
          <w:lang w:eastAsia="zh-CN"/>
        </w:rPr>
        <w:t>，</w:t>
      </w:r>
      <w:r>
        <w:rPr>
          <w:rFonts w:hint="eastAsia"/>
          <w:lang w:val="en-US" w:eastAsia="zh-CN"/>
        </w:rPr>
        <w:t>2024年桃江县新建建筑面积345.16</w:t>
      </w:r>
      <w:r>
        <w:t>万平方米</w:t>
      </w:r>
      <w:r>
        <w:rPr>
          <w:rFonts w:hint="eastAsia"/>
          <w:lang w:eastAsia="zh-CN"/>
        </w:rPr>
        <w:t>，</w:t>
      </w:r>
      <w:r>
        <w:t>借鉴相关同类城市经验，预测</w:t>
      </w:r>
      <w:r>
        <w:rPr>
          <w:rFonts w:hint="eastAsia"/>
          <w:lang w:eastAsia="zh-CN"/>
        </w:rPr>
        <w:t>桃江县</w:t>
      </w:r>
      <w:r>
        <w:t>到2035年每年新建建筑面积按照-5</w:t>
      </w:r>
      <w:r>
        <w:rPr>
          <w:rFonts w:hint="eastAsia"/>
          <w:lang w:val="en-US" w:eastAsia="zh-CN"/>
        </w:rPr>
        <w:t>.1</w:t>
      </w:r>
      <w:r>
        <w:t>%增长率下行。则</w:t>
      </w:r>
      <w:r>
        <w:rPr>
          <w:rFonts w:hint="eastAsia"/>
          <w:lang w:eastAsia="zh-CN"/>
        </w:rPr>
        <w:t>桃江</w:t>
      </w:r>
      <w:r>
        <w:t>2025年新建建筑面积约</w:t>
      </w:r>
      <w:r>
        <w:rPr>
          <w:rFonts w:hint="eastAsia"/>
          <w:lang w:val="en-US" w:eastAsia="zh-CN"/>
        </w:rPr>
        <w:t>327.56</w:t>
      </w:r>
      <w:r>
        <w:t>万平方米，2030年新建建筑面积约</w:t>
      </w:r>
      <w:r>
        <w:rPr>
          <w:rFonts w:hint="eastAsia"/>
          <w:lang w:val="en-US" w:eastAsia="zh-CN"/>
        </w:rPr>
        <w:t>252.13</w:t>
      </w:r>
      <w:r>
        <w:t>万平方米，2035年新建建筑面积约</w:t>
      </w:r>
      <w:r>
        <w:rPr>
          <w:rFonts w:hint="eastAsia"/>
          <w:lang w:val="en-US" w:eastAsia="zh-CN"/>
        </w:rPr>
        <w:t>194.07</w:t>
      </w:r>
      <w:r>
        <w:t>万平方米。</w:t>
      </w:r>
    </w:p>
    <w:p>
      <w:pPr>
        <w:bidi w:val="0"/>
      </w:pPr>
      <w:r>
        <w:t>根据《住房和城乡建设部关于推进建筑垃圾减量化的指导意见》（建质〔2020〕46号）工作目标，2025年底，新建建筑施工现场建筑垃圾（不包括工程渣土、工程泥浆）排放量每万平方米不高于300吨，装配式建筑施工现场建筑垃圾（不包括工程渣土、工程泥浆）排放量每万平方米不高于200吨。装配式建筑比例不低于总量的30%。综上所述，</w:t>
      </w:r>
      <w:r>
        <w:rPr>
          <w:rFonts w:hint="eastAsia"/>
          <w:lang w:eastAsia="zh-CN"/>
        </w:rPr>
        <w:t>桃江县</w:t>
      </w:r>
      <w:r>
        <w:t>2025年</w:t>
      </w:r>
      <w:r>
        <w:rPr>
          <w:rFonts w:hint="eastAsia"/>
          <w:lang w:eastAsia="zh-CN"/>
        </w:rPr>
        <w:t>、</w:t>
      </w:r>
      <w:r>
        <w:rPr>
          <w:rFonts w:hint="eastAsia"/>
          <w:lang w:val="en-US" w:eastAsia="zh-CN"/>
        </w:rPr>
        <w:t>2026年</w:t>
      </w:r>
      <w:r>
        <w:t>每1万平方米建筑物施工产生的建筑垃圾</w:t>
      </w:r>
      <w:r>
        <w:rPr>
          <w:rFonts w:hint="eastAsia"/>
          <w:lang w:eastAsia="zh-CN"/>
        </w:rPr>
        <w:t>约</w:t>
      </w:r>
      <w:r>
        <w:t>为2</w:t>
      </w:r>
      <w:r>
        <w:rPr>
          <w:rFonts w:hint="eastAsia"/>
          <w:lang w:val="en-US" w:eastAsia="zh-CN"/>
        </w:rPr>
        <w:t>95</w:t>
      </w:r>
      <w:r>
        <w:t>吨，预计</w:t>
      </w:r>
      <w:r>
        <w:rPr>
          <w:rFonts w:hint="eastAsia"/>
          <w:lang w:eastAsia="zh-CN"/>
        </w:rPr>
        <w:t>每年</w:t>
      </w:r>
      <w:r>
        <w:t>每1万平方米建筑物施工产生的建筑垃圾</w:t>
      </w:r>
      <w:r>
        <w:rPr>
          <w:rFonts w:hint="eastAsia"/>
          <w:lang w:eastAsia="zh-CN"/>
        </w:rPr>
        <w:t>减少约</w:t>
      </w:r>
      <w:r>
        <w:rPr>
          <w:rFonts w:hint="eastAsia"/>
          <w:lang w:val="en-US" w:eastAsia="zh-CN"/>
        </w:rPr>
        <w:t>5吨，</w:t>
      </w:r>
      <w:r>
        <w:t>2030年达到</w:t>
      </w:r>
      <w:r>
        <w:rPr>
          <w:rFonts w:hint="eastAsia"/>
          <w:lang w:eastAsia="zh-CN"/>
        </w:rPr>
        <w:t>约</w:t>
      </w:r>
      <w:r>
        <w:t>2</w:t>
      </w:r>
      <w:r>
        <w:rPr>
          <w:rFonts w:hint="eastAsia"/>
          <w:lang w:val="en-US" w:eastAsia="zh-CN"/>
        </w:rPr>
        <w:t>75</w:t>
      </w:r>
      <w:r>
        <w:t>吨，2035年达到</w:t>
      </w:r>
      <w:r>
        <w:rPr>
          <w:rFonts w:hint="eastAsia"/>
          <w:lang w:eastAsia="zh-CN"/>
        </w:rPr>
        <w:t>约</w:t>
      </w:r>
      <w:r>
        <w:t>250吨。</w:t>
      </w:r>
    </w:p>
    <w:p>
      <w:pPr>
        <w:bidi w:val="0"/>
      </w:pPr>
    </w:p>
    <w:p>
      <w:pPr>
        <w:bidi w:val="0"/>
        <w:ind w:left="0" w:leftChars="0" w:firstLine="0" w:firstLineChars="0"/>
        <w:jc w:val="center"/>
        <w:rPr>
          <w:b/>
          <w:bCs/>
        </w:rPr>
      </w:pPr>
      <w:bookmarkStart w:id="114" w:name="bookmark149"/>
      <w:bookmarkEnd w:id="114"/>
      <w:r>
        <w:rPr>
          <w:rFonts w:hint="eastAsia"/>
          <w:b/>
          <w:bCs/>
          <w:lang w:eastAsia="zh-CN"/>
        </w:rPr>
        <w:t>表</w:t>
      </w:r>
      <w:r>
        <w:rPr>
          <w:rFonts w:hint="eastAsia"/>
          <w:b/>
          <w:bCs/>
          <w:lang w:val="en-US" w:eastAsia="zh-CN"/>
        </w:rPr>
        <w:t>4-1</w:t>
      </w:r>
      <w:r>
        <w:rPr>
          <w:rFonts w:hint="eastAsia"/>
          <w:b/>
          <w:bCs/>
          <w:lang w:eastAsia="zh-CN"/>
        </w:rPr>
        <w:t>桃江</w:t>
      </w:r>
      <w:r>
        <w:rPr>
          <w:b/>
          <w:bCs/>
        </w:rPr>
        <w:t>县 2025-2035 年工程垃圾预测量</w:t>
      </w:r>
    </w:p>
    <w:tbl>
      <w:tblPr>
        <w:tblStyle w:val="14"/>
        <w:tblW w:w="7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700"/>
        <w:gridCol w:w="2318"/>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b/>
                <w:bCs/>
                <w:spacing w:val="-3"/>
                <w:sz w:val="24"/>
                <w:szCs w:val="24"/>
                <w:vertAlign w:val="baseline"/>
                <w:lang w:val="en-US" w:eastAsia="zh-CN"/>
              </w:rPr>
            </w:pPr>
            <w:r>
              <w:rPr>
                <w:rFonts w:hint="eastAsia" w:ascii="仿宋" w:hAnsi="仿宋" w:eastAsia="仿宋" w:cs="仿宋"/>
                <w:b/>
                <w:bCs/>
                <w:spacing w:val="-3"/>
                <w:sz w:val="24"/>
                <w:szCs w:val="24"/>
                <w:vertAlign w:val="baseline"/>
                <w:lang w:val="en-US" w:eastAsia="zh-CN"/>
              </w:rPr>
              <w:t>时间</w:t>
            </w:r>
          </w:p>
        </w:tc>
        <w:tc>
          <w:tcPr>
            <w:tcW w:w="1700" w:type="dxa"/>
            <w:vAlign w:val="center"/>
          </w:tcPr>
          <w:p>
            <w:pPr>
              <w:spacing w:before="52" w:line="220" w:lineRule="auto"/>
              <w:ind w:left="0" w:leftChars="0" w:firstLine="0" w:firstLineChars="0"/>
              <w:jc w:val="center"/>
              <w:rPr>
                <w:rFonts w:hint="eastAsia" w:ascii="仿宋" w:hAnsi="仿宋" w:eastAsia="仿宋" w:cs="仿宋"/>
                <w:b/>
                <w:bCs/>
                <w:spacing w:val="-3"/>
                <w:sz w:val="24"/>
                <w:szCs w:val="24"/>
                <w:vertAlign w:val="baseline"/>
                <w:lang w:val="en-US" w:eastAsia="zh-CN"/>
              </w:rPr>
            </w:pPr>
            <w:r>
              <w:rPr>
                <w:rFonts w:hint="eastAsia" w:ascii="仿宋" w:hAnsi="仿宋" w:eastAsia="仿宋" w:cs="仿宋"/>
                <w:b/>
                <w:bCs/>
                <w:spacing w:val="-3"/>
                <w:sz w:val="24"/>
                <w:szCs w:val="24"/>
                <w:vertAlign w:val="baseline"/>
                <w:lang w:val="en-US" w:eastAsia="zh-CN"/>
              </w:rPr>
              <w:t>建筑施工面积（万平方米）</w:t>
            </w:r>
          </w:p>
        </w:tc>
        <w:tc>
          <w:tcPr>
            <w:tcW w:w="2318" w:type="dxa"/>
            <w:vAlign w:val="center"/>
          </w:tcPr>
          <w:p>
            <w:pPr>
              <w:spacing w:before="52" w:line="220" w:lineRule="auto"/>
              <w:ind w:left="0" w:leftChars="0" w:firstLine="0" w:firstLineChars="0"/>
              <w:jc w:val="center"/>
              <w:rPr>
                <w:rFonts w:hint="eastAsia" w:ascii="仿宋" w:hAnsi="仿宋" w:eastAsia="仿宋" w:cs="仿宋"/>
                <w:b/>
                <w:bCs/>
                <w:spacing w:val="-3"/>
                <w:sz w:val="24"/>
                <w:szCs w:val="24"/>
                <w:vertAlign w:val="baseline"/>
                <w:lang w:val="en-US" w:eastAsia="zh-CN"/>
              </w:rPr>
            </w:pPr>
            <w:r>
              <w:rPr>
                <w:rFonts w:hint="eastAsia" w:ascii="仿宋" w:hAnsi="仿宋" w:eastAsia="仿宋" w:cs="仿宋"/>
                <w:b/>
                <w:bCs/>
                <w:spacing w:val="-2"/>
                <w:sz w:val="24"/>
                <w:szCs w:val="24"/>
              </w:rPr>
              <w:t>单位面积工程垃圾产生量基数</w:t>
            </w:r>
          </w:p>
        </w:tc>
        <w:tc>
          <w:tcPr>
            <w:tcW w:w="1971" w:type="dxa"/>
            <w:vAlign w:val="center"/>
          </w:tcPr>
          <w:p>
            <w:pPr>
              <w:spacing w:before="52" w:line="220" w:lineRule="auto"/>
              <w:ind w:left="0" w:leftChars="0" w:firstLine="0" w:firstLineChars="0"/>
              <w:jc w:val="center"/>
              <w:rPr>
                <w:rFonts w:hint="eastAsia" w:ascii="仿宋" w:hAnsi="仿宋" w:eastAsia="仿宋" w:cs="仿宋"/>
                <w:b/>
                <w:bCs/>
                <w:spacing w:val="-3"/>
                <w:sz w:val="24"/>
                <w:szCs w:val="24"/>
                <w:vertAlign w:val="baseline"/>
                <w:lang w:val="en-US" w:eastAsia="zh-CN"/>
              </w:rPr>
            </w:pPr>
            <w:r>
              <w:rPr>
                <w:rFonts w:hint="eastAsia" w:ascii="仿宋" w:hAnsi="仿宋" w:eastAsia="仿宋" w:cs="仿宋"/>
                <w:b/>
                <w:bCs/>
                <w:spacing w:val="-1"/>
                <w:sz w:val="24"/>
                <w:szCs w:val="24"/>
              </w:rPr>
              <w:t>工程垃圾产生量</w:t>
            </w:r>
            <w:r>
              <w:rPr>
                <w:rFonts w:hint="eastAsia" w:ascii="仿宋" w:hAnsi="仿宋" w:eastAsia="仿宋" w:cs="仿宋"/>
                <w:b/>
                <w:bCs/>
                <w:spacing w:val="-1"/>
                <w:sz w:val="24"/>
                <w:szCs w:val="24"/>
                <w:lang w:eastAsia="zh-CN"/>
              </w:rPr>
              <w:t>（万吨）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bookmarkStart w:id="115" w:name="OLE_LINK25" w:colFirst="1" w:colLast="1"/>
            <w:r>
              <w:rPr>
                <w:rFonts w:hint="eastAsia" w:ascii="仿宋" w:hAnsi="仿宋" w:eastAsia="仿宋" w:cs="仿宋"/>
                <w:spacing w:val="-3"/>
                <w:sz w:val="24"/>
                <w:szCs w:val="24"/>
                <w:vertAlign w:val="baseline"/>
                <w:lang w:val="en-US" w:eastAsia="zh-CN"/>
              </w:rPr>
              <w:t>2023年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355.95</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300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2024年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345.16</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300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2025年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327.56</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295</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2026年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310.85</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295</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2027年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295</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290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2028年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279.95</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285</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2029年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265.68</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280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2030年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252.13</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275</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2031年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239.27</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270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2032年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227.06</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265</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2033年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215.48</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260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2034年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204.49</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255</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2035年</w:t>
            </w:r>
          </w:p>
        </w:tc>
        <w:tc>
          <w:tcPr>
            <w:tcW w:w="1700" w:type="dxa"/>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194.07</w:t>
            </w:r>
          </w:p>
        </w:tc>
        <w:tc>
          <w:tcPr>
            <w:tcW w:w="2318" w:type="dxa"/>
            <w:vAlign w:val="center"/>
          </w:tcPr>
          <w:p>
            <w:pPr>
              <w:spacing w:before="52" w:line="220" w:lineRule="auto"/>
              <w:ind w:left="0" w:leftChars="0" w:firstLine="0" w:firstLineChars="0"/>
              <w:jc w:val="center"/>
              <w:rPr>
                <w:rFonts w:hint="eastAsia" w:ascii="仿宋" w:hAnsi="仿宋" w:eastAsia="仿宋" w:cs="仿宋"/>
                <w:spacing w:val="-3"/>
                <w:sz w:val="24"/>
                <w:szCs w:val="24"/>
                <w:vertAlign w:val="baseline"/>
                <w:lang w:val="en-US" w:eastAsia="zh-CN"/>
              </w:rPr>
            </w:pPr>
            <w:r>
              <w:rPr>
                <w:rFonts w:hint="eastAsia" w:ascii="仿宋" w:hAnsi="仿宋" w:eastAsia="仿宋" w:cs="仿宋"/>
                <w:spacing w:val="-3"/>
                <w:sz w:val="24"/>
                <w:szCs w:val="24"/>
                <w:vertAlign w:val="baseline"/>
                <w:lang w:val="en-US" w:eastAsia="zh-CN"/>
              </w:rPr>
              <w:t>250</w:t>
            </w:r>
          </w:p>
        </w:tc>
        <w:tc>
          <w:tcPr>
            <w:tcW w:w="1971" w:type="dxa"/>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spacing w:val="-3"/>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4.85</w:t>
            </w:r>
          </w:p>
        </w:tc>
      </w:tr>
      <w:bookmarkEnd w:id="115"/>
    </w:tbl>
    <w:p>
      <w:pPr>
        <w:spacing w:before="52" w:line="220" w:lineRule="auto"/>
        <w:ind w:left="596"/>
        <w:rPr>
          <w:rFonts w:hint="default" w:ascii="宋体" w:hAnsi="宋体" w:eastAsia="宋体" w:cs="宋体"/>
          <w:spacing w:val="-3"/>
          <w:sz w:val="24"/>
          <w:szCs w:val="24"/>
          <w:lang w:val="en-US" w:eastAsia="zh-CN"/>
        </w:rPr>
      </w:pPr>
    </w:p>
    <w:p>
      <w:pPr>
        <w:pStyle w:val="4"/>
        <w:bidi w:val="0"/>
      </w:pPr>
      <w:r>
        <w:t>2、拆除垃圾</w:t>
      </w:r>
    </w:p>
    <w:p>
      <w:pPr>
        <w:bidi w:val="0"/>
      </w:pPr>
      <w:r>
        <w:t>根据《建筑垃圾处理技术标准（CJJ/T134-2019）》中的规定，拆除垃圾产生量可按下式进行估算：</w:t>
      </w:r>
    </w:p>
    <w:p>
      <w:pPr>
        <w:bidi w:val="0"/>
      </w:pPr>
      <w:r>
        <w:t>Mc=Rcmc</w:t>
      </w:r>
    </w:p>
    <w:p>
      <w:pPr>
        <w:bidi w:val="0"/>
      </w:pPr>
      <w:r>
        <w:t>式中：Mc—某城市或区域拆除垃圾产生量，t/a；</w:t>
      </w:r>
    </w:p>
    <w:p>
      <w:pPr>
        <w:bidi w:val="0"/>
      </w:pPr>
      <w:r>
        <w:t>Rc—城市或区域拆除面积（104m</w:t>
      </w:r>
      <w:r>
        <w:rPr>
          <w:vertAlign w:val="superscript"/>
        </w:rPr>
        <w:t>2</w:t>
      </w:r>
      <w:r>
        <w:t>/a）；</w:t>
      </w:r>
    </w:p>
    <w:p>
      <w:pPr>
        <w:bidi w:val="0"/>
        <w:rPr>
          <w:lang w:eastAsia="zh-CN"/>
        </w:rPr>
      </w:pPr>
      <w:r>
        <w:t>mc—单位面积建筑垃圾产生量基数（t/104m</w:t>
      </w:r>
      <w:r>
        <w:rPr>
          <w:vertAlign w:val="superscript"/>
        </w:rPr>
        <w:t>2</w:t>
      </w:r>
      <w:r>
        <w:t>），可取8000~13000t/104 m</w:t>
      </w:r>
      <w:r>
        <w:rPr>
          <w:vertAlign w:val="superscript"/>
        </w:rPr>
        <w:t>2</w:t>
      </w:r>
      <w:r>
        <w:rPr>
          <w:rFonts w:hint="eastAsia"/>
          <w:lang w:eastAsia="zh-CN"/>
        </w:rPr>
        <w:t>。</w:t>
      </w:r>
      <w:r>
        <w:t>由于</w:t>
      </w:r>
      <w:r>
        <w:rPr>
          <w:rFonts w:hint="eastAsia"/>
          <w:lang w:eastAsia="zh-CN"/>
        </w:rPr>
        <w:t>桃江</w:t>
      </w:r>
      <w:r>
        <w:t>县拆除建筑普遍为老式砖混结构，单位面积拆除垃圾产生量基数选择为10000t/t/104m</w:t>
      </w:r>
      <w:r>
        <w:rPr>
          <w:vertAlign w:val="superscript"/>
        </w:rPr>
        <w:t>2</w:t>
      </w:r>
      <w:r>
        <w:t>。参考</w:t>
      </w:r>
      <w:r>
        <w:rPr>
          <w:rFonts w:hint="eastAsia"/>
          <w:lang w:val="en-US" w:eastAsia="zh-CN"/>
        </w:rPr>
        <w:t>桃江县</w:t>
      </w:r>
      <w:r>
        <w:t>住建局、自然资源局数据，结合国内同等城市拆除建筑量的数值</w:t>
      </w:r>
      <w:bookmarkStart w:id="116" w:name="OLE_LINK35"/>
      <w:r>
        <w:rPr>
          <w:rFonts w:hint="eastAsia"/>
          <w:lang w:val="en-US" w:eastAsia="zh-CN"/>
        </w:rPr>
        <w:t>和桃江县</w:t>
      </w:r>
      <w:bookmarkEnd w:id="116"/>
      <w:r>
        <w:t>现状拆除垃圾产生量情况，</w:t>
      </w:r>
      <w:r>
        <w:rPr>
          <w:rFonts w:hint="eastAsia"/>
          <w:lang w:eastAsia="zh-CN"/>
        </w:rPr>
        <w:t>单位面积拆除垃圾产生量基数</w:t>
      </w:r>
      <w:r>
        <w:rPr>
          <w:rFonts w:hint="eastAsia"/>
          <w:lang w:val="en-US" w:eastAsia="zh-CN"/>
        </w:rPr>
        <w:t>取0.2，</w:t>
      </w:r>
      <w:r>
        <w:t>则</w:t>
      </w:r>
      <w:r>
        <w:rPr>
          <w:rFonts w:hint="eastAsia"/>
          <w:lang w:val="en-US" w:eastAsia="zh-CN"/>
        </w:rPr>
        <w:t>桃江县</w:t>
      </w:r>
      <w:r>
        <w:t>2025年拆除建筑面积为</w:t>
      </w:r>
      <w:r>
        <w:rPr>
          <w:rFonts w:hint="eastAsia"/>
          <w:lang w:val="en-US" w:eastAsia="zh-CN"/>
        </w:rPr>
        <w:t>6.55</w:t>
      </w:r>
      <w:r>
        <w:t>万平方米，2030年拆除建筑面积为</w:t>
      </w:r>
      <w:r>
        <w:rPr>
          <w:rFonts w:hint="eastAsia"/>
          <w:lang w:val="en-US" w:eastAsia="zh-CN"/>
        </w:rPr>
        <w:t>5.04</w:t>
      </w:r>
      <w:r>
        <w:t>万平方米，2035年拆除建筑面积为</w:t>
      </w:r>
      <w:r>
        <w:rPr>
          <w:rFonts w:hint="eastAsia"/>
          <w:lang w:val="en-US" w:eastAsia="zh-CN"/>
        </w:rPr>
        <w:t>3.88</w:t>
      </w:r>
      <w:r>
        <w:t>万平方米</w:t>
      </w:r>
      <w:r>
        <w:rPr>
          <w:rFonts w:hint="eastAsia"/>
          <w:lang w:eastAsia="zh-CN"/>
        </w:rPr>
        <w:t>；</w:t>
      </w:r>
      <w:r>
        <w:rPr>
          <w:rFonts w:hint="eastAsia"/>
          <w:lang w:val="en-US" w:eastAsia="zh-CN"/>
        </w:rPr>
        <w:t>根据分析2020年至2024年拆除违建情况</w:t>
      </w:r>
      <w:r>
        <w:t>，</w:t>
      </w:r>
      <w:r>
        <w:rPr>
          <w:rFonts w:hint="eastAsia"/>
          <w:lang w:val="en-US" w:eastAsia="zh-CN"/>
        </w:rPr>
        <w:t>预测到2025年，桃江县拆除违建0.5万平方米，2030年拆除违建0.47万平方米，2035年拆除违建0.45万平方米。</w:t>
      </w:r>
      <w:bookmarkStart w:id="117" w:name="OLE_LINK36"/>
      <w:r>
        <w:rPr>
          <w:rFonts w:hint="eastAsia"/>
          <w:lang w:val="en-US" w:eastAsia="zh-CN"/>
        </w:rPr>
        <w:t>2025年拆除垃圾总产生量约为</w:t>
      </w:r>
      <w:r>
        <w:rPr>
          <w:lang w:eastAsia="zh-CN"/>
        </w:rPr>
        <w:t>产生量约为</w:t>
      </w:r>
      <w:r>
        <w:rPr>
          <w:rFonts w:hint="eastAsia"/>
          <w:lang w:val="en-US" w:eastAsia="zh-CN"/>
        </w:rPr>
        <w:t>7.05万吨</w:t>
      </w:r>
      <w:r>
        <w:rPr>
          <w:rFonts w:hint="eastAsia"/>
          <w:lang w:eastAsia="zh-CN"/>
        </w:rPr>
        <w:t>，</w:t>
      </w:r>
      <w:bookmarkEnd w:id="117"/>
      <w:r>
        <w:rPr>
          <w:rFonts w:hint="eastAsia"/>
          <w:lang w:val="en-US" w:eastAsia="zh-CN"/>
        </w:rPr>
        <w:t>2030年拆除垃圾总产生量约为</w:t>
      </w:r>
      <w:r>
        <w:rPr>
          <w:lang w:eastAsia="zh-CN"/>
        </w:rPr>
        <w:t>产生量约为</w:t>
      </w:r>
      <w:r>
        <w:rPr>
          <w:rFonts w:hint="eastAsia"/>
          <w:lang w:val="en-US" w:eastAsia="zh-CN"/>
        </w:rPr>
        <w:t>5.51万吨</w:t>
      </w:r>
      <w:r>
        <w:rPr>
          <w:rFonts w:hint="eastAsia"/>
          <w:lang w:eastAsia="zh-CN"/>
        </w:rPr>
        <w:t>，</w:t>
      </w:r>
      <w:r>
        <w:rPr>
          <w:rFonts w:hint="eastAsia"/>
          <w:lang w:val="en-US" w:eastAsia="zh-CN"/>
        </w:rPr>
        <w:t>2035年拆除垃圾总产生量约为</w:t>
      </w:r>
      <w:r>
        <w:rPr>
          <w:lang w:eastAsia="zh-CN"/>
        </w:rPr>
        <w:t>产生量约为</w:t>
      </w:r>
      <w:r>
        <w:rPr>
          <w:rFonts w:hint="eastAsia"/>
          <w:lang w:val="en-US" w:eastAsia="zh-CN"/>
        </w:rPr>
        <w:t>4.33万吨</w:t>
      </w:r>
      <w:r>
        <w:rPr>
          <w:lang w:eastAsia="zh-CN"/>
        </w:rPr>
        <w:t>。</w:t>
      </w:r>
    </w:p>
    <w:p>
      <w:pPr>
        <w:bidi w:val="0"/>
        <w:rPr>
          <w:lang w:eastAsia="zh-CN"/>
        </w:rPr>
      </w:pPr>
    </w:p>
    <w:p>
      <w:pPr>
        <w:bidi w:val="0"/>
        <w:ind w:left="0" w:leftChars="0" w:firstLine="0" w:firstLineChars="0"/>
        <w:jc w:val="center"/>
        <w:rPr>
          <w:b/>
          <w:bCs/>
          <w:lang w:eastAsia="en-US"/>
        </w:rPr>
      </w:pPr>
      <w:r>
        <w:rPr>
          <w:b/>
          <w:bCs/>
          <w:lang w:eastAsia="en-US"/>
        </w:rPr>
        <w:t>表4-</w:t>
      </w:r>
      <w:r>
        <w:rPr>
          <w:rFonts w:hint="eastAsia"/>
          <w:b/>
          <w:bCs/>
          <w:lang w:val="en-US" w:eastAsia="zh-CN"/>
        </w:rPr>
        <w:t>2</w:t>
      </w:r>
      <w:r>
        <w:rPr>
          <w:b/>
          <w:bCs/>
          <w:lang w:eastAsia="en-US"/>
        </w:rPr>
        <w:t xml:space="preserve"> </w:t>
      </w:r>
      <w:r>
        <w:rPr>
          <w:rFonts w:hint="eastAsia"/>
          <w:b/>
          <w:bCs/>
          <w:lang w:val="en-US" w:eastAsia="zh-CN"/>
        </w:rPr>
        <w:t>桃江</w:t>
      </w:r>
      <w:r>
        <w:rPr>
          <w:b/>
          <w:bCs/>
          <w:lang w:eastAsia="en-US"/>
        </w:rPr>
        <w:t>县 2025-2035 年拆除垃圾预测量</w:t>
      </w:r>
    </w:p>
    <w:p>
      <w:pPr>
        <w:widowControl/>
        <w:kinsoku w:val="0"/>
        <w:autoSpaceDE w:val="0"/>
        <w:autoSpaceDN w:val="0"/>
        <w:adjustRightInd w:val="0"/>
        <w:snapToGrid w:val="0"/>
        <w:spacing w:line="119" w:lineRule="exact"/>
        <w:ind w:firstLine="0" w:firstLineChars="0"/>
        <w:jc w:val="left"/>
        <w:textAlignment w:val="baseline"/>
        <w:rPr>
          <w:rFonts w:ascii="Arial" w:hAnsi="Arial" w:eastAsia="Arial" w:cs="Arial"/>
          <w:snapToGrid w:val="0"/>
          <w:color w:val="000000"/>
          <w:kern w:val="0"/>
          <w:sz w:val="21"/>
          <w:szCs w:val="21"/>
          <w:lang w:eastAsia="en-US"/>
        </w:rPr>
      </w:pPr>
    </w:p>
    <w:tbl>
      <w:tblPr>
        <w:tblStyle w:val="25"/>
        <w:tblW w:w="800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8"/>
        <w:gridCol w:w="2921"/>
        <w:gridCol w:w="27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244" w:line="222" w:lineRule="auto"/>
              <w:ind w:left="932"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12"/>
                <w:kern w:val="0"/>
                <w:sz w:val="24"/>
                <w:szCs w:val="24"/>
                <w:lang w:eastAsia="en-US"/>
              </w:rPr>
              <w:t>时间</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245" w:line="219" w:lineRule="auto"/>
              <w:ind w:left="654"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sz w:val="24"/>
                <w:szCs w:val="24"/>
                <w:lang w:eastAsia="en-US"/>
              </w:rPr>
              <w:t>拆除面积（万</w:t>
            </w:r>
            <w:r>
              <w:rPr>
                <w:rFonts w:hint="eastAsia" w:ascii="仿宋" w:hAnsi="仿宋" w:cs="仿宋"/>
                <w:b/>
                <w:bCs/>
                <w:snapToGrid w:val="0"/>
                <w:color w:val="000000"/>
                <w:spacing w:val="-5"/>
                <w:kern w:val="0"/>
                <w:sz w:val="24"/>
                <w:szCs w:val="24"/>
                <w:lang w:val="en-US" w:eastAsia="zh-CN"/>
              </w:rPr>
              <w:t>平方米</w:t>
            </w:r>
            <w:r>
              <w:rPr>
                <w:rFonts w:hint="eastAsia" w:ascii="仿宋" w:hAnsi="仿宋" w:eastAsia="仿宋" w:cs="仿宋"/>
                <w:b/>
                <w:bCs/>
                <w:snapToGrid w:val="0"/>
                <w:color w:val="000000"/>
                <w:spacing w:val="-5"/>
                <w:kern w:val="0"/>
                <w:sz w:val="24"/>
                <w:szCs w:val="24"/>
                <w:lang w:eastAsia="en-US"/>
              </w:rPr>
              <w:t>）</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237" w:line="239" w:lineRule="auto"/>
              <w:ind w:left="437"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sz w:val="24"/>
                <w:szCs w:val="24"/>
                <w:lang w:eastAsia="en-US"/>
              </w:rPr>
              <w:t>拆除垃圾量（万</w:t>
            </w:r>
            <w:r>
              <w:rPr>
                <w:rFonts w:hint="eastAsia" w:ascii="仿宋" w:hAnsi="仿宋" w:eastAsia="仿宋" w:cs="仿宋"/>
                <w:snapToGrid w:val="0"/>
                <w:color w:val="000000"/>
                <w:spacing w:val="-54"/>
                <w:kern w:val="0"/>
                <w:sz w:val="24"/>
                <w:szCs w:val="24"/>
                <w:lang w:eastAsia="en-US"/>
              </w:rPr>
              <w:t xml:space="preserve"> </w:t>
            </w:r>
            <w:r>
              <w:rPr>
                <w:rFonts w:hint="eastAsia" w:ascii="仿宋" w:hAnsi="仿宋" w:cs="仿宋"/>
                <w:b/>
                <w:bCs/>
                <w:snapToGrid w:val="0"/>
                <w:color w:val="000000"/>
                <w:spacing w:val="-3"/>
                <w:kern w:val="0"/>
                <w:sz w:val="24"/>
                <w:szCs w:val="24"/>
                <w:lang w:val="en-US" w:eastAsia="zh-CN"/>
              </w:rPr>
              <w:t>吨</w:t>
            </w:r>
            <w:r>
              <w:rPr>
                <w:rFonts w:hint="eastAsia" w:ascii="仿宋" w:hAnsi="仿宋" w:eastAsia="仿宋" w:cs="仿宋"/>
                <w:b/>
                <w:bCs/>
                <w:snapToGrid w:val="0"/>
                <w:color w:val="000000"/>
                <w:spacing w:val="-3"/>
                <w:kern w:val="0"/>
                <w:sz w:val="24"/>
                <w:szCs w:val="24"/>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18" w:line="178"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2"/>
                <w:kern w:val="0"/>
                <w:position w:val="2"/>
                <w:sz w:val="24"/>
                <w:szCs w:val="24"/>
                <w:lang w:eastAsia="en-US"/>
              </w:rPr>
              <w:t>2023</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18" w:line="182" w:lineRule="exact"/>
              <w:ind w:left="1402"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9.02</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18" w:line="182" w:lineRule="exact"/>
              <w:ind w:left="1402"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19" w:line="181"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position w:val="2"/>
                <w:sz w:val="24"/>
                <w:szCs w:val="24"/>
                <w:lang w:eastAsia="en-US"/>
              </w:rPr>
              <w:t>2024</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19" w:line="181" w:lineRule="exact"/>
              <w:ind w:left="1402"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7.40</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19" w:line="181" w:lineRule="exact"/>
              <w:ind w:left="1402"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7.40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0" w:line="177"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position w:val="2"/>
                <w:sz w:val="24"/>
                <w:szCs w:val="24"/>
                <w:lang w:eastAsia="en-US"/>
              </w:rPr>
              <w:t>2025</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0" w:line="178" w:lineRule="exact"/>
              <w:ind w:left="1402"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7.05</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0" w:line="178" w:lineRule="exact"/>
              <w:ind w:left="1402"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7.05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3" w:line="187" w:lineRule="auto"/>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sz w:val="24"/>
                <w:szCs w:val="24"/>
                <w:lang w:eastAsia="en-US"/>
              </w:rPr>
              <w:t>2026</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3" w:line="178" w:lineRule="exact"/>
              <w:ind w:left="1410"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6.71</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3" w:line="178" w:lineRule="exact"/>
              <w:ind w:left="1410"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6.71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1" w:line="184"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position w:val="2"/>
                <w:sz w:val="24"/>
                <w:szCs w:val="24"/>
                <w:lang w:eastAsia="en-US"/>
              </w:rPr>
              <w:t>2027</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1" w:line="178" w:lineRule="exact"/>
              <w:ind w:left="1410"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6.39</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1" w:line="178" w:lineRule="exact"/>
              <w:ind w:left="1410"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6.39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2" w:line="187" w:lineRule="auto"/>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sz w:val="24"/>
                <w:szCs w:val="24"/>
                <w:lang w:eastAsia="en-US"/>
              </w:rPr>
              <w:t>2028</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2" w:line="178" w:lineRule="exact"/>
              <w:ind w:left="1410"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6.08</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2" w:line="178" w:lineRule="exact"/>
              <w:ind w:left="1410"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6.08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2" w:line="179"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position w:val="2"/>
                <w:sz w:val="24"/>
                <w:szCs w:val="24"/>
                <w:lang w:eastAsia="en-US"/>
              </w:rPr>
              <w:t>2029</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2" w:line="179" w:lineRule="exact"/>
              <w:ind w:left="1410"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5.79</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2" w:line="179" w:lineRule="exact"/>
              <w:ind w:left="1410"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5.79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3" w:line="178"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position w:val="2"/>
                <w:sz w:val="24"/>
                <w:szCs w:val="24"/>
                <w:lang w:eastAsia="en-US"/>
              </w:rPr>
              <w:t>2030</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3" w:line="188" w:lineRule="auto"/>
              <w:ind w:left="1408"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5.51</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3" w:line="188" w:lineRule="auto"/>
              <w:ind w:left="1408"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5.51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7" w:line="178"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position w:val="2"/>
                <w:sz w:val="24"/>
                <w:szCs w:val="24"/>
                <w:lang w:eastAsia="en-US"/>
              </w:rPr>
              <w:t>2031</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7" w:line="178" w:lineRule="exact"/>
              <w:ind w:left="1408"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5.25</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7" w:line="178" w:lineRule="exact"/>
              <w:ind w:left="1408"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5.25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5" w:line="178"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2"/>
                <w:kern w:val="0"/>
                <w:position w:val="2"/>
                <w:sz w:val="24"/>
                <w:szCs w:val="24"/>
                <w:lang w:eastAsia="en-US"/>
              </w:rPr>
              <w:t>2032</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5" w:line="178" w:lineRule="exact"/>
              <w:ind w:left="1408"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5.00</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5" w:line="178" w:lineRule="exact"/>
              <w:ind w:left="1408"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5" w:line="178"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kern w:val="0"/>
                <w:position w:val="2"/>
                <w:sz w:val="24"/>
                <w:szCs w:val="24"/>
                <w:lang w:eastAsia="en-US"/>
              </w:rPr>
              <w:t>2033</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5" w:line="184" w:lineRule="exact"/>
              <w:ind w:left="1407"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4.77</w:t>
            </w:r>
          </w:p>
        </w:tc>
        <w:tc>
          <w:tcPr>
            <w:tcW w:w="2760" w:type="dxa"/>
            <w:tcBorders>
              <w:left w:val="single" w:color="000000" w:sz="8" w:space="0"/>
              <w:bottom w:val="single" w:color="000000" w:sz="6" w:space="0"/>
            </w:tcBorders>
            <w:vAlign w:val="top"/>
          </w:tcPr>
          <w:p>
            <w:pPr>
              <w:widowControl/>
              <w:kinsoku w:val="0"/>
              <w:autoSpaceDE w:val="0"/>
              <w:autoSpaceDN w:val="0"/>
              <w:adjustRightInd w:val="0"/>
              <w:snapToGrid w:val="0"/>
              <w:spacing w:before="125" w:line="184" w:lineRule="exact"/>
              <w:ind w:left="1407"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4.77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28" w:type="dxa"/>
            <w:tcBorders>
              <w:left w:val="single" w:color="000000" w:sz="6" w:space="0"/>
              <w:right w:val="single" w:color="000000" w:sz="8" w:space="0"/>
            </w:tcBorders>
            <w:vAlign w:val="top"/>
          </w:tcPr>
          <w:p>
            <w:pPr>
              <w:widowControl/>
              <w:kinsoku w:val="0"/>
              <w:autoSpaceDE w:val="0"/>
              <w:autoSpaceDN w:val="0"/>
              <w:adjustRightInd w:val="0"/>
              <w:snapToGrid w:val="0"/>
              <w:spacing w:before="125" w:line="178" w:lineRule="exact"/>
              <w:ind w:left="916"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position w:val="2"/>
                <w:sz w:val="24"/>
                <w:szCs w:val="24"/>
                <w:lang w:eastAsia="en-US"/>
              </w:rPr>
              <w:t>2034</w:t>
            </w:r>
          </w:p>
        </w:tc>
        <w:tc>
          <w:tcPr>
            <w:tcW w:w="2921" w:type="dxa"/>
            <w:tcBorders>
              <w:left w:val="single" w:color="000000" w:sz="8" w:space="0"/>
              <w:right w:val="single" w:color="000000" w:sz="8" w:space="0"/>
            </w:tcBorders>
            <w:vAlign w:val="top"/>
          </w:tcPr>
          <w:p>
            <w:pPr>
              <w:widowControl/>
              <w:kinsoku w:val="0"/>
              <w:autoSpaceDE w:val="0"/>
              <w:autoSpaceDN w:val="0"/>
              <w:adjustRightInd w:val="0"/>
              <w:snapToGrid w:val="0"/>
              <w:spacing w:before="125" w:line="179" w:lineRule="exact"/>
              <w:ind w:left="1407"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4.54</w:t>
            </w:r>
          </w:p>
        </w:tc>
        <w:tc>
          <w:tcPr>
            <w:tcW w:w="2760" w:type="dxa"/>
            <w:tcBorders>
              <w:left w:val="single" w:color="000000" w:sz="8" w:space="0"/>
            </w:tcBorders>
            <w:vAlign w:val="top"/>
          </w:tcPr>
          <w:p>
            <w:pPr>
              <w:widowControl/>
              <w:kinsoku w:val="0"/>
              <w:autoSpaceDE w:val="0"/>
              <w:autoSpaceDN w:val="0"/>
              <w:adjustRightInd w:val="0"/>
              <w:snapToGrid w:val="0"/>
              <w:spacing w:before="125" w:line="179" w:lineRule="exact"/>
              <w:ind w:left="1407"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2328" w:type="dxa"/>
            <w:vAlign w:val="top"/>
          </w:tcPr>
          <w:p>
            <w:pPr>
              <w:widowControl/>
              <w:kinsoku w:val="0"/>
              <w:autoSpaceDE w:val="0"/>
              <w:autoSpaceDN w:val="0"/>
              <w:adjustRightInd w:val="0"/>
              <w:snapToGrid w:val="0"/>
              <w:spacing w:before="136" w:line="178" w:lineRule="exact"/>
              <w:ind w:left="921" w:firstLine="0" w:firstLineChars="0"/>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1"/>
                <w:kern w:val="0"/>
                <w:position w:val="2"/>
                <w:sz w:val="24"/>
                <w:szCs w:val="24"/>
                <w:lang w:eastAsia="en-US"/>
              </w:rPr>
              <w:t>2035</w:t>
            </w:r>
          </w:p>
        </w:tc>
        <w:tc>
          <w:tcPr>
            <w:tcW w:w="2921" w:type="dxa"/>
            <w:vAlign w:val="top"/>
          </w:tcPr>
          <w:p>
            <w:pPr>
              <w:widowControl/>
              <w:kinsoku w:val="0"/>
              <w:autoSpaceDE w:val="0"/>
              <w:autoSpaceDN w:val="0"/>
              <w:adjustRightInd w:val="0"/>
              <w:snapToGrid w:val="0"/>
              <w:spacing w:before="136" w:line="179" w:lineRule="exact"/>
              <w:ind w:left="1414" w:firstLine="0" w:firstLineChars="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kern w:val="0"/>
                <w:sz w:val="24"/>
                <w:szCs w:val="24"/>
                <w:lang w:val="en-US" w:eastAsia="zh-CN"/>
              </w:rPr>
              <w:t>4.33</w:t>
            </w:r>
          </w:p>
        </w:tc>
        <w:tc>
          <w:tcPr>
            <w:tcW w:w="2760" w:type="dxa"/>
            <w:vAlign w:val="top"/>
          </w:tcPr>
          <w:p>
            <w:pPr>
              <w:widowControl/>
              <w:kinsoku w:val="0"/>
              <w:autoSpaceDE w:val="0"/>
              <w:autoSpaceDN w:val="0"/>
              <w:adjustRightInd w:val="0"/>
              <w:snapToGrid w:val="0"/>
              <w:spacing w:before="136" w:line="179" w:lineRule="exact"/>
              <w:ind w:left="1414"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rPr>
              <w:t>4.33</w:t>
            </w:r>
          </w:p>
        </w:tc>
      </w:tr>
    </w:tbl>
    <w:p>
      <w:pPr>
        <w:spacing w:before="178" w:line="361" w:lineRule="auto"/>
        <w:ind w:right="138"/>
        <w:rPr>
          <w:rFonts w:ascii="宋体" w:hAnsi="宋体" w:eastAsia="宋体" w:cs="宋体"/>
          <w:spacing w:val="-1"/>
          <w:sz w:val="24"/>
          <w:szCs w:val="24"/>
        </w:rPr>
      </w:pPr>
    </w:p>
    <w:p>
      <w:pPr>
        <w:pStyle w:val="4"/>
        <w:bidi w:val="0"/>
      </w:pPr>
      <w:r>
        <w:t>3、装修垃圾</w:t>
      </w:r>
    </w:p>
    <w:p>
      <w:pPr>
        <w:bidi w:val="0"/>
      </w:pPr>
      <w:r>
        <w:t>根据《建筑垃圾处理技术标准（CJJ/T134-2019）》中的规定，装修垃圾产生量可按下式进行估算：</w:t>
      </w:r>
    </w:p>
    <w:p>
      <w:pPr>
        <w:bidi w:val="0"/>
      </w:pPr>
      <w:r>
        <w:t>Mz=Rzmz</w:t>
      </w:r>
    </w:p>
    <w:p>
      <w:pPr>
        <w:bidi w:val="0"/>
      </w:pPr>
      <w:r>
        <w:t>式中：Mz—某城市或区域装修垃圾产生量，t/a；</w:t>
      </w:r>
    </w:p>
    <w:p>
      <w:pPr>
        <w:bidi w:val="0"/>
      </w:pPr>
      <w:r>
        <w:t>Rz—城市或区域居民户数（户）；</w:t>
      </w:r>
    </w:p>
    <w:p>
      <w:pPr>
        <w:bidi w:val="0"/>
      </w:pPr>
      <w:r>
        <w:t>mz—单位户数装修垃圾产生量基数[t/户·a] ，可取0.5</w:t>
      </w:r>
      <w:r>
        <w:rPr>
          <w:rFonts w:hint="eastAsia"/>
          <w:lang w:val="en-US" w:eastAsia="zh-CN"/>
        </w:rPr>
        <w:t>-</w:t>
      </w:r>
      <w:r>
        <w:t>1.0t/户·a ，</w:t>
      </w:r>
      <w:bookmarkStart w:id="118" w:name="OLE_LINK17"/>
      <w:r>
        <w:t>受现状建筑行业下行影响，新装修比例小，取0.5t/户·a。</w:t>
      </w:r>
      <w:bookmarkEnd w:id="118"/>
      <w:r>
        <w:t>根据</w:t>
      </w:r>
      <w:r>
        <w:rPr>
          <w:rFonts w:hint="eastAsia"/>
          <w:lang w:val="en-US" w:eastAsia="zh-CN"/>
        </w:rPr>
        <w:t>桃江县第六次、第七次全国人</w:t>
      </w:r>
      <w:bookmarkStart w:id="119" w:name="OLE_LINK21"/>
      <w:r>
        <w:rPr>
          <w:rFonts w:hint="eastAsia"/>
          <w:lang w:val="en-US" w:eastAsia="zh-CN"/>
        </w:rPr>
        <w:t>口普查数据</w:t>
      </w:r>
      <w:r>
        <w:t>，</w:t>
      </w:r>
      <w:r>
        <w:rPr>
          <w:rFonts w:hint="eastAsia"/>
          <w:lang w:val="en-US" w:eastAsia="zh-CN"/>
        </w:rPr>
        <w:t>2020年至2024年桃江县</w:t>
      </w:r>
      <w:bookmarkStart w:id="120" w:name="OLE_LINK24"/>
      <w:r>
        <w:rPr>
          <w:rFonts w:hint="eastAsia"/>
          <w:lang w:val="en-US" w:eastAsia="zh-CN"/>
        </w:rPr>
        <w:t>全县常住人口数量</w:t>
      </w:r>
      <w:bookmarkEnd w:id="120"/>
      <w:r>
        <w:rPr>
          <w:rFonts w:hint="eastAsia"/>
          <w:lang w:val="en-US" w:eastAsia="zh-CN"/>
        </w:rPr>
        <w:t>，可以计算出全县常住人口数量增长率为-0.6%；根据2020年至2024年桃江县平均每户人口数量，可以计算出平均</w:t>
      </w:r>
      <w:bookmarkEnd w:id="119"/>
      <w:r>
        <w:rPr>
          <w:rFonts w:hint="eastAsia"/>
          <w:lang w:val="en-US" w:eastAsia="zh-CN"/>
        </w:rPr>
        <w:t>每户人口数量增长率为3.36%，再根据2010年至2024年桃江县人口数据分析，桃江县平均每户人口数量不会超过3.2人。</w:t>
      </w:r>
      <w:bookmarkStart w:id="121" w:name="OLE_LINK22"/>
      <w:r>
        <w:rPr>
          <w:rFonts w:hint="eastAsia"/>
          <w:lang w:val="en-US" w:eastAsia="zh-CN"/>
        </w:rPr>
        <w:t>桃江县</w:t>
      </w:r>
      <w:r>
        <w:t>2025年</w:t>
      </w:r>
      <w:r>
        <w:rPr>
          <w:rFonts w:hint="eastAsia"/>
          <w:lang w:val="en-US" w:eastAsia="zh-CN"/>
        </w:rPr>
        <w:t>全县常住人口</w:t>
      </w:r>
      <w:r>
        <w:t>为</w:t>
      </w:r>
      <w:r>
        <w:rPr>
          <w:rFonts w:hint="eastAsia"/>
          <w:lang w:val="en-US" w:eastAsia="zh-CN"/>
        </w:rPr>
        <w:t>66.53</w:t>
      </w:r>
      <w:r>
        <w:t>万人，</w:t>
      </w:r>
      <w:r>
        <w:rPr>
          <w:rFonts w:hint="eastAsia"/>
          <w:lang w:val="en-US" w:eastAsia="zh-CN"/>
        </w:rPr>
        <w:t>平均每户人口数量3人</w:t>
      </w:r>
      <w:r>
        <w:t>。</w:t>
      </w:r>
      <w:bookmarkEnd w:id="121"/>
    </w:p>
    <w:p>
      <w:pPr>
        <w:bidi w:val="0"/>
      </w:pPr>
    </w:p>
    <w:p>
      <w:pPr>
        <w:bidi w:val="0"/>
        <w:ind w:left="0" w:leftChars="0" w:firstLine="0" w:firstLineChars="0"/>
        <w:jc w:val="center"/>
        <w:rPr>
          <w:rFonts w:hint="eastAsia" w:ascii="仿宋" w:hAnsi="仿宋" w:eastAsia="仿宋" w:cs="仿宋"/>
          <w:b/>
          <w:bCs/>
          <w:lang w:eastAsia="en-US"/>
        </w:rPr>
      </w:pPr>
      <w:r>
        <w:rPr>
          <w:rFonts w:hint="eastAsia" w:ascii="仿宋" w:hAnsi="仿宋" w:eastAsia="仿宋" w:cs="仿宋"/>
          <w:b/>
          <w:bCs/>
          <w:lang w:eastAsia="en-US"/>
        </w:rPr>
        <w:t>表4-</w:t>
      </w:r>
      <w:r>
        <w:rPr>
          <w:rFonts w:hint="eastAsia" w:ascii="仿宋" w:hAnsi="仿宋" w:eastAsia="仿宋" w:cs="仿宋"/>
          <w:b/>
          <w:bCs/>
          <w:lang w:val="en-US" w:eastAsia="zh-CN"/>
        </w:rPr>
        <w:t>3</w:t>
      </w:r>
      <w:r>
        <w:rPr>
          <w:rFonts w:hint="eastAsia" w:ascii="仿宋" w:hAnsi="仿宋" w:eastAsia="仿宋" w:cs="仿宋"/>
          <w:b/>
          <w:bCs/>
          <w:lang w:eastAsia="en-US"/>
        </w:rPr>
        <w:t xml:space="preserve">  </w:t>
      </w:r>
      <w:r>
        <w:rPr>
          <w:rFonts w:hint="eastAsia" w:ascii="仿宋" w:hAnsi="仿宋" w:eastAsia="仿宋" w:cs="仿宋"/>
          <w:b/>
          <w:bCs/>
          <w:lang w:val="en-US" w:eastAsia="zh-CN"/>
        </w:rPr>
        <w:t>桃江</w:t>
      </w:r>
      <w:r>
        <w:rPr>
          <w:rFonts w:hint="eastAsia" w:ascii="仿宋" w:hAnsi="仿宋" w:eastAsia="仿宋" w:cs="仿宋"/>
          <w:b/>
          <w:bCs/>
          <w:lang w:eastAsia="en-US"/>
        </w:rPr>
        <w:t>县 2025-2035 年装修垃圾预测量</w:t>
      </w:r>
    </w:p>
    <w:p>
      <w:pPr>
        <w:widowControl/>
        <w:kinsoku w:val="0"/>
        <w:autoSpaceDE w:val="0"/>
        <w:autoSpaceDN w:val="0"/>
        <w:adjustRightInd w:val="0"/>
        <w:snapToGrid w:val="0"/>
        <w:spacing w:line="119" w:lineRule="exact"/>
        <w:ind w:firstLine="0" w:firstLineChars="0"/>
        <w:jc w:val="left"/>
        <w:textAlignment w:val="baseline"/>
        <w:rPr>
          <w:rFonts w:ascii="Arial" w:hAnsi="Arial" w:eastAsia="Arial" w:cs="Arial"/>
          <w:snapToGrid w:val="0"/>
          <w:color w:val="000000"/>
          <w:kern w:val="0"/>
          <w:sz w:val="21"/>
          <w:szCs w:val="21"/>
          <w:lang w:eastAsia="en-US"/>
        </w:rPr>
      </w:pPr>
    </w:p>
    <w:tbl>
      <w:tblPr>
        <w:tblStyle w:val="25"/>
        <w:tblW w:w="502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92"/>
        <w:gridCol w:w="2029"/>
        <w:gridCol w:w="2257"/>
        <w:gridCol w:w="29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244" w:line="222" w:lineRule="auto"/>
              <w:ind w:left="0" w:leftChars="0" w:firstLine="0" w:firstLineChars="0"/>
              <w:jc w:val="center"/>
              <w:textAlignment w:val="baseline"/>
              <w:rPr>
                <w:rFonts w:hint="eastAsia" w:ascii="仿宋" w:hAnsi="仿宋" w:eastAsia="仿宋" w:cs="仿宋"/>
                <w:b/>
                <w:bCs/>
                <w:snapToGrid w:val="0"/>
                <w:color w:val="000000"/>
                <w:kern w:val="0"/>
                <w:sz w:val="24"/>
                <w:szCs w:val="24"/>
                <w:lang w:eastAsia="en-US"/>
              </w:rPr>
            </w:pPr>
            <w:r>
              <w:rPr>
                <w:rFonts w:hint="eastAsia" w:ascii="仿宋" w:hAnsi="仿宋" w:eastAsia="仿宋" w:cs="仿宋"/>
                <w:b/>
                <w:bCs/>
                <w:snapToGrid w:val="0"/>
                <w:color w:val="000000"/>
                <w:spacing w:val="-12"/>
                <w:kern w:val="0"/>
                <w:sz w:val="24"/>
                <w:szCs w:val="24"/>
                <w:lang w:eastAsia="en-US"/>
              </w:rPr>
              <w:t>时间</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244" w:line="219" w:lineRule="auto"/>
              <w:ind w:left="0" w:leftChars="0" w:firstLine="0" w:firstLineChars="0"/>
              <w:jc w:val="center"/>
              <w:textAlignment w:val="baseline"/>
              <w:rPr>
                <w:rFonts w:hint="eastAsia" w:ascii="仿宋" w:hAnsi="仿宋" w:eastAsia="仿宋" w:cs="仿宋"/>
                <w:b/>
                <w:bCs/>
                <w:snapToGrid w:val="0"/>
                <w:color w:val="000000"/>
                <w:kern w:val="0"/>
                <w:sz w:val="24"/>
                <w:szCs w:val="24"/>
                <w:lang w:eastAsia="en-US"/>
              </w:rPr>
            </w:pPr>
            <w:r>
              <w:rPr>
                <w:rFonts w:hint="eastAsia" w:ascii="仿宋" w:hAnsi="仿宋" w:cs="仿宋"/>
                <w:b/>
                <w:bCs/>
                <w:snapToGrid w:val="0"/>
                <w:color w:val="000000"/>
                <w:spacing w:val="-3"/>
                <w:kern w:val="0"/>
                <w:sz w:val="24"/>
                <w:szCs w:val="24"/>
                <w:lang w:val="en-US" w:eastAsia="zh-CN"/>
              </w:rPr>
              <w:t>常住人口</w:t>
            </w:r>
            <w:r>
              <w:rPr>
                <w:rFonts w:hint="eastAsia" w:ascii="仿宋" w:hAnsi="仿宋" w:eastAsia="仿宋" w:cs="仿宋"/>
                <w:b/>
                <w:bCs/>
                <w:snapToGrid w:val="0"/>
                <w:color w:val="000000"/>
                <w:spacing w:val="-3"/>
                <w:kern w:val="0"/>
                <w:sz w:val="24"/>
                <w:szCs w:val="24"/>
                <w:lang w:eastAsia="en-US"/>
              </w:rPr>
              <w:t>（万</w:t>
            </w:r>
            <w:r>
              <w:rPr>
                <w:rFonts w:hint="eastAsia" w:ascii="仿宋" w:hAnsi="仿宋" w:cs="仿宋"/>
                <w:b/>
                <w:bCs/>
                <w:snapToGrid w:val="0"/>
                <w:color w:val="000000"/>
                <w:spacing w:val="-3"/>
                <w:kern w:val="0"/>
                <w:sz w:val="24"/>
                <w:szCs w:val="24"/>
                <w:lang w:val="en-US" w:eastAsia="zh-CN"/>
              </w:rPr>
              <w:t>人</w:t>
            </w:r>
            <w:r>
              <w:rPr>
                <w:rFonts w:hint="eastAsia" w:ascii="仿宋" w:hAnsi="仿宋" w:eastAsia="仿宋" w:cs="仿宋"/>
                <w:b/>
                <w:bCs/>
                <w:snapToGrid w:val="0"/>
                <w:color w:val="000000"/>
                <w:spacing w:val="-3"/>
                <w:kern w:val="0"/>
                <w:sz w:val="24"/>
                <w:szCs w:val="24"/>
                <w:lang w:eastAsia="en-US"/>
              </w:rPr>
              <w:t>）</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237" w:line="239" w:lineRule="auto"/>
              <w:ind w:left="0" w:leftChars="0" w:firstLine="0" w:firstLineChars="0"/>
              <w:jc w:val="center"/>
              <w:textAlignment w:val="baseline"/>
              <w:rPr>
                <w:rFonts w:hint="default" w:ascii="仿宋" w:hAnsi="仿宋" w:eastAsia="仿宋" w:cs="仿宋"/>
                <w:b/>
                <w:bCs/>
                <w:snapToGrid w:val="0"/>
                <w:color w:val="000000"/>
                <w:kern w:val="0"/>
                <w:sz w:val="24"/>
                <w:szCs w:val="24"/>
                <w:lang w:val="en-US" w:eastAsia="zh-CN"/>
              </w:rPr>
            </w:pPr>
            <w:r>
              <w:rPr>
                <w:rFonts w:hint="eastAsia" w:ascii="仿宋" w:hAnsi="仿宋" w:cs="仿宋"/>
                <w:b/>
                <w:bCs/>
                <w:snapToGrid w:val="0"/>
                <w:color w:val="000000"/>
                <w:spacing w:val="-3"/>
                <w:kern w:val="0"/>
                <w:sz w:val="24"/>
                <w:szCs w:val="24"/>
                <w:lang w:val="en-US" w:eastAsia="zh-CN"/>
              </w:rPr>
              <w:t>平均每户人口（人）</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237" w:line="239" w:lineRule="auto"/>
              <w:ind w:left="0" w:leftChars="0" w:firstLine="0" w:firstLineChars="0"/>
              <w:jc w:val="center"/>
              <w:textAlignment w:val="baseline"/>
              <w:rPr>
                <w:rFonts w:hint="eastAsia" w:ascii="仿宋" w:hAnsi="仿宋" w:eastAsia="仿宋" w:cs="仿宋"/>
                <w:b/>
                <w:bCs/>
                <w:snapToGrid w:val="0"/>
                <w:color w:val="000000"/>
                <w:spacing w:val="-3"/>
                <w:kern w:val="0"/>
                <w:sz w:val="24"/>
                <w:szCs w:val="24"/>
                <w:lang w:eastAsia="en-US"/>
              </w:rPr>
            </w:pPr>
            <w:r>
              <w:rPr>
                <w:rFonts w:hint="eastAsia" w:ascii="仿宋" w:hAnsi="仿宋" w:eastAsia="仿宋" w:cs="仿宋"/>
                <w:b/>
                <w:bCs/>
                <w:snapToGrid w:val="0"/>
                <w:color w:val="000000"/>
                <w:spacing w:val="-3"/>
                <w:kern w:val="0"/>
                <w:sz w:val="24"/>
                <w:szCs w:val="24"/>
                <w:lang w:eastAsia="en-US"/>
              </w:rPr>
              <w:t>装修垃圾产生量（万</w:t>
            </w:r>
            <w:r>
              <w:rPr>
                <w:rFonts w:hint="eastAsia" w:ascii="仿宋" w:hAnsi="仿宋" w:eastAsia="仿宋" w:cs="仿宋"/>
                <w:b/>
                <w:bCs/>
                <w:snapToGrid w:val="0"/>
                <w:color w:val="000000"/>
                <w:spacing w:val="-51"/>
                <w:kern w:val="0"/>
                <w:sz w:val="24"/>
                <w:szCs w:val="24"/>
                <w:lang w:eastAsia="en-US"/>
              </w:rPr>
              <w:t xml:space="preserve"> </w:t>
            </w:r>
            <w:r>
              <w:rPr>
                <w:rFonts w:hint="eastAsia" w:ascii="仿宋" w:hAnsi="仿宋" w:cs="仿宋"/>
                <w:b/>
                <w:bCs/>
                <w:snapToGrid w:val="0"/>
                <w:color w:val="000000"/>
                <w:spacing w:val="-3"/>
                <w:kern w:val="0"/>
                <w:sz w:val="24"/>
                <w:szCs w:val="24"/>
                <w:lang w:val="en-US" w:eastAsia="zh-CN"/>
              </w:rPr>
              <w:t>吨</w:t>
            </w:r>
            <w:r>
              <w:rPr>
                <w:rFonts w:hint="eastAsia" w:ascii="仿宋" w:hAnsi="仿宋" w:eastAsia="仿宋" w:cs="仿宋"/>
                <w:b/>
                <w:bCs/>
                <w:snapToGrid w:val="0"/>
                <w:color w:val="000000"/>
                <w:spacing w:val="-3"/>
                <w:kern w:val="0"/>
                <w:sz w:val="24"/>
                <w:szCs w:val="24"/>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2" w:line="177"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2"/>
                <w:kern w:val="0"/>
                <w:position w:val="2"/>
                <w:sz w:val="24"/>
                <w:szCs w:val="24"/>
                <w:lang w:eastAsia="en-US"/>
              </w:rPr>
              <w:t>2023</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1"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67.02</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122" w:line="178"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2.85</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122"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1" w:line="181"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5"/>
                <w:kern w:val="0"/>
                <w:position w:val="2"/>
                <w:sz w:val="24"/>
                <w:szCs w:val="24"/>
                <w:lang w:eastAsia="en-US"/>
              </w:rPr>
              <w:t>2024</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0"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66.94</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120"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2.91</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120" w:line="188" w:lineRule="auto"/>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2" w:line="177"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3"/>
                <w:kern w:val="0"/>
                <w:position w:val="2"/>
                <w:sz w:val="24"/>
                <w:szCs w:val="24"/>
                <w:lang w:eastAsia="en-US"/>
              </w:rPr>
              <w:t>2025</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1"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66.53</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122" w:line="184"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3.01</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122" w:line="184"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11.06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2" w:line="187" w:lineRule="auto"/>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5"/>
                <w:kern w:val="0"/>
                <w:sz w:val="24"/>
                <w:szCs w:val="24"/>
                <w:lang w:eastAsia="en-US"/>
              </w:rPr>
              <w:t>2026</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0"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66.12</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122" w:line="182"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3.1</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122" w:line="182"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10.64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3" w:line="184"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3"/>
                <w:kern w:val="0"/>
                <w:position w:val="2"/>
                <w:sz w:val="24"/>
                <w:szCs w:val="24"/>
                <w:lang w:eastAsia="en-US"/>
              </w:rPr>
              <w:t>2027</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1"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65.71</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123"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3.1</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123" w:line="188" w:lineRule="auto"/>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10.60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7" w:line="187" w:lineRule="auto"/>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5"/>
                <w:kern w:val="0"/>
                <w:sz w:val="24"/>
                <w:szCs w:val="24"/>
                <w:lang w:eastAsia="en-US"/>
              </w:rPr>
              <w:t>2028</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2" w:line="178"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65.31</w:t>
            </w:r>
          </w:p>
        </w:tc>
        <w:tc>
          <w:tcPr>
            <w:tcW w:w="1328" w:type="pct"/>
            <w:tcBorders>
              <w:left w:val="single" w:color="000000" w:sz="8" w:space="0"/>
              <w:bottom w:val="single" w:color="000000" w:sz="6" w:space="0"/>
            </w:tcBorders>
            <w:vAlign w:val="center"/>
          </w:tcPr>
          <w:p>
            <w:pPr>
              <w:widowControl/>
              <w:kinsoku w:val="0"/>
              <w:autoSpaceDE w:val="0"/>
              <w:autoSpaceDN w:val="0"/>
              <w:adjustRightInd w:val="0"/>
              <w:snapToGrid w:val="0"/>
              <w:spacing w:before="126" w:line="185"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3.1</w:t>
            </w:r>
          </w:p>
        </w:tc>
        <w:tc>
          <w:tcPr>
            <w:tcW w:w="1717" w:type="pct"/>
            <w:tcBorders>
              <w:left w:val="single" w:color="000000" w:sz="8" w:space="0"/>
              <w:bottom w:val="single" w:color="000000" w:sz="6" w:space="0"/>
            </w:tcBorders>
            <w:vAlign w:val="center"/>
          </w:tcPr>
          <w:p>
            <w:pPr>
              <w:widowControl/>
              <w:kinsoku w:val="0"/>
              <w:autoSpaceDE w:val="0"/>
              <w:autoSpaceDN w:val="0"/>
              <w:adjustRightInd w:val="0"/>
              <w:snapToGrid w:val="0"/>
              <w:spacing w:before="126" w:line="185"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10.53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760" w:type="pct"/>
            <w:tcBorders>
              <w:left w:val="single" w:color="000000" w:sz="6" w:space="0"/>
              <w:right w:val="single" w:color="000000" w:sz="8" w:space="0"/>
            </w:tcBorders>
            <w:vAlign w:val="center"/>
          </w:tcPr>
          <w:p>
            <w:pPr>
              <w:widowControl/>
              <w:kinsoku w:val="0"/>
              <w:autoSpaceDE w:val="0"/>
              <w:autoSpaceDN w:val="0"/>
              <w:adjustRightInd w:val="0"/>
              <w:snapToGrid w:val="0"/>
              <w:spacing w:before="125" w:line="179"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5"/>
                <w:kern w:val="0"/>
                <w:position w:val="2"/>
                <w:sz w:val="24"/>
                <w:szCs w:val="24"/>
                <w:lang w:eastAsia="en-US"/>
              </w:rPr>
              <w:t>2029</w:t>
            </w:r>
          </w:p>
        </w:tc>
        <w:tc>
          <w:tcPr>
            <w:tcW w:w="1194" w:type="pct"/>
            <w:tcBorders>
              <w:left w:val="single" w:color="000000" w:sz="8" w:space="0"/>
              <w:right w:val="single" w:color="000000" w:sz="8" w:space="0"/>
            </w:tcBorders>
            <w:vAlign w:val="center"/>
          </w:tcPr>
          <w:p>
            <w:pPr>
              <w:widowControl/>
              <w:kinsoku w:val="0"/>
              <w:autoSpaceDE w:val="0"/>
              <w:autoSpaceDN w:val="0"/>
              <w:adjustRightInd w:val="0"/>
              <w:snapToGrid w:val="0"/>
              <w:spacing w:before="123" w:line="182"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64.91</w:t>
            </w:r>
          </w:p>
        </w:tc>
        <w:tc>
          <w:tcPr>
            <w:tcW w:w="1328" w:type="pct"/>
            <w:tcBorders>
              <w:left w:val="single" w:color="000000" w:sz="8" w:space="0"/>
            </w:tcBorders>
            <w:vAlign w:val="center"/>
          </w:tcPr>
          <w:p>
            <w:pPr>
              <w:widowControl/>
              <w:kinsoku w:val="0"/>
              <w:autoSpaceDE w:val="0"/>
              <w:autoSpaceDN w:val="0"/>
              <w:adjustRightInd w:val="0"/>
              <w:snapToGrid w:val="0"/>
              <w:spacing w:before="125" w:line="179"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3.1</w:t>
            </w:r>
          </w:p>
        </w:tc>
        <w:tc>
          <w:tcPr>
            <w:tcW w:w="1717" w:type="pct"/>
            <w:tcBorders>
              <w:left w:val="single" w:color="000000" w:sz="8" w:space="0"/>
            </w:tcBorders>
            <w:vAlign w:val="center"/>
          </w:tcPr>
          <w:p>
            <w:pPr>
              <w:widowControl/>
              <w:kinsoku w:val="0"/>
              <w:autoSpaceDE w:val="0"/>
              <w:autoSpaceDN w:val="0"/>
              <w:adjustRightInd w:val="0"/>
              <w:snapToGrid w:val="0"/>
              <w:spacing w:before="125" w:line="179"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10.45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760" w:type="pct"/>
            <w:vAlign w:val="center"/>
          </w:tcPr>
          <w:p>
            <w:pPr>
              <w:widowControl/>
              <w:kinsoku w:val="0"/>
              <w:autoSpaceDE w:val="0"/>
              <w:autoSpaceDN w:val="0"/>
              <w:adjustRightInd w:val="0"/>
              <w:snapToGrid w:val="0"/>
              <w:spacing w:before="136"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eastAsia="en-US"/>
              </w:rPr>
            </w:pPr>
            <w:r>
              <w:rPr>
                <w:rFonts w:hint="eastAsia" w:ascii="仿宋" w:hAnsi="仿宋" w:eastAsia="仿宋" w:cs="仿宋"/>
                <w:b w:val="0"/>
                <w:bCs w:val="0"/>
                <w:snapToGrid w:val="0"/>
                <w:color w:val="000000"/>
                <w:spacing w:val="-3"/>
                <w:kern w:val="0"/>
                <w:position w:val="2"/>
                <w:sz w:val="24"/>
                <w:szCs w:val="24"/>
                <w:lang w:eastAsia="en-US"/>
              </w:rPr>
              <w:t>2030</w:t>
            </w:r>
          </w:p>
        </w:tc>
        <w:tc>
          <w:tcPr>
            <w:tcW w:w="1194" w:type="pct"/>
            <w:vAlign w:val="center"/>
          </w:tcPr>
          <w:p>
            <w:pPr>
              <w:widowControl/>
              <w:kinsoku w:val="0"/>
              <w:autoSpaceDE w:val="0"/>
              <w:autoSpaceDN w:val="0"/>
              <w:adjustRightInd w:val="0"/>
              <w:snapToGrid w:val="0"/>
              <w:spacing w:before="126" w:line="179"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64.51</w:t>
            </w:r>
          </w:p>
        </w:tc>
        <w:tc>
          <w:tcPr>
            <w:tcW w:w="1328" w:type="pct"/>
            <w:vAlign w:val="center"/>
          </w:tcPr>
          <w:p>
            <w:pPr>
              <w:widowControl/>
              <w:kinsoku w:val="0"/>
              <w:autoSpaceDE w:val="0"/>
              <w:autoSpaceDN w:val="0"/>
              <w:adjustRightInd w:val="0"/>
              <w:snapToGrid w:val="0"/>
              <w:spacing w:before="136" w:line="185"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rPr>
            </w:pPr>
            <w:r>
              <w:rPr>
                <w:rFonts w:hint="eastAsia" w:ascii="仿宋" w:hAnsi="仿宋" w:cs="仿宋"/>
                <w:b w:val="0"/>
                <w:bCs w:val="0"/>
                <w:snapToGrid w:val="0"/>
                <w:color w:val="000000"/>
                <w:kern w:val="0"/>
                <w:sz w:val="24"/>
                <w:szCs w:val="24"/>
                <w:lang w:val="en-US" w:eastAsia="zh-CN"/>
              </w:rPr>
              <w:t>3.1</w:t>
            </w:r>
          </w:p>
        </w:tc>
        <w:tc>
          <w:tcPr>
            <w:tcW w:w="1717" w:type="pct"/>
            <w:vAlign w:val="center"/>
          </w:tcPr>
          <w:p>
            <w:pPr>
              <w:widowControl/>
              <w:kinsoku w:val="0"/>
              <w:autoSpaceDE w:val="0"/>
              <w:autoSpaceDN w:val="0"/>
              <w:adjustRightInd w:val="0"/>
              <w:snapToGrid w:val="0"/>
              <w:spacing w:before="136" w:line="185"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10.41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760" w:type="pct"/>
            <w:vAlign w:val="center"/>
          </w:tcPr>
          <w:p>
            <w:pPr>
              <w:widowControl/>
              <w:kinsoku w:val="0"/>
              <w:autoSpaceDE w:val="0"/>
              <w:autoSpaceDN w:val="0"/>
              <w:adjustRightInd w:val="0"/>
              <w:snapToGrid w:val="0"/>
              <w:spacing w:before="120"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en-US" w:bidi="ar-SA"/>
              </w:rPr>
            </w:pPr>
            <w:r>
              <w:rPr>
                <w:rFonts w:hint="eastAsia" w:ascii="仿宋" w:hAnsi="仿宋" w:eastAsia="仿宋" w:cs="仿宋"/>
                <w:b w:val="0"/>
                <w:bCs w:val="0"/>
                <w:snapToGrid w:val="0"/>
                <w:color w:val="000000"/>
                <w:spacing w:val="5"/>
                <w:kern w:val="0"/>
                <w:position w:val="2"/>
                <w:sz w:val="24"/>
                <w:szCs w:val="24"/>
                <w:lang w:eastAsia="en-US"/>
              </w:rPr>
              <w:t>2031</w:t>
            </w:r>
          </w:p>
        </w:tc>
        <w:tc>
          <w:tcPr>
            <w:tcW w:w="1194" w:type="pct"/>
            <w:vAlign w:val="center"/>
          </w:tcPr>
          <w:p>
            <w:pPr>
              <w:widowControl/>
              <w:kinsoku w:val="0"/>
              <w:autoSpaceDE w:val="0"/>
              <w:autoSpaceDN w:val="0"/>
              <w:adjustRightInd w:val="0"/>
              <w:snapToGrid w:val="0"/>
              <w:spacing w:before="120" w:line="179"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64.11</w:t>
            </w:r>
          </w:p>
        </w:tc>
        <w:tc>
          <w:tcPr>
            <w:tcW w:w="1328" w:type="pct"/>
            <w:vAlign w:val="center"/>
          </w:tcPr>
          <w:p>
            <w:pPr>
              <w:widowControl/>
              <w:kinsoku w:val="0"/>
              <w:autoSpaceDE w:val="0"/>
              <w:autoSpaceDN w:val="0"/>
              <w:adjustRightInd w:val="0"/>
              <w:snapToGrid w:val="0"/>
              <w:spacing w:before="120" w:line="184"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3.2</w:t>
            </w:r>
          </w:p>
        </w:tc>
        <w:tc>
          <w:tcPr>
            <w:tcW w:w="1717" w:type="pct"/>
            <w:vAlign w:val="center"/>
          </w:tcPr>
          <w:p>
            <w:pPr>
              <w:widowControl/>
              <w:kinsoku w:val="0"/>
              <w:autoSpaceDE w:val="0"/>
              <w:autoSpaceDN w:val="0"/>
              <w:adjustRightInd w:val="0"/>
              <w:snapToGrid w:val="0"/>
              <w:spacing w:before="120" w:line="184"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10.02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760" w:type="pct"/>
            <w:vAlign w:val="center"/>
          </w:tcPr>
          <w:p>
            <w:pPr>
              <w:widowControl/>
              <w:kinsoku w:val="0"/>
              <w:autoSpaceDE w:val="0"/>
              <w:autoSpaceDN w:val="0"/>
              <w:adjustRightInd w:val="0"/>
              <w:snapToGrid w:val="0"/>
              <w:spacing w:before="122" w:line="177"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en-US" w:bidi="ar-SA"/>
              </w:rPr>
            </w:pPr>
            <w:r>
              <w:rPr>
                <w:rFonts w:hint="eastAsia" w:ascii="仿宋" w:hAnsi="仿宋" w:eastAsia="仿宋" w:cs="仿宋"/>
                <w:b w:val="0"/>
                <w:bCs w:val="0"/>
                <w:snapToGrid w:val="0"/>
                <w:color w:val="000000"/>
                <w:spacing w:val="-2"/>
                <w:kern w:val="0"/>
                <w:position w:val="2"/>
                <w:sz w:val="24"/>
                <w:szCs w:val="24"/>
                <w:lang w:eastAsia="en-US"/>
              </w:rPr>
              <w:t>2032</w:t>
            </w:r>
          </w:p>
        </w:tc>
        <w:tc>
          <w:tcPr>
            <w:tcW w:w="1194" w:type="pct"/>
            <w:vAlign w:val="center"/>
          </w:tcPr>
          <w:p>
            <w:pPr>
              <w:widowControl/>
              <w:kinsoku w:val="0"/>
              <w:autoSpaceDE w:val="0"/>
              <w:autoSpaceDN w:val="0"/>
              <w:adjustRightInd w:val="0"/>
              <w:snapToGrid w:val="0"/>
              <w:spacing w:before="121"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63.72</w:t>
            </w:r>
          </w:p>
        </w:tc>
        <w:tc>
          <w:tcPr>
            <w:tcW w:w="1328" w:type="pct"/>
            <w:vAlign w:val="center"/>
          </w:tcPr>
          <w:p>
            <w:pPr>
              <w:widowControl/>
              <w:kinsoku w:val="0"/>
              <w:autoSpaceDE w:val="0"/>
              <w:autoSpaceDN w:val="0"/>
              <w:adjustRightInd w:val="0"/>
              <w:snapToGrid w:val="0"/>
              <w:spacing w:before="122" w:line="178"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3.2</w:t>
            </w:r>
          </w:p>
        </w:tc>
        <w:tc>
          <w:tcPr>
            <w:tcW w:w="1717" w:type="pct"/>
            <w:vAlign w:val="center"/>
          </w:tcPr>
          <w:p>
            <w:pPr>
              <w:widowControl/>
              <w:kinsoku w:val="0"/>
              <w:autoSpaceDE w:val="0"/>
              <w:autoSpaceDN w:val="0"/>
              <w:adjustRightInd w:val="0"/>
              <w:snapToGrid w:val="0"/>
              <w:spacing w:before="122"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9.96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760" w:type="pct"/>
            <w:vAlign w:val="center"/>
          </w:tcPr>
          <w:p>
            <w:pPr>
              <w:widowControl/>
              <w:kinsoku w:val="0"/>
              <w:autoSpaceDE w:val="0"/>
              <w:autoSpaceDN w:val="0"/>
              <w:adjustRightInd w:val="0"/>
              <w:snapToGrid w:val="0"/>
              <w:spacing w:before="123" w:line="177"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en-US" w:bidi="ar-SA"/>
              </w:rPr>
            </w:pPr>
            <w:r>
              <w:rPr>
                <w:rFonts w:hint="eastAsia" w:ascii="仿宋" w:hAnsi="仿宋" w:eastAsia="仿宋" w:cs="仿宋"/>
                <w:b w:val="0"/>
                <w:bCs w:val="0"/>
                <w:snapToGrid w:val="0"/>
                <w:color w:val="000000"/>
                <w:kern w:val="0"/>
                <w:position w:val="2"/>
                <w:sz w:val="24"/>
                <w:szCs w:val="24"/>
                <w:lang w:eastAsia="en-US"/>
              </w:rPr>
              <w:t>2033</w:t>
            </w:r>
          </w:p>
        </w:tc>
        <w:tc>
          <w:tcPr>
            <w:tcW w:w="1194" w:type="pct"/>
            <w:vAlign w:val="center"/>
          </w:tcPr>
          <w:p>
            <w:pPr>
              <w:widowControl/>
              <w:kinsoku w:val="0"/>
              <w:autoSpaceDE w:val="0"/>
              <w:autoSpaceDN w:val="0"/>
              <w:adjustRightInd w:val="0"/>
              <w:snapToGrid w:val="0"/>
              <w:spacing w:before="122"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63.33</w:t>
            </w:r>
          </w:p>
        </w:tc>
        <w:tc>
          <w:tcPr>
            <w:tcW w:w="1328" w:type="pct"/>
            <w:vAlign w:val="center"/>
          </w:tcPr>
          <w:p>
            <w:pPr>
              <w:widowControl/>
              <w:kinsoku w:val="0"/>
              <w:autoSpaceDE w:val="0"/>
              <w:autoSpaceDN w:val="0"/>
              <w:adjustRightInd w:val="0"/>
              <w:snapToGrid w:val="0"/>
              <w:spacing w:before="123" w:line="184"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3.2</w:t>
            </w:r>
          </w:p>
        </w:tc>
        <w:tc>
          <w:tcPr>
            <w:tcW w:w="1717" w:type="pct"/>
            <w:vAlign w:val="center"/>
          </w:tcPr>
          <w:p>
            <w:pPr>
              <w:widowControl/>
              <w:kinsoku w:val="0"/>
              <w:autoSpaceDE w:val="0"/>
              <w:autoSpaceDN w:val="0"/>
              <w:adjustRightInd w:val="0"/>
              <w:snapToGrid w:val="0"/>
              <w:spacing w:before="123" w:line="184"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9.90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760" w:type="pct"/>
            <w:vAlign w:val="center"/>
          </w:tcPr>
          <w:p>
            <w:pPr>
              <w:widowControl/>
              <w:kinsoku w:val="0"/>
              <w:autoSpaceDE w:val="0"/>
              <w:autoSpaceDN w:val="0"/>
              <w:adjustRightInd w:val="0"/>
              <w:snapToGrid w:val="0"/>
              <w:spacing w:before="126"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en-US" w:bidi="ar-SA"/>
              </w:rPr>
            </w:pPr>
            <w:r>
              <w:rPr>
                <w:rFonts w:hint="eastAsia" w:ascii="仿宋" w:hAnsi="仿宋" w:eastAsia="仿宋" w:cs="仿宋"/>
                <w:b w:val="0"/>
                <w:bCs w:val="0"/>
                <w:snapToGrid w:val="0"/>
                <w:color w:val="000000"/>
                <w:spacing w:val="-3"/>
                <w:kern w:val="0"/>
                <w:position w:val="2"/>
                <w:sz w:val="24"/>
                <w:szCs w:val="24"/>
                <w:lang w:eastAsia="en-US"/>
              </w:rPr>
              <w:t>2034</w:t>
            </w:r>
          </w:p>
        </w:tc>
        <w:tc>
          <w:tcPr>
            <w:tcW w:w="1194" w:type="pct"/>
            <w:vAlign w:val="center"/>
          </w:tcPr>
          <w:p>
            <w:pPr>
              <w:widowControl/>
              <w:kinsoku w:val="0"/>
              <w:autoSpaceDE w:val="0"/>
              <w:autoSpaceDN w:val="0"/>
              <w:adjustRightInd w:val="0"/>
              <w:snapToGrid w:val="0"/>
              <w:spacing w:before="126" w:line="188" w:lineRule="auto"/>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62.94</w:t>
            </w:r>
          </w:p>
        </w:tc>
        <w:tc>
          <w:tcPr>
            <w:tcW w:w="1328" w:type="pct"/>
            <w:vAlign w:val="center"/>
          </w:tcPr>
          <w:p>
            <w:pPr>
              <w:widowControl/>
              <w:kinsoku w:val="0"/>
              <w:autoSpaceDE w:val="0"/>
              <w:autoSpaceDN w:val="0"/>
              <w:adjustRightInd w:val="0"/>
              <w:snapToGrid w:val="0"/>
              <w:spacing w:before="126" w:line="178"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3.2</w:t>
            </w:r>
          </w:p>
        </w:tc>
        <w:tc>
          <w:tcPr>
            <w:tcW w:w="1717" w:type="pct"/>
            <w:vAlign w:val="center"/>
          </w:tcPr>
          <w:p>
            <w:pPr>
              <w:widowControl/>
              <w:kinsoku w:val="0"/>
              <w:autoSpaceDE w:val="0"/>
              <w:autoSpaceDN w:val="0"/>
              <w:adjustRightInd w:val="0"/>
              <w:snapToGrid w:val="0"/>
              <w:spacing w:before="126"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9.83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760" w:type="pct"/>
            <w:vAlign w:val="center"/>
          </w:tcPr>
          <w:p>
            <w:pPr>
              <w:widowControl/>
              <w:kinsoku w:val="0"/>
              <w:autoSpaceDE w:val="0"/>
              <w:autoSpaceDN w:val="0"/>
              <w:adjustRightInd w:val="0"/>
              <w:snapToGrid w:val="0"/>
              <w:spacing w:before="135"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en-US" w:bidi="ar-SA"/>
              </w:rPr>
            </w:pPr>
            <w:r>
              <w:rPr>
                <w:rFonts w:hint="eastAsia" w:ascii="仿宋" w:hAnsi="仿宋" w:eastAsia="仿宋" w:cs="仿宋"/>
                <w:b w:val="0"/>
                <w:bCs w:val="0"/>
                <w:snapToGrid w:val="0"/>
                <w:color w:val="000000"/>
                <w:spacing w:val="-1"/>
                <w:kern w:val="0"/>
                <w:position w:val="2"/>
                <w:sz w:val="24"/>
                <w:szCs w:val="24"/>
                <w:lang w:eastAsia="en-US"/>
              </w:rPr>
              <w:t>2035</w:t>
            </w:r>
          </w:p>
        </w:tc>
        <w:tc>
          <w:tcPr>
            <w:tcW w:w="1194" w:type="pct"/>
            <w:vAlign w:val="center"/>
          </w:tcPr>
          <w:p>
            <w:pPr>
              <w:widowControl/>
              <w:kinsoku w:val="0"/>
              <w:autoSpaceDE w:val="0"/>
              <w:autoSpaceDN w:val="0"/>
              <w:adjustRightInd w:val="0"/>
              <w:snapToGrid w:val="0"/>
              <w:spacing w:before="135" w:line="178"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62.55</w:t>
            </w:r>
          </w:p>
        </w:tc>
        <w:tc>
          <w:tcPr>
            <w:tcW w:w="1328" w:type="pct"/>
            <w:vAlign w:val="center"/>
          </w:tcPr>
          <w:p>
            <w:pPr>
              <w:widowControl/>
              <w:kinsoku w:val="0"/>
              <w:autoSpaceDE w:val="0"/>
              <w:autoSpaceDN w:val="0"/>
              <w:adjustRightInd w:val="0"/>
              <w:snapToGrid w:val="0"/>
              <w:spacing w:before="135" w:line="178" w:lineRule="exact"/>
              <w:ind w:left="0" w:leftChars="0" w:firstLine="0" w:firstLineChars="0"/>
              <w:jc w:val="center"/>
              <w:textAlignment w:val="baseline"/>
              <w:rPr>
                <w:rFonts w:hint="default" w:ascii="仿宋" w:hAnsi="仿宋" w:eastAsia="仿宋" w:cs="仿宋"/>
                <w:b w:val="0"/>
                <w:bCs w:val="0"/>
                <w:snapToGrid w:val="0"/>
                <w:color w:val="000000"/>
                <w:kern w:val="0"/>
                <w:sz w:val="24"/>
                <w:szCs w:val="24"/>
                <w:lang w:val="en-US" w:eastAsia="zh-CN" w:bidi="ar-SA"/>
              </w:rPr>
            </w:pPr>
            <w:r>
              <w:rPr>
                <w:rFonts w:hint="eastAsia" w:ascii="仿宋" w:hAnsi="仿宋" w:cs="仿宋"/>
                <w:b w:val="0"/>
                <w:bCs w:val="0"/>
                <w:snapToGrid w:val="0"/>
                <w:color w:val="000000"/>
                <w:kern w:val="0"/>
                <w:sz w:val="24"/>
                <w:szCs w:val="24"/>
                <w:lang w:val="en-US" w:eastAsia="zh-CN" w:bidi="ar-SA"/>
              </w:rPr>
              <w:t>3.2</w:t>
            </w:r>
          </w:p>
        </w:tc>
        <w:tc>
          <w:tcPr>
            <w:tcW w:w="1717" w:type="pct"/>
            <w:vAlign w:val="center"/>
          </w:tcPr>
          <w:p>
            <w:pPr>
              <w:widowControl/>
              <w:kinsoku w:val="0"/>
              <w:autoSpaceDE w:val="0"/>
              <w:autoSpaceDN w:val="0"/>
              <w:adjustRightInd w:val="0"/>
              <w:snapToGrid w:val="0"/>
              <w:spacing w:before="135" w:line="178" w:lineRule="exact"/>
              <w:ind w:left="0" w:leftChars="0" w:firstLine="0" w:firstLineChars="0"/>
              <w:jc w:val="center"/>
              <w:textAlignment w:val="baseline"/>
              <w:rPr>
                <w:rFonts w:hint="eastAsia" w:ascii="仿宋" w:hAnsi="仿宋" w:eastAsia="仿宋" w:cs="仿宋"/>
                <w:b w:val="0"/>
                <w:bCs w:val="0"/>
                <w:snapToGrid w:val="0"/>
                <w:color w:val="000000"/>
                <w:kern w:val="0"/>
                <w:sz w:val="24"/>
                <w:szCs w:val="24"/>
                <w:lang w:val="en-US" w:eastAsia="zh-CN"/>
              </w:rPr>
            </w:pPr>
            <w:r>
              <w:rPr>
                <w:rFonts w:hint="eastAsia" w:ascii="仿宋" w:hAnsi="仿宋" w:eastAsia="仿宋" w:cs="仿宋"/>
                <w:b w:val="0"/>
                <w:bCs w:val="0"/>
                <w:snapToGrid w:val="0"/>
                <w:color w:val="000000"/>
                <w:kern w:val="0"/>
                <w:sz w:val="24"/>
                <w:szCs w:val="24"/>
                <w:lang w:val="en-US" w:eastAsia="zh-CN"/>
              </w:rPr>
              <w:t>9.77</w:t>
            </w:r>
          </w:p>
        </w:tc>
      </w:tr>
    </w:tbl>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pPr>
        <w:pStyle w:val="4"/>
        <w:bidi w:val="0"/>
      </w:pPr>
      <w:r>
        <w:t>4、工程渣土、工程泥浆</w:t>
      </w:r>
    </w:p>
    <w:p>
      <w:pPr>
        <w:bidi w:val="0"/>
        <w:rPr>
          <w:lang w:eastAsia="en-US"/>
        </w:rPr>
      </w:pPr>
      <w:r>
        <w:rPr>
          <w:rFonts w:hint="eastAsia"/>
          <w:lang w:val="en-US" w:eastAsia="zh-CN"/>
        </w:rPr>
        <w:t>由于桃江县建筑</w:t>
      </w:r>
      <w:r>
        <w:t>工程泥浆</w:t>
      </w:r>
      <w:r>
        <w:rPr>
          <w:rFonts w:hint="eastAsia"/>
          <w:lang w:val="en-US" w:eastAsia="zh-CN"/>
        </w:rPr>
        <w:t>产生量较少，</w:t>
      </w:r>
      <w:r>
        <w:rPr>
          <w:lang w:eastAsia="en-US"/>
        </w:rPr>
        <w:t>一般采用</w:t>
      </w:r>
      <w:r>
        <w:rPr>
          <w:rFonts w:hint="eastAsia"/>
          <w:lang w:val="en-US" w:eastAsia="zh-CN"/>
        </w:rPr>
        <w:t>将</w:t>
      </w:r>
      <w:r>
        <w:rPr>
          <w:lang w:eastAsia="en-US"/>
        </w:rPr>
        <w:t>工程泥浆进行脱水固化后，在施工现场重新利用，因此本次将工程泥浆的产生量预测计入建筑渣土的预测量中，不单独对工程泥浆的产生量进行测算。</w:t>
      </w:r>
    </w:p>
    <w:p>
      <w:pPr>
        <w:bidi w:val="0"/>
        <w:rPr>
          <w:lang w:eastAsia="en-US"/>
        </w:rPr>
      </w:pPr>
      <w:r>
        <w:t>《建筑垃圾处理技术标准（CJJ/T134-2019）》中</w:t>
      </w:r>
      <w:r>
        <w:rPr>
          <w:lang w:eastAsia="en-US"/>
        </w:rPr>
        <w:t>工程渣土的产量是依据现场地形、设计资料及施工工艺等综合确定，</w:t>
      </w:r>
      <w:r>
        <w:rPr>
          <w:rFonts w:hint="eastAsia"/>
          <w:lang w:val="en-US" w:eastAsia="zh-CN"/>
        </w:rPr>
        <w:t>桃江</w:t>
      </w:r>
      <w:r>
        <w:rPr>
          <w:lang w:eastAsia="en-US"/>
        </w:rPr>
        <w:t>县未统计近几年渣土的产生量，参考国内其他城市数据，结合</w:t>
      </w:r>
      <w:r>
        <w:rPr>
          <w:rFonts w:hint="eastAsia"/>
          <w:lang w:val="en-US" w:eastAsia="zh-CN"/>
        </w:rPr>
        <w:t>桃江</w:t>
      </w:r>
      <w:r>
        <w:rPr>
          <w:lang w:eastAsia="en-US"/>
        </w:rPr>
        <w:t>县房屋建筑施工面积，综合确定每新增1万平方米产生约 0.2万吨的工程渣土计算指标，则：预测 2030年</w:t>
      </w:r>
      <w:bookmarkStart w:id="122" w:name="OLE_LINK20"/>
      <w:r>
        <w:rPr>
          <w:rFonts w:hint="eastAsia"/>
          <w:lang w:val="en-US" w:eastAsia="zh-CN"/>
        </w:rPr>
        <w:t>桃江</w:t>
      </w:r>
      <w:bookmarkEnd w:id="122"/>
      <w:r>
        <w:rPr>
          <w:lang w:eastAsia="en-US"/>
        </w:rPr>
        <w:t>县工程渣土年产生量约24.78万吨；预 测2035年</w:t>
      </w:r>
      <w:r>
        <w:rPr>
          <w:rFonts w:hint="eastAsia"/>
          <w:lang w:val="en-US" w:eastAsia="zh-CN"/>
        </w:rPr>
        <w:t>桃江</w:t>
      </w:r>
      <w:r>
        <w:rPr>
          <w:lang w:eastAsia="en-US"/>
        </w:rPr>
        <w:t>县工程渣土年产生量约31.63万吨。</w:t>
      </w:r>
    </w:p>
    <w:p>
      <w:pPr>
        <w:bidi w:val="0"/>
      </w:pPr>
      <w:r>
        <w:t>根据</w:t>
      </w:r>
      <w:r>
        <w:rPr>
          <w:rFonts w:hint="eastAsia"/>
          <w:lang w:val="en-US" w:eastAsia="zh-CN"/>
        </w:rPr>
        <w:t>桃江县2020年至2024年</w:t>
      </w:r>
      <w:r>
        <w:t>工程渣土的产生量，预测</w:t>
      </w:r>
      <w:r>
        <w:rPr>
          <w:rFonts w:hint="eastAsia"/>
          <w:lang w:val="en-US" w:eastAsia="zh-CN"/>
        </w:rPr>
        <w:t>桃江县</w:t>
      </w:r>
      <w:r>
        <w:t>2025年度渣土产生量为6</w:t>
      </w:r>
      <w:r>
        <w:rPr>
          <w:rFonts w:hint="eastAsia"/>
          <w:lang w:val="en-US" w:eastAsia="zh-CN"/>
        </w:rPr>
        <w:t>5</w:t>
      </w:r>
      <w:r>
        <w:t>.51万吨，2030年工程渣土产生量为</w:t>
      </w:r>
      <w:r>
        <w:rPr>
          <w:rFonts w:hint="eastAsia"/>
          <w:lang w:val="en-US" w:eastAsia="zh-CN"/>
        </w:rPr>
        <w:t>50.43</w:t>
      </w:r>
      <w:r>
        <w:t>万吨， 2035年建筑工程渣土产生量为</w:t>
      </w:r>
      <w:r>
        <w:rPr>
          <w:rFonts w:hint="eastAsia"/>
          <w:lang w:val="en-US" w:eastAsia="zh-CN"/>
        </w:rPr>
        <w:t>38.81</w:t>
      </w:r>
      <w:r>
        <w:t>万吨。</w:t>
      </w:r>
    </w:p>
    <w:p>
      <w:pPr>
        <w:bidi w:val="0"/>
        <w:ind w:left="0" w:leftChars="0" w:firstLine="0" w:firstLineChars="0"/>
        <w:jc w:val="both"/>
        <w:rPr>
          <w:b/>
          <w:bCs/>
          <w:lang w:eastAsia="en-US"/>
        </w:rPr>
      </w:pPr>
    </w:p>
    <w:p>
      <w:pPr>
        <w:bidi w:val="0"/>
        <w:ind w:left="0" w:leftChars="0" w:firstLine="0" w:firstLineChars="0"/>
        <w:jc w:val="center"/>
        <w:rPr>
          <w:b/>
          <w:bCs/>
          <w:lang w:eastAsia="en-US"/>
        </w:rPr>
      </w:pPr>
      <w:r>
        <w:rPr>
          <w:b/>
          <w:bCs/>
          <w:lang w:eastAsia="en-US"/>
        </w:rPr>
        <w:t>表4-</w:t>
      </w:r>
      <w:r>
        <w:rPr>
          <w:rFonts w:hint="eastAsia"/>
          <w:b/>
          <w:bCs/>
          <w:lang w:val="en-US" w:eastAsia="zh-CN"/>
        </w:rPr>
        <w:t>4</w:t>
      </w:r>
      <w:r>
        <w:rPr>
          <w:b/>
          <w:bCs/>
          <w:lang w:eastAsia="en-US"/>
        </w:rPr>
        <w:t xml:space="preserve">  </w:t>
      </w:r>
      <w:r>
        <w:rPr>
          <w:rFonts w:hint="eastAsia"/>
          <w:b/>
          <w:bCs/>
          <w:lang w:val="en-US" w:eastAsia="zh-CN"/>
        </w:rPr>
        <w:t>桃江</w:t>
      </w:r>
      <w:r>
        <w:rPr>
          <w:b/>
          <w:bCs/>
          <w:lang w:eastAsia="en-US"/>
        </w:rPr>
        <w:t>县 2025-2035 年工程渣土预测量</w:t>
      </w:r>
    </w:p>
    <w:tbl>
      <w:tblPr>
        <w:tblStyle w:val="25"/>
        <w:tblW w:w="787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9"/>
        <w:gridCol w:w="3495"/>
        <w:gridCol w:w="28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1529" w:type="dxa"/>
            <w:tcBorders>
              <w:left w:val="single" w:color="000000" w:sz="6" w:space="0"/>
              <w:right w:val="single" w:color="000000" w:sz="8" w:space="0"/>
            </w:tcBorders>
            <w:vAlign w:val="center"/>
          </w:tcPr>
          <w:p>
            <w:pPr>
              <w:widowControl/>
              <w:kinsoku w:val="0"/>
              <w:autoSpaceDE w:val="0"/>
              <w:autoSpaceDN w:val="0"/>
              <w:adjustRightInd w:val="0"/>
              <w:snapToGrid w:val="0"/>
              <w:spacing w:before="244" w:line="240" w:lineRule="auto"/>
              <w:ind w:left="0" w:leftChars="0" w:firstLine="0" w:firstLineChars="0"/>
              <w:jc w:val="center"/>
              <w:textAlignment w:val="baseline"/>
              <w:rPr>
                <w:rFonts w:hint="eastAsia" w:ascii="仿宋" w:hAnsi="仿宋" w:eastAsia="仿宋" w:cs="仿宋"/>
                <w:b/>
                <w:bCs/>
                <w:snapToGrid w:val="0"/>
                <w:color w:val="000000"/>
                <w:spacing w:val="-12"/>
                <w:kern w:val="0"/>
                <w:sz w:val="24"/>
                <w:szCs w:val="24"/>
                <w:lang w:eastAsia="en-US"/>
              </w:rPr>
            </w:pPr>
            <w:bookmarkStart w:id="123" w:name="OLE_LINK37"/>
            <w:r>
              <w:rPr>
                <w:rFonts w:hint="eastAsia" w:ascii="仿宋" w:hAnsi="仿宋" w:eastAsia="仿宋" w:cs="仿宋"/>
                <w:b/>
                <w:bCs/>
                <w:snapToGrid w:val="0"/>
                <w:color w:val="000000"/>
                <w:spacing w:val="-12"/>
                <w:kern w:val="0"/>
                <w:sz w:val="24"/>
                <w:szCs w:val="24"/>
                <w:lang w:eastAsia="en-US"/>
              </w:rPr>
              <w:t>时间</w:t>
            </w:r>
          </w:p>
        </w:tc>
        <w:tc>
          <w:tcPr>
            <w:tcW w:w="3495" w:type="dxa"/>
            <w:tcBorders>
              <w:left w:val="single" w:color="000000" w:sz="8" w:space="0"/>
              <w:right w:val="single" w:color="000000" w:sz="8" w:space="0"/>
            </w:tcBorders>
            <w:vAlign w:val="center"/>
          </w:tcPr>
          <w:p>
            <w:pPr>
              <w:widowControl/>
              <w:kinsoku w:val="0"/>
              <w:autoSpaceDE w:val="0"/>
              <w:autoSpaceDN w:val="0"/>
              <w:adjustRightInd w:val="0"/>
              <w:snapToGrid w:val="0"/>
              <w:spacing w:before="244" w:line="240" w:lineRule="auto"/>
              <w:ind w:left="0" w:leftChars="0" w:firstLine="0" w:firstLineChars="0"/>
              <w:jc w:val="center"/>
              <w:textAlignment w:val="baseline"/>
              <w:rPr>
                <w:rFonts w:hint="eastAsia" w:ascii="仿宋" w:hAnsi="仿宋" w:eastAsia="仿宋" w:cs="仿宋"/>
                <w:b/>
                <w:bCs/>
                <w:snapToGrid w:val="0"/>
                <w:color w:val="000000"/>
                <w:spacing w:val="-3"/>
                <w:kern w:val="0"/>
                <w:sz w:val="24"/>
                <w:szCs w:val="24"/>
                <w:lang w:eastAsia="en-US"/>
              </w:rPr>
            </w:pPr>
            <w:r>
              <w:rPr>
                <w:rFonts w:hint="eastAsia" w:ascii="仿宋" w:hAnsi="仿宋" w:eastAsia="仿宋" w:cs="仿宋"/>
                <w:b/>
                <w:bCs/>
                <w:snapToGrid w:val="0"/>
                <w:color w:val="000000"/>
                <w:spacing w:val="-3"/>
                <w:kern w:val="0"/>
                <w:sz w:val="24"/>
                <w:szCs w:val="24"/>
                <w:lang w:eastAsia="en-US"/>
              </w:rPr>
              <w:t>新增施工面积（万</w:t>
            </w:r>
            <w:r>
              <w:rPr>
                <w:rFonts w:hint="eastAsia" w:ascii="仿宋" w:hAnsi="仿宋" w:eastAsia="仿宋" w:cs="仿宋"/>
                <w:b/>
                <w:bCs/>
                <w:snapToGrid w:val="0"/>
                <w:color w:val="000000"/>
                <w:spacing w:val="-55"/>
                <w:kern w:val="0"/>
                <w:sz w:val="24"/>
                <w:szCs w:val="24"/>
                <w:lang w:eastAsia="en-US"/>
              </w:rPr>
              <w:t xml:space="preserve"> </w:t>
            </w:r>
            <w:r>
              <w:rPr>
                <w:rFonts w:hint="eastAsia" w:ascii="仿宋" w:hAnsi="仿宋" w:cs="仿宋"/>
                <w:b/>
                <w:bCs/>
                <w:snapToGrid w:val="0"/>
                <w:color w:val="000000"/>
                <w:spacing w:val="-3"/>
                <w:kern w:val="0"/>
                <w:sz w:val="24"/>
                <w:szCs w:val="24"/>
                <w:lang w:val="en-US" w:eastAsia="zh-CN"/>
              </w:rPr>
              <w:t>平方米</w:t>
            </w:r>
            <w:r>
              <w:rPr>
                <w:rFonts w:hint="eastAsia" w:ascii="仿宋" w:hAnsi="仿宋" w:eastAsia="仿宋" w:cs="仿宋"/>
                <w:b/>
                <w:bCs/>
                <w:snapToGrid w:val="0"/>
                <w:color w:val="000000"/>
                <w:spacing w:val="-3"/>
                <w:kern w:val="0"/>
                <w:sz w:val="24"/>
                <w:szCs w:val="24"/>
                <w:lang w:eastAsia="en-US"/>
              </w:rPr>
              <w:t>）</w:t>
            </w:r>
          </w:p>
        </w:tc>
        <w:tc>
          <w:tcPr>
            <w:tcW w:w="2850" w:type="dxa"/>
            <w:tcBorders>
              <w:left w:val="single" w:color="000000" w:sz="8" w:space="0"/>
              <w:bottom w:val="single" w:color="000000" w:sz="6" w:space="0"/>
            </w:tcBorders>
            <w:vAlign w:val="center"/>
          </w:tcPr>
          <w:p>
            <w:pPr>
              <w:widowControl/>
              <w:kinsoku w:val="0"/>
              <w:autoSpaceDE w:val="0"/>
              <w:autoSpaceDN w:val="0"/>
              <w:adjustRightInd w:val="0"/>
              <w:snapToGrid w:val="0"/>
              <w:spacing w:before="244" w:line="240" w:lineRule="auto"/>
              <w:ind w:left="0" w:leftChars="0" w:firstLine="0" w:firstLineChars="0"/>
              <w:jc w:val="center"/>
              <w:textAlignment w:val="baseline"/>
              <w:rPr>
                <w:rFonts w:hint="eastAsia" w:ascii="仿宋" w:hAnsi="仿宋" w:eastAsia="仿宋" w:cs="仿宋"/>
                <w:b/>
                <w:bCs/>
                <w:snapToGrid w:val="0"/>
                <w:color w:val="000000"/>
                <w:spacing w:val="-6"/>
                <w:kern w:val="0"/>
                <w:sz w:val="24"/>
                <w:szCs w:val="24"/>
                <w:lang w:eastAsia="en-US"/>
              </w:rPr>
            </w:pPr>
            <w:r>
              <w:rPr>
                <w:rFonts w:hint="eastAsia" w:ascii="仿宋" w:hAnsi="仿宋" w:eastAsia="仿宋" w:cs="仿宋"/>
                <w:b/>
                <w:bCs/>
                <w:snapToGrid w:val="0"/>
                <w:color w:val="000000"/>
                <w:spacing w:val="-6"/>
                <w:kern w:val="0"/>
                <w:sz w:val="24"/>
                <w:szCs w:val="24"/>
                <w:lang w:eastAsia="en-US"/>
              </w:rPr>
              <w:t>工程渣土（万</w:t>
            </w:r>
            <w:r>
              <w:rPr>
                <w:rFonts w:hint="eastAsia" w:ascii="仿宋" w:hAnsi="仿宋" w:eastAsia="仿宋" w:cs="仿宋"/>
                <w:b/>
                <w:bCs/>
                <w:snapToGrid w:val="0"/>
                <w:color w:val="000000"/>
                <w:spacing w:val="-39"/>
                <w:kern w:val="0"/>
                <w:sz w:val="24"/>
                <w:szCs w:val="24"/>
                <w:lang w:eastAsia="en-US"/>
              </w:rPr>
              <w:t xml:space="preserve"> </w:t>
            </w:r>
            <w:r>
              <w:rPr>
                <w:rFonts w:hint="eastAsia" w:ascii="仿宋" w:hAnsi="仿宋" w:cs="仿宋"/>
                <w:b/>
                <w:bCs/>
                <w:snapToGrid w:val="0"/>
                <w:color w:val="000000"/>
                <w:spacing w:val="-6"/>
                <w:kern w:val="0"/>
                <w:sz w:val="24"/>
                <w:szCs w:val="24"/>
                <w:lang w:val="en-US" w:eastAsia="zh-CN"/>
              </w:rPr>
              <w:t>吨</w:t>
            </w:r>
            <w:r>
              <w:rPr>
                <w:rFonts w:hint="eastAsia" w:ascii="仿宋" w:hAnsi="仿宋" w:eastAsia="仿宋" w:cs="仿宋"/>
                <w:b/>
                <w:bCs/>
                <w:snapToGrid w:val="0"/>
                <w:color w:val="000000"/>
                <w:spacing w:val="-6"/>
                <w:kern w:val="0"/>
                <w:sz w:val="24"/>
                <w:szCs w:val="24"/>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2023</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355.95</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71.19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2024</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345.16</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69.03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2025</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327.56</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65.51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2026</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310.85</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62.17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2027</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295</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2028</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279.95</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2029</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265.68</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53.13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2030</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252.13</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2031</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239.27</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47.85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2032</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227.06</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529"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2033</w:t>
            </w:r>
          </w:p>
        </w:tc>
        <w:tc>
          <w:tcPr>
            <w:tcW w:w="3495"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215.48</w:t>
            </w:r>
          </w:p>
        </w:tc>
        <w:tc>
          <w:tcPr>
            <w:tcW w:w="2850" w:type="dxa"/>
            <w:tcBorders>
              <w:left w:val="single" w:color="000000" w:sz="8" w:space="0"/>
              <w:bottom w:val="single" w:color="000000" w:sz="6"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529" w:type="dxa"/>
            <w:tcBorders>
              <w:left w:val="single" w:color="000000" w:sz="6" w:space="0"/>
              <w:right w:val="single" w:color="000000" w:sz="8" w:space="0"/>
            </w:tcBorders>
            <w:vAlign w:val="top"/>
          </w:tcPr>
          <w:p>
            <w:pPr>
              <w:bidi w:val="0"/>
              <w:rPr>
                <w:rFonts w:hint="eastAsia" w:ascii="仿宋" w:hAnsi="仿宋" w:eastAsia="仿宋" w:cs="仿宋"/>
                <w:sz w:val="24"/>
                <w:szCs w:val="24"/>
                <w:lang w:eastAsia="en-US"/>
              </w:rPr>
            </w:pPr>
            <w:r>
              <w:rPr>
                <w:rFonts w:hint="eastAsia" w:ascii="仿宋" w:hAnsi="仿宋" w:eastAsia="仿宋" w:cs="仿宋"/>
                <w:sz w:val="24"/>
                <w:szCs w:val="24"/>
                <w:lang w:eastAsia="en-US"/>
              </w:rPr>
              <w:t>2034</w:t>
            </w:r>
          </w:p>
        </w:tc>
        <w:tc>
          <w:tcPr>
            <w:tcW w:w="3495" w:type="dxa"/>
            <w:tcBorders>
              <w:left w:val="single" w:color="000000" w:sz="8" w:space="0"/>
              <w:right w:val="single" w:color="000000" w:sz="8" w:space="0"/>
            </w:tcBorders>
            <w:vAlign w:val="center"/>
          </w:tcPr>
          <w:p>
            <w:pPr>
              <w:bidi w:val="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204.49</w:t>
            </w:r>
          </w:p>
        </w:tc>
        <w:tc>
          <w:tcPr>
            <w:tcW w:w="2850" w:type="dxa"/>
            <w:tcBorders>
              <w:left w:val="single" w:color="000000" w:sz="8" w:space="0"/>
            </w:tcBorders>
            <w:vAlign w:val="top"/>
          </w:tcPr>
          <w:p>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1529" w:type="dxa"/>
            <w:vAlign w:val="top"/>
          </w:tcPr>
          <w:p>
            <w:pPr>
              <w:bidi w:val="0"/>
              <w:rPr>
                <w:rFonts w:hint="eastAsia" w:ascii="仿宋" w:hAnsi="仿宋" w:eastAsia="仿宋" w:cs="仿宋"/>
                <w:sz w:val="24"/>
                <w:szCs w:val="24"/>
                <w:lang w:eastAsia="en-US"/>
              </w:rPr>
            </w:pPr>
            <w:r>
              <w:rPr>
                <w:rFonts w:hint="eastAsia" w:ascii="仿宋" w:hAnsi="仿宋" w:eastAsia="仿宋" w:cs="仿宋"/>
                <w:sz w:val="24"/>
                <w:szCs w:val="24"/>
                <w:lang w:eastAsia="en-US"/>
              </w:rPr>
              <w:t>2035</w:t>
            </w:r>
          </w:p>
        </w:tc>
        <w:tc>
          <w:tcPr>
            <w:tcW w:w="3495" w:type="dxa"/>
            <w:vAlign w:val="center"/>
          </w:tcPr>
          <w:p>
            <w:pPr>
              <w:bidi w:val="0"/>
              <w:jc w:val="center"/>
              <w:rPr>
                <w:rFonts w:hint="eastAsia" w:ascii="仿宋" w:hAnsi="仿宋" w:eastAsia="仿宋" w:cs="仿宋"/>
                <w:sz w:val="24"/>
                <w:szCs w:val="24"/>
                <w:lang w:eastAsia="en-US"/>
              </w:rPr>
            </w:pPr>
            <w:r>
              <w:rPr>
                <w:rFonts w:hint="eastAsia" w:ascii="仿宋" w:hAnsi="仿宋" w:eastAsia="仿宋" w:cs="仿宋"/>
                <w:sz w:val="24"/>
                <w:szCs w:val="24"/>
                <w:lang w:val="en-US" w:eastAsia="zh-CN"/>
              </w:rPr>
              <w:t>194.07</w:t>
            </w:r>
          </w:p>
        </w:tc>
        <w:tc>
          <w:tcPr>
            <w:tcW w:w="2850" w:type="dxa"/>
            <w:vAlign w:val="top"/>
          </w:tcPr>
          <w:p>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38.81</w:t>
            </w:r>
          </w:p>
        </w:tc>
      </w:tr>
      <w:bookmarkEnd w:id="123"/>
    </w:tbl>
    <w:p>
      <w:pPr>
        <w:ind w:left="0" w:leftChars="0" w:firstLine="0" w:firstLineChars="0"/>
        <w:rPr>
          <w:rFonts w:hint="eastAsia" w:eastAsia="仿宋"/>
          <w:lang w:val="en-US" w:eastAsia="zh-CN"/>
        </w:rPr>
      </w:pPr>
    </w:p>
    <w:p>
      <w:pPr>
        <w:pStyle w:val="4"/>
        <w:bidi w:val="0"/>
      </w:pPr>
      <w:r>
        <w:t>5、合计</w:t>
      </w:r>
    </w:p>
    <w:p>
      <w:pPr>
        <w:bidi w:val="0"/>
        <w:rPr>
          <w:rFonts w:hint="eastAsia"/>
          <w:lang w:val="en-US" w:eastAsia="zh-CN"/>
        </w:rPr>
      </w:pPr>
      <w:r>
        <w:t>按此方法测算，</w:t>
      </w:r>
      <w:r>
        <w:rPr>
          <w:rFonts w:hint="eastAsia"/>
          <w:lang w:val="en-US" w:eastAsia="zh-CN"/>
        </w:rPr>
        <w:t>桃江县2025年至2035年建筑垃圾产生量预测如下。</w:t>
      </w:r>
    </w:p>
    <w:p>
      <w:pPr>
        <w:bidi w:val="0"/>
        <w:ind w:left="0" w:leftChars="0" w:firstLine="0" w:firstLineChars="0"/>
        <w:jc w:val="center"/>
        <w:rPr>
          <w:b/>
          <w:bCs/>
        </w:rPr>
      </w:pPr>
      <w:r>
        <w:rPr>
          <w:b/>
          <w:bCs/>
        </w:rPr>
        <w:t>表4-1</w:t>
      </w:r>
      <w:r>
        <w:rPr>
          <w:rFonts w:hint="eastAsia"/>
          <w:b/>
          <w:bCs/>
          <w:lang w:val="en-US" w:eastAsia="zh-CN"/>
        </w:rPr>
        <w:t>桃江县</w:t>
      </w:r>
      <w:r>
        <w:rPr>
          <w:b/>
          <w:bCs/>
        </w:rPr>
        <w:t>建筑垃圾产生量预测统计表</w:t>
      </w:r>
    </w:p>
    <w:p>
      <w:pPr>
        <w:spacing w:line="91" w:lineRule="exact"/>
      </w:pPr>
    </w:p>
    <w:tbl>
      <w:tblPr>
        <w:tblStyle w:val="25"/>
        <w:tblW w:w="50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8"/>
        <w:gridCol w:w="32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b/>
                <w:bCs/>
                <w:sz w:val="24"/>
                <w:szCs w:val="24"/>
                <w:lang w:eastAsia="en-US"/>
              </w:rPr>
            </w:pPr>
            <w:bookmarkStart w:id="124" w:name="OLE_LINK23"/>
            <w:r>
              <w:rPr>
                <w:rFonts w:hint="eastAsia" w:ascii="仿宋" w:hAnsi="仿宋" w:eastAsia="仿宋" w:cs="仿宋"/>
                <w:b/>
                <w:bCs/>
                <w:sz w:val="24"/>
                <w:szCs w:val="24"/>
                <w:lang w:eastAsia="en-US"/>
              </w:rPr>
              <w:t>时间</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b/>
                <w:bCs/>
                <w:sz w:val="24"/>
                <w:szCs w:val="24"/>
                <w:lang w:eastAsia="en-US"/>
              </w:rPr>
            </w:pPr>
            <w:r>
              <w:rPr>
                <w:rFonts w:hint="eastAsia" w:ascii="仿宋" w:hAnsi="仿宋" w:eastAsia="仿宋" w:cs="仿宋"/>
                <w:b/>
                <w:bCs/>
                <w:sz w:val="24"/>
                <w:szCs w:val="24"/>
                <w:lang w:val="en-US" w:eastAsia="zh-CN"/>
              </w:rPr>
              <w:t>建筑垃圾产生量（万</w:t>
            </w:r>
            <w:r>
              <w:rPr>
                <w:rFonts w:hint="eastAsia" w:ascii="仿宋" w:hAnsi="仿宋" w:cs="仿宋"/>
                <w:b/>
                <w:bCs/>
                <w:sz w:val="24"/>
                <w:szCs w:val="24"/>
                <w:lang w:val="en-US" w:eastAsia="zh-CN"/>
              </w:rPr>
              <w:t>吨</w:t>
            </w:r>
            <w:r>
              <w:rPr>
                <w:rFonts w:hint="eastAsia" w:ascii="仿宋" w:hAnsi="仿宋" w:eastAsia="仿宋" w:cs="仿宋"/>
                <w:b/>
                <w:bCs/>
                <w:sz w:val="24"/>
                <w:szCs w:val="24"/>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2025</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93.28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2026</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88.68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2027</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2028</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80.58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2029</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76.83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2030</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73.28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2031</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69.58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2032</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66.39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2033</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63.36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788" w:type="dxa"/>
            <w:tcBorders>
              <w:left w:val="single" w:color="000000" w:sz="6"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2034</w:t>
            </w:r>
          </w:p>
        </w:tc>
        <w:tc>
          <w:tcPr>
            <w:tcW w:w="3236" w:type="dxa"/>
            <w:tcBorders>
              <w:left w:val="single" w:color="000000" w:sz="8" w:space="0"/>
              <w:right w:val="single" w:color="000000" w:sz="8" w:space="0"/>
            </w:tcBorders>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jc w:val="center"/>
        </w:trPr>
        <w:tc>
          <w:tcPr>
            <w:tcW w:w="1788" w:type="dxa"/>
            <w:vAlign w:val="center"/>
          </w:tcPr>
          <w:p>
            <w:pPr>
              <w:bidi w:val="0"/>
              <w:ind w:left="0" w:leftChars="0" w:firstLine="0" w:firstLineChars="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2035</w:t>
            </w:r>
          </w:p>
        </w:tc>
        <w:tc>
          <w:tcPr>
            <w:tcW w:w="3236" w:type="dxa"/>
            <w:vAlign w:val="center"/>
          </w:tcPr>
          <w:p>
            <w:pPr>
              <w:bidi w:val="0"/>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57.76</w:t>
            </w:r>
          </w:p>
        </w:tc>
      </w:tr>
      <w:bookmarkEnd w:id="124"/>
    </w:tbl>
    <w:p>
      <w:pPr>
        <w:pageBreakBefore w:val="0"/>
        <w:kinsoku/>
        <w:wordWrap w:val="0"/>
        <w:overflowPunct/>
        <w:topLinePunct w:val="0"/>
        <w:autoSpaceDE/>
        <w:autoSpaceDN/>
        <w:bidi w:val="0"/>
        <w:adjustRightInd/>
        <w:snapToGrid/>
        <w:ind w:firstLine="560"/>
        <w:rPr>
          <w:rFonts w:hint="eastAsia" w:cs="Times New Roman"/>
          <w:sz w:val="32"/>
          <w:szCs w:val="32"/>
          <w:highlight w:val="cyan"/>
        </w:rPr>
      </w:pPr>
    </w:p>
    <w:p>
      <w:pPr>
        <w:pStyle w:val="2"/>
        <w:bidi w:val="0"/>
        <w:rPr>
          <w:rFonts w:hint="eastAsia"/>
          <w:lang w:val="en-US" w:eastAsia="zh-CN"/>
        </w:rPr>
      </w:pPr>
      <w:bookmarkStart w:id="125" w:name="_Toc24280"/>
      <w:r>
        <w:rPr>
          <w:lang w:eastAsia="en-US"/>
        </w:rPr>
        <w:t>五、建筑垃圾治理总体思路</w:t>
      </w:r>
      <w:bookmarkEnd w:id="125"/>
    </w:p>
    <w:p>
      <w:pPr>
        <w:pStyle w:val="3"/>
        <w:bidi w:val="0"/>
        <w:rPr>
          <w:rFonts w:hint="eastAsia" w:ascii="楷体" w:hAnsi="楷体" w:eastAsia="楷体" w:cs="楷体"/>
          <w:sz w:val="28"/>
          <w:szCs w:val="28"/>
          <w:lang w:val="en-US" w:eastAsia="en-US"/>
        </w:rPr>
      </w:pPr>
      <w:bookmarkStart w:id="126" w:name="_Toc11765"/>
      <w:r>
        <w:rPr>
          <w:rFonts w:hint="eastAsia" w:ascii="楷体" w:hAnsi="楷体" w:eastAsia="楷体" w:cs="楷体"/>
          <w:sz w:val="28"/>
          <w:szCs w:val="28"/>
          <w:lang w:val="en-US" w:eastAsia="en-US"/>
        </w:rPr>
        <w:t>（一）总体思路</w:t>
      </w:r>
      <w:bookmarkEnd w:id="126"/>
    </w:p>
    <w:p>
      <w:pPr>
        <w:bidi w:val="0"/>
        <w:rPr>
          <w:rFonts w:hint="eastAsia"/>
          <w:lang w:val="en-US" w:eastAsia="zh-CN"/>
        </w:rPr>
      </w:pPr>
      <w:r>
        <w:rPr>
          <w:rFonts w:hint="eastAsia"/>
          <w:lang w:val="en-US" w:eastAsia="zh-CN"/>
        </w:rPr>
        <w:t>桃江县建筑垃圾治理思路围绕</w:t>
      </w:r>
      <w:r>
        <w:rPr>
          <w:rFonts w:hint="eastAsia" w:ascii="Times New Roman" w:eastAsia="仿宋"/>
          <w:lang w:val="en-US" w:eastAsia="zh-CN"/>
        </w:rPr>
        <w:t>减量化、资源化、无害化</w:t>
      </w:r>
      <w:r>
        <w:rPr>
          <w:rFonts w:hint="eastAsia"/>
          <w:lang w:val="en-US" w:eastAsia="zh-CN"/>
        </w:rPr>
        <w:t>的规划目标</w:t>
      </w:r>
      <w:r>
        <w:rPr>
          <w:rFonts w:hint="eastAsia" w:ascii="Times New Roman" w:eastAsia="仿宋"/>
          <w:lang w:val="en-US" w:eastAsia="zh-CN"/>
        </w:rPr>
        <w:t>，</w:t>
      </w:r>
      <w:r>
        <w:rPr>
          <w:rFonts w:hint="eastAsia"/>
          <w:lang w:val="en-US" w:eastAsia="zh-CN"/>
        </w:rPr>
        <w:t>采用“全县统筹、分类管理、源头减量、资源利用、全程管控”的方式统筹处理建立垃圾。</w:t>
      </w:r>
    </w:p>
    <w:p>
      <w:pPr>
        <w:pStyle w:val="4"/>
        <w:bidi w:val="0"/>
        <w:rPr>
          <w:rFonts w:hint="eastAsia"/>
          <w:lang w:val="en-US" w:eastAsia="zh-CN"/>
        </w:rPr>
      </w:pPr>
      <w:r>
        <w:rPr>
          <w:rFonts w:hint="eastAsia"/>
          <w:lang w:val="en-US" w:eastAsia="zh-CN"/>
        </w:rPr>
        <w:t>1、全县统筹</w:t>
      </w:r>
    </w:p>
    <w:p>
      <w:pPr>
        <w:bidi w:val="0"/>
        <w:rPr>
          <w:rFonts w:hint="eastAsia"/>
          <w:lang w:val="en-US" w:eastAsia="zh-CN"/>
        </w:rPr>
      </w:pPr>
      <w:r>
        <w:rPr>
          <w:rFonts w:hint="eastAsia"/>
        </w:rPr>
        <w:t>建立</w:t>
      </w:r>
      <w:r>
        <w:rPr>
          <w:rFonts w:hint="eastAsia"/>
          <w:lang w:val="en-US" w:eastAsia="zh-CN"/>
        </w:rPr>
        <w:t>以桃江县政府</w:t>
      </w:r>
      <w:r>
        <w:rPr>
          <w:rFonts w:hint="eastAsia"/>
        </w:rPr>
        <w:t>政府主导、社会参与、行业主管的建筑垃圾管理体系，建设全县一体化、技术先进的建筑垃圾资源化监督体系。</w:t>
      </w:r>
    </w:p>
    <w:p>
      <w:pPr>
        <w:pStyle w:val="4"/>
        <w:bidi w:val="0"/>
        <w:rPr>
          <w:rFonts w:hint="eastAsia"/>
          <w:lang w:val="en-US" w:eastAsia="zh-CN"/>
        </w:rPr>
      </w:pPr>
      <w:r>
        <w:rPr>
          <w:rFonts w:hint="eastAsia"/>
          <w:lang w:val="en-US" w:eastAsia="zh-CN"/>
        </w:rPr>
        <w:t>2、</w:t>
      </w:r>
      <w:bookmarkStart w:id="127" w:name="OLE_LINK27"/>
      <w:r>
        <w:rPr>
          <w:rFonts w:hint="eastAsia"/>
          <w:lang w:val="en-US" w:eastAsia="zh-CN"/>
        </w:rPr>
        <w:t>分类</w:t>
      </w:r>
      <w:bookmarkEnd w:id="127"/>
      <w:r>
        <w:rPr>
          <w:rFonts w:hint="eastAsia"/>
          <w:lang w:val="en-US" w:eastAsia="zh-CN"/>
        </w:rPr>
        <w:t>管理</w:t>
      </w:r>
    </w:p>
    <w:p>
      <w:pPr>
        <w:bidi w:val="0"/>
        <w:rPr>
          <w:lang w:eastAsia="en-US"/>
        </w:rPr>
      </w:pPr>
      <w:r>
        <w:rPr>
          <w:rFonts w:hint="eastAsia"/>
          <w:lang w:val="en-US" w:eastAsia="zh-CN"/>
        </w:rPr>
        <w:t>将建筑垃圾</w:t>
      </w:r>
      <w:r>
        <w:rPr>
          <w:lang w:eastAsia="en-US"/>
        </w:rPr>
        <w:t>按照工程渣土</w:t>
      </w:r>
      <w:r>
        <w:rPr>
          <w:rFonts w:hint="eastAsia"/>
          <w:lang w:eastAsia="zh-CN"/>
        </w:rPr>
        <w:t>（</w:t>
      </w:r>
      <w:r>
        <w:rPr>
          <w:rFonts w:hint="eastAsia"/>
          <w:lang w:val="en-US" w:eastAsia="zh-CN"/>
        </w:rPr>
        <w:t>含工程泥浆</w:t>
      </w:r>
      <w:r>
        <w:rPr>
          <w:rFonts w:hint="eastAsia"/>
          <w:lang w:eastAsia="zh-CN"/>
        </w:rPr>
        <w:t>）</w:t>
      </w:r>
      <w:r>
        <w:rPr>
          <w:lang w:eastAsia="en-US"/>
        </w:rPr>
        <w:t>、工程垃圾</w:t>
      </w:r>
      <w:r>
        <w:rPr>
          <w:rFonts w:hint="eastAsia"/>
          <w:lang w:eastAsia="zh-CN"/>
        </w:rPr>
        <w:t>、</w:t>
      </w:r>
      <w:r>
        <w:rPr>
          <w:rFonts w:hint="eastAsia"/>
          <w:lang w:val="en-US" w:eastAsia="zh-CN"/>
        </w:rPr>
        <w:t>拆除垃圾、装修垃圾</w:t>
      </w:r>
      <w:r>
        <w:rPr>
          <w:lang w:eastAsia="en-US"/>
        </w:rPr>
        <w:t>等进行分类，鼓励工程渣土就地回填和工程废料循环利用，提高临时设施和周转材料重复利用率。拆除垃圾按照可资源化利用建筑垃圾和回填消纳建筑垃圾进行现场分类。装修垃圾建立装修垃圾管理体系，落实</w:t>
      </w:r>
      <w:r>
        <w:rPr>
          <w:rFonts w:hint="eastAsia"/>
          <w:lang w:val="en-US" w:eastAsia="zh-CN"/>
        </w:rPr>
        <w:t>乡镇、</w:t>
      </w:r>
      <w:r>
        <w:rPr>
          <w:lang w:eastAsia="en-US"/>
        </w:rPr>
        <w:t>社区、小区装修垃圾管理主体责任。</w:t>
      </w:r>
    </w:p>
    <w:p>
      <w:pPr>
        <w:pStyle w:val="4"/>
        <w:bidi w:val="0"/>
        <w:rPr>
          <w:rFonts w:hint="eastAsia"/>
          <w:lang w:val="en-US" w:eastAsia="zh-CN"/>
        </w:rPr>
      </w:pPr>
      <w:r>
        <w:rPr>
          <w:rFonts w:hint="eastAsia"/>
          <w:lang w:val="en-US" w:eastAsia="zh-CN"/>
        </w:rPr>
        <w:t>3、源头减量</w:t>
      </w:r>
    </w:p>
    <w:p>
      <w:pPr>
        <w:bidi w:val="0"/>
        <w:rPr>
          <w:lang w:eastAsia="zh-CN"/>
        </w:rPr>
      </w:pPr>
      <w:bookmarkStart w:id="128" w:name="OLE_LINK28"/>
      <w:r>
        <w:rPr>
          <w:rFonts w:hint="eastAsia"/>
          <w:lang w:val="en-US" w:eastAsia="zh-CN"/>
        </w:rPr>
        <w:t>根据《住房和城乡建设部关于推进建筑垃圾减量化的指导意见》（建质〔</w:t>
      </w:r>
      <w:r>
        <w:rPr>
          <w:rFonts w:hint="default"/>
          <w:lang w:val="en-US" w:eastAsia="zh-CN"/>
        </w:rPr>
        <w:t>2020</w:t>
      </w:r>
      <w:r>
        <w:rPr>
          <w:rFonts w:hint="eastAsia"/>
          <w:lang w:val="en-US" w:eastAsia="zh-CN"/>
        </w:rPr>
        <w:t>〕</w:t>
      </w:r>
      <w:r>
        <w:rPr>
          <w:rFonts w:hint="default"/>
          <w:lang w:val="en-US" w:eastAsia="zh-CN"/>
        </w:rPr>
        <w:t>46</w:t>
      </w:r>
      <w:r>
        <w:rPr>
          <w:rFonts w:hint="eastAsia"/>
          <w:lang w:val="en-US" w:eastAsia="zh-CN"/>
        </w:rPr>
        <w:t>号）的要求，将建筑垃圾源头减量化作为项目管理和核准要求的工作重点事项，</w:t>
      </w:r>
      <w:r>
        <w:rPr>
          <w:lang w:eastAsia="en-US"/>
        </w:rPr>
        <w:t>严格落实建设单位建筑垃圾减量化和处理首要责任。实施绿色设计、</w:t>
      </w:r>
      <w:r>
        <w:rPr>
          <w:rFonts w:hint="eastAsia"/>
          <w:lang w:val="en-US" w:eastAsia="zh-CN"/>
        </w:rPr>
        <w:t>使用绿色建材、</w:t>
      </w:r>
      <w:r>
        <w:rPr>
          <w:lang w:eastAsia="zh-CN"/>
        </w:rPr>
        <w:t>提高施工水平</w:t>
      </w:r>
      <w:r>
        <w:rPr>
          <w:rFonts w:hint="eastAsia"/>
          <w:lang w:eastAsia="zh-CN"/>
        </w:rPr>
        <w:t>、</w:t>
      </w:r>
      <w:r>
        <w:rPr>
          <w:lang w:eastAsia="zh-CN"/>
        </w:rPr>
        <w:t>发展预制装配式建筑</w:t>
      </w:r>
      <w:r>
        <w:rPr>
          <w:rFonts w:hint="eastAsia"/>
          <w:lang w:eastAsia="zh-CN"/>
        </w:rPr>
        <w:t>、</w:t>
      </w:r>
      <w:r>
        <w:rPr>
          <w:lang w:eastAsia="zh-CN"/>
        </w:rPr>
        <w:t>推广</w:t>
      </w:r>
      <w:r>
        <w:rPr>
          <w:rFonts w:hint="eastAsia"/>
          <w:lang w:eastAsia="zh-CN"/>
        </w:rPr>
        <w:t>精</w:t>
      </w:r>
      <w:r>
        <w:rPr>
          <w:lang w:eastAsia="zh-CN"/>
        </w:rPr>
        <w:t>装修</w:t>
      </w:r>
      <w:r>
        <w:rPr>
          <w:rFonts w:hint="eastAsia"/>
          <w:lang w:eastAsia="zh-CN"/>
        </w:rPr>
        <w:t>住</w:t>
      </w:r>
      <w:r>
        <w:rPr>
          <w:lang w:eastAsia="zh-CN"/>
        </w:rPr>
        <w:t>房，能从源头上减少</w:t>
      </w:r>
      <w:r>
        <w:rPr>
          <w:rFonts w:hint="eastAsia"/>
          <w:lang w:val="en-US" w:eastAsia="zh-CN"/>
        </w:rPr>
        <w:t>建筑</w:t>
      </w:r>
      <w:r>
        <w:rPr>
          <w:lang w:eastAsia="zh-CN"/>
        </w:rPr>
        <w:t>垃圾的产生量。</w:t>
      </w:r>
    </w:p>
    <w:bookmarkEnd w:id="128"/>
    <w:p>
      <w:pPr>
        <w:pStyle w:val="4"/>
        <w:bidi w:val="0"/>
        <w:rPr>
          <w:rFonts w:hint="eastAsia"/>
          <w:lang w:val="en-US" w:eastAsia="zh-CN"/>
        </w:rPr>
      </w:pPr>
      <w:r>
        <w:rPr>
          <w:rFonts w:hint="eastAsia"/>
          <w:lang w:val="en-US" w:eastAsia="zh-CN"/>
        </w:rPr>
        <w:t>4、资源利用</w:t>
      </w:r>
    </w:p>
    <w:p>
      <w:pPr>
        <w:bidi w:val="0"/>
        <w:rPr>
          <w:rFonts w:hint="default"/>
        </w:rPr>
      </w:pPr>
      <w:r>
        <w:rPr>
          <w:rFonts w:hint="eastAsia"/>
        </w:rPr>
        <w:t>发展科技为先、创新为本的建筑垃圾</w:t>
      </w:r>
      <w:bookmarkStart w:id="129" w:name="OLE_LINK29"/>
      <w:r>
        <w:rPr>
          <w:rFonts w:hint="eastAsia"/>
        </w:rPr>
        <w:t>资源化利用</w:t>
      </w:r>
      <w:bookmarkEnd w:id="129"/>
      <w:r>
        <w:rPr>
          <w:rFonts w:hint="eastAsia"/>
        </w:rPr>
        <w:t>技术体系，</w:t>
      </w:r>
      <w:r>
        <w:rPr>
          <w:rFonts w:hint="eastAsia"/>
          <w:lang w:val="en-US" w:eastAsia="zh-CN"/>
        </w:rPr>
        <w:t>加快推进建筑垃圾消纳场所和资源化利用设施建设，补齐建筑垃圾资源化利用短板，拓宽建筑垃圾再生产品使用渠道，加强建筑垃圾资源化利用优惠政策落实等举措，</w:t>
      </w:r>
      <w:r>
        <w:rPr>
          <w:lang w:eastAsia="en-US"/>
        </w:rPr>
        <w:t>逐步提高建筑垃圾再生产品的使用比例。</w:t>
      </w:r>
      <w:bookmarkStart w:id="130" w:name="OLE_LINK38"/>
      <w:r>
        <w:rPr>
          <w:rFonts w:hint="eastAsia"/>
        </w:rPr>
        <w:t>具体目标如下：</w:t>
      </w:r>
      <w:bookmarkStart w:id="131" w:name="OLE_LINK84"/>
      <w:r>
        <w:rPr>
          <w:rFonts w:hint="default"/>
        </w:rPr>
        <w:t>2030</w:t>
      </w:r>
      <w:r>
        <w:rPr>
          <w:rFonts w:hint="eastAsia"/>
        </w:rPr>
        <w:t>年</w:t>
      </w:r>
      <w:bookmarkStart w:id="132" w:name="OLE_LINK40"/>
      <w:r>
        <w:rPr>
          <w:rFonts w:hint="eastAsia"/>
          <w:lang w:val="en-US" w:eastAsia="zh-CN"/>
        </w:rPr>
        <w:t>桃江</w:t>
      </w:r>
      <w:bookmarkEnd w:id="132"/>
      <w:r>
        <w:rPr>
          <w:rFonts w:hint="eastAsia"/>
        </w:rPr>
        <w:t>县建筑垃圾量达到</w:t>
      </w:r>
      <w:r>
        <w:rPr>
          <w:rFonts w:hint="eastAsia"/>
          <w:lang w:val="en-US" w:eastAsia="zh-CN"/>
        </w:rPr>
        <w:t>73.28</w:t>
      </w:r>
      <w:r>
        <w:rPr>
          <w:rFonts w:hint="eastAsia"/>
        </w:rPr>
        <w:t>万吨</w:t>
      </w:r>
      <w:r>
        <w:rPr>
          <w:rFonts w:hint="default"/>
        </w:rPr>
        <w:t>/</w:t>
      </w:r>
      <w:r>
        <w:rPr>
          <w:rFonts w:hint="eastAsia"/>
        </w:rPr>
        <w:t>年，</w:t>
      </w:r>
      <w:bookmarkStart w:id="133" w:name="OLE_LINK82"/>
      <w:r>
        <w:rPr>
          <w:rFonts w:hint="eastAsia"/>
          <w:lang w:val="en-US" w:eastAsia="zh-CN"/>
        </w:rPr>
        <w:t>资源化</w:t>
      </w:r>
      <w:bookmarkEnd w:id="133"/>
      <w:r>
        <w:rPr>
          <w:rFonts w:hint="eastAsia"/>
        </w:rPr>
        <w:t>利用量达到</w:t>
      </w:r>
      <w:r>
        <w:rPr>
          <w:rFonts w:hint="eastAsia"/>
          <w:lang w:val="en-US" w:eastAsia="zh-CN"/>
        </w:rPr>
        <w:t>47.63</w:t>
      </w:r>
      <w:r>
        <w:rPr>
          <w:rFonts w:hint="eastAsia"/>
        </w:rPr>
        <w:t>万吨</w:t>
      </w:r>
      <w:r>
        <w:rPr>
          <w:rFonts w:hint="default"/>
        </w:rPr>
        <w:t>/</w:t>
      </w:r>
      <w:r>
        <w:rPr>
          <w:rFonts w:hint="eastAsia"/>
        </w:rPr>
        <w:t>年，消纳</w:t>
      </w:r>
      <w:r>
        <w:rPr>
          <w:rFonts w:hint="eastAsia"/>
          <w:lang w:val="en-US" w:eastAsia="zh-CN"/>
        </w:rPr>
        <w:t>处理25.65</w:t>
      </w:r>
      <w:r>
        <w:rPr>
          <w:rFonts w:hint="eastAsia"/>
        </w:rPr>
        <w:t>万吨</w:t>
      </w:r>
      <w:r>
        <w:rPr>
          <w:rFonts w:hint="default"/>
        </w:rPr>
        <w:t>/</w:t>
      </w:r>
      <w:r>
        <w:rPr>
          <w:rFonts w:hint="eastAsia"/>
        </w:rPr>
        <w:t>年；</w:t>
      </w:r>
      <w:r>
        <w:rPr>
          <w:rFonts w:hint="default"/>
        </w:rPr>
        <w:t>2035</w:t>
      </w:r>
      <w:r>
        <w:rPr>
          <w:rFonts w:hint="eastAsia"/>
        </w:rPr>
        <w:t>年</w:t>
      </w:r>
      <w:r>
        <w:rPr>
          <w:rFonts w:hint="eastAsia"/>
          <w:lang w:val="en-US" w:eastAsia="zh-CN"/>
        </w:rPr>
        <w:t>桃江</w:t>
      </w:r>
      <w:r>
        <w:rPr>
          <w:rFonts w:hint="eastAsia"/>
        </w:rPr>
        <w:t>县建筑垃圾量达</w:t>
      </w:r>
      <w:r>
        <w:rPr>
          <w:rFonts w:hint="eastAsia"/>
          <w:lang w:val="en-US" w:eastAsia="zh-CN"/>
        </w:rPr>
        <w:t>57.77</w:t>
      </w:r>
      <w:r>
        <w:rPr>
          <w:rFonts w:hint="eastAsia"/>
        </w:rPr>
        <w:t>万吨</w:t>
      </w:r>
      <w:r>
        <w:rPr>
          <w:rFonts w:hint="default"/>
        </w:rPr>
        <w:t>/</w:t>
      </w:r>
      <w:r>
        <w:rPr>
          <w:rFonts w:hint="eastAsia"/>
        </w:rPr>
        <w:t>年，</w:t>
      </w:r>
      <w:r>
        <w:rPr>
          <w:rFonts w:hint="eastAsia"/>
          <w:lang w:val="en-US" w:eastAsia="zh-CN"/>
        </w:rPr>
        <w:t>资源化利用量达</w:t>
      </w:r>
      <w:r>
        <w:rPr>
          <w:rFonts w:hint="eastAsia"/>
        </w:rPr>
        <w:t>到</w:t>
      </w:r>
      <w:r>
        <w:rPr>
          <w:rFonts w:hint="eastAsia"/>
          <w:lang w:val="en-US" w:eastAsia="zh-CN"/>
        </w:rPr>
        <w:t>54.88</w:t>
      </w:r>
      <w:r>
        <w:rPr>
          <w:rFonts w:hint="eastAsia"/>
        </w:rPr>
        <w:t>万吨</w:t>
      </w:r>
      <w:r>
        <w:rPr>
          <w:rFonts w:hint="default"/>
        </w:rPr>
        <w:t>/</w:t>
      </w:r>
      <w:r>
        <w:rPr>
          <w:rFonts w:hint="eastAsia"/>
        </w:rPr>
        <w:t>年，</w:t>
      </w:r>
      <w:r>
        <w:rPr>
          <w:rFonts w:hint="eastAsia"/>
          <w:lang w:val="en-US" w:eastAsia="zh-CN"/>
        </w:rPr>
        <w:t>消耗处理2.89</w:t>
      </w:r>
      <w:r>
        <w:rPr>
          <w:rFonts w:hint="eastAsia"/>
        </w:rPr>
        <w:t>万吨</w:t>
      </w:r>
      <w:r>
        <w:rPr>
          <w:rFonts w:hint="default"/>
        </w:rPr>
        <w:t>/</w:t>
      </w:r>
      <w:r>
        <w:rPr>
          <w:rFonts w:hint="eastAsia"/>
        </w:rPr>
        <w:t>年。</w:t>
      </w:r>
      <w:bookmarkEnd w:id="131"/>
    </w:p>
    <w:bookmarkEnd w:id="130"/>
    <w:p>
      <w:pPr>
        <w:pStyle w:val="4"/>
        <w:bidi w:val="0"/>
        <w:rPr>
          <w:rFonts w:hint="eastAsia"/>
          <w:lang w:val="en-US" w:eastAsia="zh-CN"/>
        </w:rPr>
      </w:pPr>
      <w:r>
        <w:rPr>
          <w:rFonts w:hint="eastAsia"/>
          <w:lang w:val="en-US" w:eastAsia="zh-CN"/>
        </w:rPr>
        <w:t>5、</w:t>
      </w:r>
      <w:bookmarkStart w:id="134" w:name="OLE_LINK30"/>
      <w:r>
        <w:rPr>
          <w:rFonts w:hint="eastAsia"/>
          <w:lang w:val="en-US" w:eastAsia="zh-CN"/>
        </w:rPr>
        <w:t>全程管控</w:t>
      </w:r>
      <w:bookmarkEnd w:id="134"/>
    </w:p>
    <w:p>
      <w:pPr>
        <w:bidi w:val="0"/>
        <w:rPr>
          <w:rFonts w:hint="eastAsia"/>
          <w:lang w:eastAsia="zh-CN"/>
        </w:rPr>
      </w:pPr>
      <w:r>
        <w:rPr>
          <w:rFonts w:hint="eastAsia"/>
          <w:lang w:val="en-US" w:eastAsia="zh-CN"/>
        </w:rPr>
        <w:t>建立</w:t>
      </w:r>
      <w:r>
        <w:rPr>
          <w:rFonts w:hint="eastAsia"/>
        </w:rPr>
        <w:t>“进场管控—过程监管—封场修复”的全生命周期管理体系，</w:t>
      </w:r>
      <w:r>
        <w:rPr>
          <w:lang w:eastAsia="zh-CN"/>
        </w:rPr>
        <w:t>着力建设建筑垃圾全过程环境保护与安全卫生管控机制，形成建筑垃圾源头、运输、终端全过程闭环管理</w:t>
      </w:r>
      <w:r>
        <w:rPr>
          <w:rFonts w:hint="eastAsia"/>
          <w:lang w:eastAsia="zh-CN"/>
        </w:rPr>
        <w:t>，</w:t>
      </w:r>
      <w:r>
        <w:rPr>
          <w:lang w:eastAsia="zh-CN"/>
        </w:rPr>
        <w:t>建立数字化综合监管服务体系。</w:t>
      </w:r>
      <w:r>
        <w:rPr>
          <w:rFonts w:hint="eastAsia"/>
          <w:lang w:val="en-US" w:eastAsia="zh-CN"/>
        </w:rPr>
        <w:t>各单位各司其职、协同联动，共同筑牢建筑垃圾源头管控防线，确保管控责任落实到位。</w:t>
      </w:r>
    </w:p>
    <w:p>
      <w:pPr>
        <w:pStyle w:val="3"/>
        <w:bidi w:val="0"/>
        <w:rPr>
          <w:rFonts w:hint="eastAsia" w:ascii="楷体" w:hAnsi="楷体" w:eastAsia="楷体" w:cs="楷体"/>
          <w:sz w:val="28"/>
          <w:szCs w:val="28"/>
          <w:lang w:val="en-US" w:eastAsia="en-US"/>
        </w:rPr>
      </w:pPr>
      <w:bookmarkStart w:id="135" w:name="_Toc22274"/>
      <w:r>
        <w:rPr>
          <w:rFonts w:hint="eastAsia" w:ascii="楷体" w:hAnsi="楷体" w:eastAsia="楷体" w:cs="楷体"/>
          <w:sz w:val="28"/>
          <w:szCs w:val="28"/>
          <w:lang w:val="en-US" w:eastAsia="en-US"/>
        </w:rPr>
        <w:t>（二）目标任务</w:t>
      </w:r>
      <w:bookmarkEnd w:id="135"/>
    </w:p>
    <w:p>
      <w:pPr>
        <w:bidi w:val="0"/>
        <w:rPr>
          <w:lang w:eastAsia="zh-CN"/>
        </w:rPr>
      </w:pPr>
      <w:r>
        <w:rPr>
          <w:lang w:eastAsia="zh-CN"/>
        </w:rPr>
        <w:t>逐步建立</w:t>
      </w:r>
      <w:r>
        <w:rPr>
          <w:rFonts w:hint="eastAsia"/>
          <w:lang w:val="en-US" w:eastAsia="zh-CN"/>
        </w:rPr>
        <w:t>县</w:t>
      </w:r>
      <w:r>
        <w:rPr>
          <w:lang w:eastAsia="zh-CN"/>
        </w:rPr>
        <w:t>域统筹、布局合理、技术先进、资源得到有效利用的建筑垃圾处理系统；加快构建规范有序、安全卫生、全程可控的建筑垃圾收运系统；促进形成链条完整、环境友好、良性发展的建筑垃圾产业体系。着力建设建筑垃圾全过程环境保护与安全卫生管控机制，建立数字化综合监管服务体系；基本形成建筑垃圾源头、运输、终端全过程闭环管理，建立建筑垃圾分类处理制度，建立完善建筑垃圾治理模式。</w:t>
      </w:r>
    </w:p>
    <w:p>
      <w:pPr>
        <w:bidi w:val="0"/>
        <w:rPr>
          <w:lang w:eastAsia="zh-CN"/>
        </w:rPr>
      </w:pPr>
      <w:bookmarkStart w:id="136" w:name="OLE_LINK83"/>
      <w:r>
        <w:rPr>
          <w:lang w:eastAsia="zh-CN"/>
        </w:rPr>
        <w:t>通过科学规划和系统建设，最终建立科学合理的</w:t>
      </w:r>
      <w:r>
        <w:rPr>
          <w:rFonts w:hint="eastAsia"/>
          <w:lang w:val="en-US" w:eastAsia="zh-CN"/>
        </w:rPr>
        <w:t>桃江县</w:t>
      </w:r>
      <w:r>
        <w:rPr>
          <w:lang w:eastAsia="zh-CN"/>
        </w:rPr>
        <w:t>建筑垃圾治理体系，实现</w:t>
      </w:r>
      <w:bookmarkStart w:id="137" w:name="OLE_LINK32"/>
      <w:r>
        <w:rPr>
          <w:rFonts w:hint="eastAsia"/>
          <w:lang w:val="en-US" w:eastAsia="zh-CN"/>
        </w:rPr>
        <w:t>桃江</w:t>
      </w:r>
      <w:bookmarkEnd w:id="137"/>
      <w:r>
        <w:rPr>
          <w:rFonts w:hint="eastAsia"/>
          <w:lang w:val="en-US" w:eastAsia="zh-CN"/>
        </w:rPr>
        <w:t>县</w:t>
      </w:r>
      <w:r>
        <w:rPr>
          <w:lang w:eastAsia="zh-CN"/>
        </w:rPr>
        <w:t>建筑垃圾的综合利用和科学处置，大幅提升</w:t>
      </w:r>
      <w:r>
        <w:rPr>
          <w:rFonts w:hint="eastAsia"/>
          <w:lang w:val="en-US" w:eastAsia="zh-CN"/>
        </w:rPr>
        <w:t>桃江县</w:t>
      </w:r>
      <w:r>
        <w:rPr>
          <w:lang w:eastAsia="zh-CN"/>
        </w:rPr>
        <w:t>建筑垃圾资源化利用和安全处置水平，</w:t>
      </w:r>
      <w:r>
        <w:rPr>
          <w:rFonts w:hint="eastAsia"/>
          <w:lang w:val="en-US" w:eastAsia="zh-CN"/>
        </w:rPr>
        <w:t>实现建筑垃圾处置减量化、资源化、无害化目标，</w:t>
      </w:r>
      <w:r>
        <w:rPr>
          <w:lang w:eastAsia="zh-CN"/>
        </w:rPr>
        <w:t>促进城市发展质量全面提升，力争实现</w:t>
      </w:r>
      <w:r>
        <w:rPr>
          <w:rFonts w:hint="eastAsia"/>
          <w:lang w:eastAsia="zh-CN"/>
        </w:rPr>
        <w:t>“</w:t>
      </w:r>
      <w:r>
        <w:rPr>
          <w:lang w:eastAsia="zh-CN"/>
        </w:rPr>
        <w:t>无废城市</w:t>
      </w:r>
      <w:r>
        <w:rPr>
          <w:rFonts w:hint="eastAsia"/>
          <w:lang w:eastAsia="zh-CN"/>
        </w:rPr>
        <w:t>”</w:t>
      </w:r>
      <w:r>
        <w:rPr>
          <w:lang w:eastAsia="zh-CN"/>
        </w:rPr>
        <w:t>目标。</w:t>
      </w:r>
    </w:p>
    <w:bookmarkEnd w:id="136"/>
    <w:p>
      <w:pPr>
        <w:pStyle w:val="4"/>
        <w:bidi w:val="0"/>
        <w:rPr>
          <w:lang w:eastAsia="en-US"/>
        </w:rPr>
      </w:pPr>
      <w:r>
        <w:rPr>
          <w:lang w:eastAsia="en-US"/>
        </w:rPr>
        <w:t>1、近期目标（2025-2030年）</w:t>
      </w:r>
    </w:p>
    <w:p>
      <w:pPr>
        <w:bidi w:val="0"/>
        <w:rPr>
          <w:rFonts w:hint="default"/>
          <w:lang w:val="en-US" w:eastAsia="zh-CN"/>
        </w:rPr>
      </w:pPr>
      <w:r>
        <w:rPr>
          <w:rFonts w:hint="eastAsia"/>
          <w:lang w:val="en-US" w:eastAsia="zh-CN"/>
        </w:rPr>
        <w:t>全面建成城镇建筑垃圾处置设施，实现建筑垃圾产消基本平衡，加强源头分类、控源减量，建设符合城镇建设发展的建筑垃圾分类收运、规范处置、监管闭环的全过程监管制度体系。</w:t>
      </w:r>
    </w:p>
    <w:p>
      <w:pPr>
        <w:pStyle w:val="4"/>
        <w:bidi w:val="0"/>
        <w:rPr>
          <w:lang w:eastAsia="en-US"/>
        </w:rPr>
      </w:pPr>
      <w:bookmarkStart w:id="138" w:name="bookmark151"/>
      <w:bookmarkEnd w:id="138"/>
      <w:r>
        <w:rPr>
          <w:lang w:eastAsia="en-US"/>
        </w:rPr>
        <w:t>2、远期目标（2031-2035年）</w:t>
      </w:r>
    </w:p>
    <w:p>
      <w:pPr>
        <w:bidi w:val="0"/>
        <w:rPr>
          <w:rFonts w:hint="eastAsia"/>
          <w:lang w:val="en-US" w:eastAsia="zh-CN"/>
        </w:rPr>
      </w:pPr>
      <w:r>
        <w:rPr>
          <w:rFonts w:hint="eastAsia"/>
          <w:lang w:val="en-US" w:eastAsia="zh-CN"/>
        </w:rPr>
        <w:t>建立与城镇发展相协调的建筑垃圾处理系统，设施处理能力满足建筑垃圾产量和资源化利用的需求，再生产品得到充分利用，建筑垃圾循环利用体系加快构建，建筑垃圾产生、收集、贮存、运输、利用、处置全过程管理体系全面形成，建筑垃圾减量化、资源化、无害化水平显著提升。</w:t>
      </w:r>
    </w:p>
    <w:p>
      <w:pPr>
        <w:bidi w:val="0"/>
        <w:ind w:left="0" w:leftChars="0" w:firstLine="0" w:firstLineChars="0"/>
        <w:jc w:val="center"/>
        <w:rPr>
          <w:b/>
          <w:bCs/>
          <w:lang w:eastAsia="en-US"/>
        </w:rPr>
      </w:pPr>
      <w:r>
        <w:rPr>
          <w:b/>
          <w:bCs/>
          <w:lang w:eastAsia="en-US"/>
        </w:rPr>
        <w:t xml:space="preserve">表5-1 </w:t>
      </w:r>
      <w:r>
        <w:rPr>
          <w:rFonts w:hint="eastAsia"/>
          <w:b/>
          <w:bCs/>
          <w:lang w:val="en-US" w:eastAsia="zh-CN"/>
        </w:rPr>
        <w:t>桃江县</w:t>
      </w:r>
      <w:r>
        <w:rPr>
          <w:b/>
          <w:bCs/>
          <w:lang w:eastAsia="en-US"/>
        </w:rPr>
        <w:t>建筑垃圾处理控制指标表</w:t>
      </w:r>
    </w:p>
    <w:p>
      <w:pPr>
        <w:widowControl/>
        <w:kinsoku w:val="0"/>
        <w:autoSpaceDE w:val="0"/>
        <w:autoSpaceDN w:val="0"/>
        <w:adjustRightInd w:val="0"/>
        <w:snapToGrid w:val="0"/>
        <w:spacing w:line="92" w:lineRule="exact"/>
        <w:ind w:firstLine="0" w:firstLineChars="0"/>
        <w:jc w:val="left"/>
        <w:textAlignment w:val="baseline"/>
        <w:rPr>
          <w:rFonts w:ascii="Arial" w:hAnsi="Arial" w:eastAsia="Arial" w:cs="Arial"/>
          <w:snapToGrid w:val="0"/>
          <w:color w:val="000000"/>
          <w:kern w:val="0"/>
          <w:sz w:val="21"/>
          <w:szCs w:val="21"/>
          <w:lang w:eastAsia="en-US"/>
        </w:rPr>
      </w:pPr>
    </w:p>
    <w:tbl>
      <w:tblPr>
        <w:tblStyle w:val="25"/>
        <w:tblW w:w="8880" w:type="dxa"/>
        <w:tblInd w:w="-3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5595"/>
        <w:gridCol w:w="1215"/>
        <w:gridCol w:w="11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915" w:type="dxa"/>
            <w:vAlign w:val="top"/>
          </w:tcPr>
          <w:p>
            <w:pPr>
              <w:kinsoku w:val="0"/>
              <w:autoSpaceDE w:val="0"/>
              <w:autoSpaceDN w:val="0"/>
              <w:adjustRightInd w:val="0"/>
              <w:snapToGrid w:val="0"/>
              <w:spacing w:before="139" w:line="289" w:lineRule="auto"/>
              <w:ind w:left="0" w:leftChars="0" w:right="185"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2"/>
                <w:kern w:val="0"/>
                <w:sz w:val="24"/>
                <w:szCs w:val="24"/>
                <w:lang w:val="en-US" w:eastAsia="en-US" w:bidi="ar-SA"/>
              </w:rPr>
              <w:t>指标</w:t>
            </w:r>
            <w:r>
              <w:rPr>
                <w:rFonts w:hint="eastAsia" w:ascii="仿宋" w:hAnsi="仿宋" w:eastAsia="仿宋" w:cs="仿宋"/>
                <w:b/>
                <w:bCs/>
                <w:snapToGrid w:val="0"/>
                <w:color w:val="000000"/>
                <w:spacing w:val="3"/>
                <w:kern w:val="0"/>
                <w:sz w:val="24"/>
                <w:szCs w:val="24"/>
                <w:lang w:val="en-US" w:eastAsia="en-US" w:bidi="ar-SA"/>
              </w:rPr>
              <w:t>类别</w:t>
            </w:r>
          </w:p>
        </w:tc>
        <w:tc>
          <w:tcPr>
            <w:tcW w:w="5595" w:type="dxa"/>
            <w:vAlign w:val="top"/>
          </w:tcPr>
          <w:p>
            <w:pPr>
              <w:kinsoku w:val="0"/>
              <w:autoSpaceDE w:val="0"/>
              <w:autoSpaceDN w:val="0"/>
              <w:adjustRightInd w:val="0"/>
              <w:snapToGrid w:val="0"/>
              <w:spacing w:before="294" w:line="228" w:lineRule="auto"/>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5"/>
                <w:kern w:val="0"/>
                <w:sz w:val="24"/>
                <w:szCs w:val="24"/>
                <w:lang w:val="en-US" w:eastAsia="en-US" w:bidi="ar-SA"/>
              </w:rPr>
              <w:t>指标内容</w:t>
            </w:r>
          </w:p>
        </w:tc>
        <w:tc>
          <w:tcPr>
            <w:tcW w:w="1215" w:type="dxa"/>
            <w:vAlign w:val="top"/>
          </w:tcPr>
          <w:p>
            <w:pPr>
              <w:kinsoku w:val="0"/>
              <w:autoSpaceDE w:val="0"/>
              <w:autoSpaceDN w:val="0"/>
              <w:adjustRightInd w:val="0"/>
              <w:snapToGrid w:val="0"/>
              <w:spacing w:before="139" w:line="228" w:lineRule="auto"/>
              <w:ind w:left="0" w:leftChars="0" w:firstLine="0" w:firstLineChars="0"/>
              <w:jc w:val="both"/>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6"/>
                <w:kern w:val="0"/>
                <w:sz w:val="24"/>
                <w:szCs w:val="24"/>
                <w:lang w:val="en-US" w:eastAsia="en-US" w:bidi="ar-SA"/>
              </w:rPr>
              <w:t>近期指标</w:t>
            </w:r>
            <w:r>
              <w:rPr>
                <w:rFonts w:hint="eastAsia" w:ascii="仿宋" w:hAnsi="仿宋" w:eastAsia="仿宋" w:cs="仿宋"/>
                <w:b/>
                <w:bCs/>
                <w:snapToGrid w:val="0"/>
                <w:color w:val="000000"/>
                <w:spacing w:val="-1"/>
                <w:kern w:val="0"/>
                <w:sz w:val="24"/>
                <w:szCs w:val="24"/>
                <w:lang w:val="en-US" w:eastAsia="en-US" w:bidi="ar-SA"/>
              </w:rPr>
              <w:t>（2030</w:t>
            </w:r>
            <w:r>
              <w:rPr>
                <w:rFonts w:hint="eastAsia" w:ascii="仿宋" w:hAnsi="仿宋" w:eastAsia="仿宋" w:cs="仿宋"/>
                <w:snapToGrid w:val="0"/>
                <w:color w:val="000000"/>
                <w:spacing w:val="-34"/>
                <w:kern w:val="0"/>
                <w:sz w:val="24"/>
                <w:szCs w:val="24"/>
                <w:lang w:val="en-US" w:eastAsia="en-US" w:bidi="ar-SA"/>
              </w:rPr>
              <w:t xml:space="preserve"> </w:t>
            </w:r>
            <w:r>
              <w:rPr>
                <w:rFonts w:hint="eastAsia" w:ascii="仿宋" w:hAnsi="仿宋" w:eastAsia="仿宋" w:cs="仿宋"/>
                <w:b/>
                <w:bCs/>
                <w:snapToGrid w:val="0"/>
                <w:color w:val="000000"/>
                <w:spacing w:val="-1"/>
                <w:kern w:val="0"/>
                <w:sz w:val="24"/>
                <w:szCs w:val="24"/>
                <w:lang w:val="en-US" w:eastAsia="en-US" w:bidi="ar-SA"/>
              </w:rPr>
              <w:t>年）</w:t>
            </w:r>
          </w:p>
        </w:tc>
        <w:tc>
          <w:tcPr>
            <w:tcW w:w="1155" w:type="dxa"/>
            <w:vAlign w:val="top"/>
          </w:tcPr>
          <w:p>
            <w:pPr>
              <w:kinsoku w:val="0"/>
              <w:autoSpaceDE w:val="0"/>
              <w:autoSpaceDN w:val="0"/>
              <w:adjustRightInd w:val="0"/>
              <w:snapToGrid w:val="0"/>
              <w:spacing w:before="139" w:line="228" w:lineRule="auto"/>
              <w:ind w:left="0" w:leftChars="0" w:firstLine="0" w:firstLineChars="0"/>
              <w:jc w:val="both"/>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6"/>
                <w:kern w:val="0"/>
                <w:sz w:val="24"/>
                <w:szCs w:val="24"/>
                <w:lang w:val="en-US" w:eastAsia="en-US" w:bidi="ar-SA"/>
              </w:rPr>
              <w:t>远期指标</w:t>
            </w:r>
            <w:r>
              <w:rPr>
                <w:rFonts w:hint="eastAsia" w:ascii="仿宋" w:hAnsi="仿宋" w:eastAsia="仿宋" w:cs="仿宋"/>
                <w:b/>
                <w:bCs/>
                <w:snapToGrid w:val="0"/>
                <w:color w:val="000000"/>
                <w:kern w:val="0"/>
                <w:sz w:val="24"/>
                <w:szCs w:val="24"/>
                <w:lang w:val="en-US" w:eastAsia="en-US" w:bidi="ar-SA"/>
              </w:rPr>
              <w:t>（2035</w:t>
            </w:r>
            <w:r>
              <w:rPr>
                <w:rFonts w:hint="eastAsia" w:ascii="仿宋" w:hAnsi="仿宋" w:eastAsia="仿宋" w:cs="仿宋"/>
                <w:snapToGrid w:val="0"/>
                <w:color w:val="000000"/>
                <w:spacing w:val="-39"/>
                <w:kern w:val="0"/>
                <w:sz w:val="24"/>
                <w:szCs w:val="24"/>
                <w:lang w:val="en-US" w:eastAsia="en-US" w:bidi="ar-SA"/>
              </w:rPr>
              <w:t xml:space="preserve"> </w:t>
            </w:r>
            <w:r>
              <w:rPr>
                <w:rFonts w:hint="eastAsia" w:ascii="仿宋" w:hAnsi="仿宋" w:eastAsia="仿宋" w:cs="仿宋"/>
                <w:b/>
                <w:bCs/>
                <w:snapToGrid w:val="0"/>
                <w:color w:val="000000"/>
                <w:kern w:val="0"/>
                <w:sz w:val="24"/>
                <w:szCs w:val="24"/>
                <w:lang w:val="en-US" w:eastAsia="en-US" w:bidi="ar-SA"/>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915" w:type="dxa"/>
            <w:vMerge w:val="restart"/>
            <w:tcBorders>
              <w:bottom w:val="nil"/>
            </w:tcBorders>
            <w:textDirection w:val="tbRlV"/>
            <w:vAlign w:val="top"/>
          </w:tcPr>
          <w:p>
            <w:pPr>
              <w:kinsoku w:val="0"/>
              <w:autoSpaceDE w:val="0"/>
              <w:autoSpaceDN w:val="0"/>
              <w:adjustRightInd w:val="0"/>
              <w:snapToGrid w:val="0"/>
              <w:spacing w:before="291" w:line="217" w:lineRule="auto"/>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6"/>
                <w:kern w:val="0"/>
                <w:sz w:val="24"/>
                <w:szCs w:val="24"/>
                <w:lang w:val="en-US" w:eastAsia="en-US" w:bidi="ar-SA"/>
              </w:rPr>
              <w:t>减 量 化</w:t>
            </w:r>
          </w:p>
        </w:tc>
        <w:tc>
          <w:tcPr>
            <w:tcW w:w="5595" w:type="dxa"/>
            <w:vAlign w:val="top"/>
          </w:tcPr>
          <w:p>
            <w:pPr>
              <w:kinsoku w:val="0"/>
              <w:autoSpaceDE w:val="0"/>
              <w:autoSpaceDN w:val="0"/>
              <w:adjustRightInd w:val="0"/>
              <w:snapToGrid w:val="0"/>
              <w:spacing w:before="161" w:line="281" w:lineRule="auto"/>
              <w:ind w:left="0" w:leftChars="0" w:right="106"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8"/>
                <w:kern w:val="0"/>
                <w:sz w:val="24"/>
                <w:szCs w:val="24"/>
                <w:lang w:val="en-US" w:eastAsia="en-US" w:bidi="ar-SA"/>
              </w:rPr>
              <w:t>新建建筑施工现场建筑垃圾排放量（不包</w:t>
            </w:r>
            <w:r>
              <w:rPr>
                <w:rFonts w:hint="eastAsia" w:ascii="仿宋" w:hAnsi="仿宋" w:eastAsia="仿宋" w:cs="仿宋"/>
                <w:snapToGrid w:val="0"/>
                <w:color w:val="000000"/>
                <w:spacing w:val="9"/>
                <w:kern w:val="0"/>
                <w:sz w:val="24"/>
                <w:szCs w:val="24"/>
                <w:lang w:val="en-US" w:eastAsia="en-US" w:bidi="ar-SA"/>
              </w:rPr>
              <w:t>括工程渣土、工程泥浆</w:t>
            </w:r>
            <w:r>
              <w:rPr>
                <w:rFonts w:hint="eastAsia" w:ascii="仿宋" w:hAnsi="仿宋" w:eastAsia="仿宋" w:cs="仿宋"/>
                <w:snapToGrid w:val="0"/>
                <w:color w:val="000000"/>
                <w:spacing w:val="-5"/>
                <w:kern w:val="0"/>
                <w:sz w:val="24"/>
                <w:szCs w:val="24"/>
                <w:lang w:val="en-US" w:eastAsia="en-US" w:bidi="ar-SA"/>
              </w:rPr>
              <w:t>）（</w:t>
            </w:r>
            <w:r>
              <w:rPr>
                <w:rFonts w:hint="eastAsia" w:ascii="仿宋" w:hAnsi="仿宋" w:eastAsia="仿宋" w:cs="仿宋"/>
                <w:snapToGrid w:val="0"/>
                <w:color w:val="000000"/>
                <w:spacing w:val="9"/>
                <w:kern w:val="0"/>
                <w:sz w:val="24"/>
                <w:szCs w:val="24"/>
                <w:lang w:val="en-US" w:eastAsia="en-US" w:bidi="ar-SA"/>
              </w:rPr>
              <w:t>t/万</w:t>
            </w:r>
            <w:r>
              <w:rPr>
                <w:rFonts w:hint="eastAsia" w:ascii="仿宋" w:hAnsi="仿宋" w:eastAsia="仿宋" w:cs="仿宋"/>
                <w:snapToGrid w:val="0"/>
                <w:color w:val="000000"/>
                <w:spacing w:val="-45"/>
                <w:kern w:val="0"/>
                <w:sz w:val="24"/>
                <w:szCs w:val="24"/>
                <w:lang w:val="en-US" w:eastAsia="en-US" w:bidi="ar-SA"/>
              </w:rPr>
              <w:t xml:space="preserve"> </w:t>
            </w:r>
            <w:r>
              <w:rPr>
                <w:rFonts w:hint="eastAsia" w:ascii="仿宋" w:hAnsi="仿宋" w:eastAsia="仿宋" w:cs="仿宋"/>
                <w:snapToGrid w:val="0"/>
                <w:color w:val="000000"/>
                <w:spacing w:val="9"/>
                <w:kern w:val="0"/>
                <w:sz w:val="24"/>
                <w:szCs w:val="24"/>
                <w:lang w:val="en-US" w:eastAsia="en-US" w:bidi="ar-SA"/>
              </w:rPr>
              <w:t>m</w:t>
            </w:r>
            <w:r>
              <w:rPr>
                <w:rFonts w:hint="eastAsia" w:ascii="仿宋" w:hAnsi="仿宋" w:eastAsia="仿宋" w:cs="仿宋"/>
                <w:snapToGrid w:val="0"/>
                <w:color w:val="000000"/>
                <w:spacing w:val="9"/>
                <w:kern w:val="0"/>
                <w:position w:val="10"/>
                <w:sz w:val="24"/>
                <w:szCs w:val="24"/>
                <w:lang w:val="en-US" w:eastAsia="en-US" w:bidi="ar-SA"/>
              </w:rPr>
              <w:t>2</w:t>
            </w:r>
            <w:r>
              <w:rPr>
                <w:rFonts w:hint="eastAsia" w:ascii="仿宋" w:hAnsi="仿宋" w:eastAsia="仿宋" w:cs="仿宋"/>
                <w:snapToGrid w:val="0"/>
                <w:color w:val="000000"/>
                <w:spacing w:val="9"/>
                <w:kern w:val="0"/>
                <w:sz w:val="24"/>
                <w:szCs w:val="24"/>
                <w:lang w:val="en-US" w:eastAsia="en-US" w:bidi="ar-SA"/>
              </w:rPr>
              <w:t>）</w:t>
            </w:r>
          </w:p>
        </w:tc>
        <w:tc>
          <w:tcPr>
            <w:tcW w:w="1215" w:type="dxa"/>
            <w:vAlign w:val="top"/>
          </w:tcPr>
          <w:p>
            <w:pPr>
              <w:widowControl/>
              <w:kinsoku w:val="0"/>
              <w:autoSpaceDE w:val="0"/>
              <w:autoSpaceDN w:val="0"/>
              <w:adjustRightInd w:val="0"/>
              <w:snapToGrid w:val="0"/>
              <w:spacing w:line="251"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5"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position w:val="1"/>
                <w:sz w:val="24"/>
                <w:szCs w:val="24"/>
                <w:lang w:val="en-US" w:eastAsia="en-US" w:bidi="ar-SA"/>
              </w:rPr>
              <w:t>≤300</w:t>
            </w:r>
          </w:p>
        </w:tc>
        <w:tc>
          <w:tcPr>
            <w:tcW w:w="1155" w:type="dxa"/>
            <w:vAlign w:val="top"/>
          </w:tcPr>
          <w:p>
            <w:pPr>
              <w:widowControl/>
              <w:kinsoku w:val="0"/>
              <w:autoSpaceDE w:val="0"/>
              <w:autoSpaceDN w:val="0"/>
              <w:adjustRightInd w:val="0"/>
              <w:snapToGrid w:val="0"/>
              <w:spacing w:line="251"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5"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position w:val="1"/>
                <w:sz w:val="24"/>
                <w:szCs w:val="24"/>
                <w:lang w:val="en-US" w:eastAsia="en-US" w:bidi="ar-SA"/>
              </w:rPr>
              <w:t>≤2</w:t>
            </w:r>
            <w:r>
              <w:rPr>
                <w:rFonts w:hint="eastAsia" w:ascii="仿宋" w:hAnsi="仿宋" w:eastAsia="仿宋" w:cs="仿宋"/>
                <w:snapToGrid w:val="0"/>
                <w:color w:val="000000"/>
                <w:kern w:val="0"/>
                <w:position w:val="1"/>
                <w:sz w:val="24"/>
                <w:szCs w:val="24"/>
                <w:lang w:val="en-US" w:eastAsia="zh-CN" w:bidi="ar-SA"/>
              </w:rPr>
              <w:t>8</w:t>
            </w:r>
            <w:r>
              <w:rPr>
                <w:rFonts w:hint="eastAsia" w:ascii="仿宋" w:hAnsi="仿宋" w:eastAsia="仿宋" w:cs="仿宋"/>
                <w:snapToGrid w:val="0"/>
                <w:color w:val="000000"/>
                <w:kern w:val="0"/>
                <w:position w:val="1"/>
                <w:sz w:val="24"/>
                <w:szCs w:val="24"/>
                <w:lang w:val="en-US" w:eastAsia="en-US" w:bidi="ar-SA"/>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915" w:type="dxa"/>
            <w:vMerge w:val="continue"/>
            <w:tcBorders>
              <w:top w:val="nil"/>
            </w:tcBorders>
            <w:textDirection w:val="tbRlV"/>
            <w:vAlign w:val="top"/>
          </w:tcPr>
          <w:p>
            <w:pPr>
              <w:widowControl/>
              <w:kinsoku w:val="0"/>
              <w:autoSpaceDE w:val="0"/>
              <w:autoSpaceDN w:val="0"/>
              <w:adjustRightInd w:val="0"/>
              <w:snapToGrid w:val="0"/>
              <w:spacing w:line="240" w:lineRule="auto"/>
              <w:ind w:firstLine="0" w:firstLineChars="0"/>
              <w:jc w:val="left"/>
              <w:textAlignment w:val="baseline"/>
              <w:rPr>
                <w:rFonts w:hint="eastAsia" w:ascii="仿宋" w:hAnsi="仿宋" w:eastAsia="仿宋" w:cs="仿宋"/>
                <w:snapToGrid w:val="0"/>
                <w:color w:val="000000"/>
                <w:kern w:val="0"/>
                <w:sz w:val="24"/>
                <w:szCs w:val="24"/>
                <w:lang w:eastAsia="en-US"/>
              </w:rPr>
            </w:pPr>
          </w:p>
        </w:tc>
        <w:tc>
          <w:tcPr>
            <w:tcW w:w="5595" w:type="dxa"/>
            <w:vAlign w:val="top"/>
          </w:tcPr>
          <w:p>
            <w:pPr>
              <w:kinsoku w:val="0"/>
              <w:autoSpaceDE w:val="0"/>
              <w:autoSpaceDN w:val="0"/>
              <w:adjustRightInd w:val="0"/>
              <w:snapToGrid w:val="0"/>
              <w:spacing w:before="228" w:line="281" w:lineRule="auto"/>
              <w:ind w:left="0" w:leftChars="0" w:right="106"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9"/>
                <w:kern w:val="0"/>
                <w:sz w:val="24"/>
                <w:szCs w:val="24"/>
                <w:lang w:val="en-US" w:eastAsia="en-US" w:bidi="ar-SA"/>
              </w:rPr>
              <w:t>装配式建筑施工现场建筑垃圾排放量（不包含工程渣土、工程泥浆</w:t>
            </w:r>
            <w:r>
              <w:rPr>
                <w:rFonts w:hint="eastAsia" w:ascii="仿宋" w:hAnsi="仿宋" w:eastAsia="仿宋" w:cs="仿宋"/>
                <w:snapToGrid w:val="0"/>
                <w:color w:val="000000"/>
                <w:spacing w:val="-4"/>
                <w:kern w:val="0"/>
                <w:sz w:val="24"/>
                <w:szCs w:val="24"/>
                <w:lang w:val="en-US" w:eastAsia="en-US" w:bidi="ar-SA"/>
              </w:rPr>
              <w:t>）（</w:t>
            </w:r>
            <w:r>
              <w:rPr>
                <w:rFonts w:hint="eastAsia" w:ascii="仿宋" w:hAnsi="仿宋" w:eastAsia="仿宋" w:cs="仿宋"/>
                <w:snapToGrid w:val="0"/>
                <w:color w:val="000000"/>
                <w:spacing w:val="9"/>
                <w:kern w:val="0"/>
                <w:sz w:val="24"/>
                <w:szCs w:val="24"/>
                <w:lang w:val="en-US" w:eastAsia="en-US" w:bidi="ar-SA"/>
              </w:rPr>
              <w:t>t/万</w:t>
            </w:r>
            <w:r>
              <w:rPr>
                <w:rFonts w:hint="eastAsia" w:ascii="仿宋" w:hAnsi="仿宋" w:eastAsia="仿宋" w:cs="仿宋"/>
                <w:snapToGrid w:val="0"/>
                <w:color w:val="000000"/>
                <w:spacing w:val="-44"/>
                <w:kern w:val="0"/>
                <w:sz w:val="24"/>
                <w:szCs w:val="24"/>
                <w:lang w:val="en-US" w:eastAsia="en-US" w:bidi="ar-SA"/>
              </w:rPr>
              <w:t xml:space="preserve"> </w:t>
            </w:r>
            <w:r>
              <w:rPr>
                <w:rFonts w:hint="eastAsia" w:ascii="仿宋" w:hAnsi="仿宋" w:eastAsia="仿宋" w:cs="仿宋"/>
                <w:snapToGrid w:val="0"/>
                <w:color w:val="000000"/>
                <w:spacing w:val="9"/>
                <w:kern w:val="0"/>
                <w:sz w:val="24"/>
                <w:szCs w:val="24"/>
                <w:lang w:val="en-US" w:eastAsia="en-US" w:bidi="ar-SA"/>
              </w:rPr>
              <w:t>m</w:t>
            </w:r>
            <w:r>
              <w:rPr>
                <w:rFonts w:hint="eastAsia" w:ascii="仿宋" w:hAnsi="仿宋" w:eastAsia="仿宋" w:cs="仿宋"/>
                <w:snapToGrid w:val="0"/>
                <w:color w:val="000000"/>
                <w:spacing w:val="9"/>
                <w:kern w:val="0"/>
                <w:position w:val="10"/>
                <w:sz w:val="24"/>
                <w:szCs w:val="24"/>
                <w:vertAlign w:val="baseline"/>
                <w:lang w:val="en-US" w:eastAsia="en-US" w:bidi="ar-SA"/>
              </w:rPr>
              <w:t>2</w:t>
            </w:r>
            <w:r>
              <w:rPr>
                <w:rFonts w:hint="eastAsia" w:ascii="仿宋" w:hAnsi="仿宋" w:eastAsia="仿宋" w:cs="仿宋"/>
                <w:snapToGrid w:val="0"/>
                <w:color w:val="000000"/>
                <w:spacing w:val="9"/>
                <w:kern w:val="0"/>
                <w:sz w:val="24"/>
                <w:szCs w:val="24"/>
                <w:lang w:val="en-US" w:eastAsia="en-US" w:bidi="ar-SA"/>
              </w:rPr>
              <w:t>）</w:t>
            </w:r>
          </w:p>
        </w:tc>
        <w:tc>
          <w:tcPr>
            <w:tcW w:w="1215" w:type="dxa"/>
            <w:vAlign w:val="top"/>
          </w:tcPr>
          <w:p>
            <w:pPr>
              <w:widowControl/>
              <w:kinsoku w:val="0"/>
              <w:autoSpaceDE w:val="0"/>
              <w:autoSpaceDN w:val="0"/>
              <w:adjustRightInd w:val="0"/>
              <w:snapToGrid w:val="0"/>
              <w:spacing w:line="318"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5"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position w:val="1"/>
                <w:sz w:val="24"/>
                <w:szCs w:val="24"/>
                <w:lang w:val="en-US" w:eastAsia="en-US" w:bidi="ar-SA"/>
              </w:rPr>
              <w:t>≤200</w:t>
            </w:r>
          </w:p>
        </w:tc>
        <w:tc>
          <w:tcPr>
            <w:tcW w:w="1155" w:type="dxa"/>
            <w:vAlign w:val="top"/>
          </w:tcPr>
          <w:p>
            <w:pPr>
              <w:widowControl/>
              <w:kinsoku w:val="0"/>
              <w:autoSpaceDE w:val="0"/>
              <w:autoSpaceDN w:val="0"/>
              <w:adjustRightInd w:val="0"/>
              <w:snapToGrid w:val="0"/>
              <w:spacing w:line="318"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5"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position w:val="1"/>
                <w:sz w:val="24"/>
                <w:szCs w:val="24"/>
                <w:lang w:val="en-US" w:eastAsia="en-US" w:bidi="ar-SA"/>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5" w:hRule="atLeast"/>
        </w:trPr>
        <w:tc>
          <w:tcPr>
            <w:tcW w:w="915" w:type="dxa"/>
            <w:textDirection w:val="tbRlV"/>
            <w:vAlign w:val="top"/>
          </w:tcPr>
          <w:p>
            <w:pPr>
              <w:kinsoku w:val="0"/>
              <w:autoSpaceDE w:val="0"/>
              <w:autoSpaceDN w:val="0"/>
              <w:adjustRightInd w:val="0"/>
              <w:snapToGrid w:val="0"/>
              <w:spacing w:before="290" w:line="218" w:lineRule="auto"/>
              <w:ind w:left="0"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6"/>
                <w:kern w:val="0"/>
                <w:sz w:val="24"/>
                <w:szCs w:val="24"/>
                <w:lang w:val="en-US" w:eastAsia="en-US" w:bidi="ar-SA"/>
              </w:rPr>
              <w:t>资 源 化</w:t>
            </w:r>
          </w:p>
        </w:tc>
        <w:tc>
          <w:tcPr>
            <w:tcW w:w="5595" w:type="dxa"/>
            <w:vAlign w:val="top"/>
          </w:tcPr>
          <w:p>
            <w:pPr>
              <w:widowControl/>
              <w:kinsoku w:val="0"/>
              <w:autoSpaceDE w:val="0"/>
              <w:autoSpaceDN w:val="0"/>
              <w:adjustRightInd w:val="0"/>
              <w:snapToGrid w:val="0"/>
              <w:spacing w:line="350"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28" w:lineRule="auto"/>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7"/>
                <w:kern w:val="0"/>
                <w:sz w:val="24"/>
                <w:szCs w:val="24"/>
                <w:lang w:val="en-US" w:eastAsia="en-US" w:bidi="ar-SA"/>
              </w:rPr>
              <w:t>建筑垃圾资源化利用率（%）</w:t>
            </w:r>
          </w:p>
        </w:tc>
        <w:tc>
          <w:tcPr>
            <w:tcW w:w="1215" w:type="dxa"/>
            <w:vAlign w:val="top"/>
          </w:tcPr>
          <w:p>
            <w:pPr>
              <w:widowControl/>
              <w:kinsoku w:val="0"/>
              <w:autoSpaceDE w:val="0"/>
              <w:autoSpaceDN w:val="0"/>
              <w:adjustRightInd w:val="0"/>
              <w:snapToGrid w:val="0"/>
              <w:spacing w:line="351"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8" w:lineRule="exact"/>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position w:val="1"/>
                <w:sz w:val="24"/>
                <w:szCs w:val="24"/>
                <w:lang w:val="en-US" w:eastAsia="zh-CN" w:bidi="ar-SA"/>
              </w:rPr>
              <w:t>65</w:t>
            </w:r>
          </w:p>
        </w:tc>
        <w:tc>
          <w:tcPr>
            <w:tcW w:w="1155" w:type="dxa"/>
            <w:vAlign w:val="top"/>
          </w:tcPr>
          <w:p>
            <w:pPr>
              <w:widowControl/>
              <w:kinsoku w:val="0"/>
              <w:autoSpaceDE w:val="0"/>
              <w:autoSpaceDN w:val="0"/>
              <w:adjustRightInd w:val="0"/>
              <w:snapToGrid w:val="0"/>
              <w:spacing w:line="351"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8" w:lineRule="exact"/>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position w:val="1"/>
                <w:sz w:val="24"/>
                <w:szCs w:val="24"/>
                <w:lang w:val="en-US" w:eastAsia="zh-CN" w:bidi="ar-SA"/>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915" w:type="dxa"/>
            <w:vMerge w:val="restart"/>
            <w:tcBorders>
              <w:bottom w:val="nil"/>
            </w:tcBorders>
            <w:textDirection w:val="tbRlV"/>
            <w:vAlign w:val="top"/>
          </w:tcPr>
          <w:p>
            <w:pPr>
              <w:kinsoku w:val="0"/>
              <w:autoSpaceDE w:val="0"/>
              <w:autoSpaceDN w:val="0"/>
              <w:adjustRightInd w:val="0"/>
              <w:snapToGrid w:val="0"/>
              <w:spacing w:before="290" w:line="216" w:lineRule="auto"/>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6"/>
                <w:kern w:val="0"/>
                <w:sz w:val="24"/>
                <w:szCs w:val="24"/>
                <w:lang w:val="en-US" w:eastAsia="en-US" w:bidi="ar-SA"/>
              </w:rPr>
              <w:t>无 害 化</w:t>
            </w:r>
          </w:p>
        </w:tc>
        <w:tc>
          <w:tcPr>
            <w:tcW w:w="5595" w:type="dxa"/>
            <w:vAlign w:val="top"/>
          </w:tcPr>
          <w:p>
            <w:pPr>
              <w:kinsoku w:val="0"/>
              <w:autoSpaceDE w:val="0"/>
              <w:autoSpaceDN w:val="0"/>
              <w:adjustRightInd w:val="0"/>
              <w:snapToGrid w:val="0"/>
              <w:spacing w:before="131" w:line="228" w:lineRule="auto"/>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7"/>
                <w:kern w:val="0"/>
                <w:sz w:val="24"/>
                <w:szCs w:val="24"/>
                <w:lang w:val="en-US" w:eastAsia="en-US" w:bidi="ar-SA"/>
              </w:rPr>
              <w:t>建筑垃圾密闭化收运率（%）</w:t>
            </w:r>
          </w:p>
        </w:tc>
        <w:tc>
          <w:tcPr>
            <w:tcW w:w="1215" w:type="dxa"/>
            <w:vAlign w:val="top"/>
          </w:tcPr>
          <w:p>
            <w:pPr>
              <w:kinsoku w:val="0"/>
              <w:autoSpaceDE w:val="0"/>
              <w:autoSpaceDN w:val="0"/>
              <w:adjustRightInd w:val="0"/>
              <w:snapToGrid w:val="0"/>
              <w:spacing w:before="131"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c>
          <w:tcPr>
            <w:tcW w:w="1155" w:type="dxa"/>
            <w:vAlign w:val="top"/>
          </w:tcPr>
          <w:p>
            <w:pPr>
              <w:kinsoku w:val="0"/>
              <w:autoSpaceDE w:val="0"/>
              <w:autoSpaceDN w:val="0"/>
              <w:adjustRightInd w:val="0"/>
              <w:snapToGrid w:val="0"/>
              <w:spacing w:before="131"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915" w:type="dxa"/>
            <w:vMerge w:val="continue"/>
            <w:tcBorders>
              <w:top w:val="nil"/>
              <w:bottom w:val="nil"/>
            </w:tcBorders>
            <w:textDirection w:val="tbRlV"/>
            <w:vAlign w:val="top"/>
          </w:tcPr>
          <w:p>
            <w:pPr>
              <w:widowControl/>
              <w:kinsoku w:val="0"/>
              <w:autoSpaceDE w:val="0"/>
              <w:autoSpaceDN w:val="0"/>
              <w:adjustRightInd w:val="0"/>
              <w:snapToGrid w:val="0"/>
              <w:spacing w:line="240" w:lineRule="auto"/>
              <w:ind w:firstLine="0" w:firstLineChars="0"/>
              <w:jc w:val="left"/>
              <w:textAlignment w:val="baseline"/>
              <w:rPr>
                <w:rFonts w:hint="eastAsia" w:ascii="仿宋" w:hAnsi="仿宋" w:eastAsia="仿宋" w:cs="仿宋"/>
                <w:snapToGrid w:val="0"/>
                <w:color w:val="000000"/>
                <w:kern w:val="0"/>
                <w:sz w:val="24"/>
                <w:szCs w:val="24"/>
                <w:lang w:eastAsia="en-US"/>
              </w:rPr>
            </w:pPr>
          </w:p>
        </w:tc>
        <w:tc>
          <w:tcPr>
            <w:tcW w:w="5595" w:type="dxa"/>
            <w:vAlign w:val="top"/>
          </w:tcPr>
          <w:p>
            <w:pPr>
              <w:kinsoku w:val="0"/>
              <w:autoSpaceDE w:val="0"/>
              <w:autoSpaceDN w:val="0"/>
              <w:adjustRightInd w:val="0"/>
              <w:snapToGrid w:val="0"/>
              <w:spacing w:before="156" w:line="228" w:lineRule="auto"/>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7"/>
                <w:kern w:val="0"/>
                <w:sz w:val="24"/>
                <w:szCs w:val="24"/>
                <w:lang w:val="en-US" w:eastAsia="en-US" w:bidi="ar-SA"/>
              </w:rPr>
              <w:t>建筑垃圾无害化处置率（%）</w:t>
            </w:r>
          </w:p>
        </w:tc>
        <w:tc>
          <w:tcPr>
            <w:tcW w:w="1215" w:type="dxa"/>
            <w:vAlign w:val="top"/>
          </w:tcPr>
          <w:p>
            <w:pPr>
              <w:kinsoku w:val="0"/>
              <w:autoSpaceDE w:val="0"/>
              <w:autoSpaceDN w:val="0"/>
              <w:adjustRightInd w:val="0"/>
              <w:snapToGrid w:val="0"/>
              <w:spacing w:before="156" w:line="269"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c>
          <w:tcPr>
            <w:tcW w:w="1155" w:type="dxa"/>
            <w:vAlign w:val="top"/>
          </w:tcPr>
          <w:p>
            <w:pPr>
              <w:kinsoku w:val="0"/>
              <w:autoSpaceDE w:val="0"/>
              <w:autoSpaceDN w:val="0"/>
              <w:adjustRightInd w:val="0"/>
              <w:snapToGrid w:val="0"/>
              <w:spacing w:before="156" w:line="269"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915" w:type="dxa"/>
            <w:vMerge w:val="continue"/>
            <w:tcBorders>
              <w:top w:val="nil"/>
            </w:tcBorders>
            <w:textDirection w:val="tbRlV"/>
            <w:vAlign w:val="top"/>
          </w:tcPr>
          <w:p>
            <w:pPr>
              <w:widowControl/>
              <w:kinsoku w:val="0"/>
              <w:autoSpaceDE w:val="0"/>
              <w:autoSpaceDN w:val="0"/>
              <w:adjustRightInd w:val="0"/>
              <w:snapToGrid w:val="0"/>
              <w:spacing w:line="240" w:lineRule="auto"/>
              <w:ind w:firstLine="0" w:firstLineChars="0"/>
              <w:jc w:val="left"/>
              <w:textAlignment w:val="baseline"/>
              <w:rPr>
                <w:rFonts w:hint="eastAsia" w:ascii="仿宋" w:hAnsi="仿宋" w:eastAsia="仿宋" w:cs="仿宋"/>
                <w:snapToGrid w:val="0"/>
                <w:color w:val="000000"/>
                <w:kern w:val="0"/>
                <w:sz w:val="24"/>
                <w:szCs w:val="24"/>
                <w:lang w:eastAsia="en-US"/>
              </w:rPr>
            </w:pPr>
          </w:p>
        </w:tc>
        <w:tc>
          <w:tcPr>
            <w:tcW w:w="5595" w:type="dxa"/>
            <w:vAlign w:val="top"/>
          </w:tcPr>
          <w:p>
            <w:pPr>
              <w:kinsoku w:val="0"/>
              <w:autoSpaceDE w:val="0"/>
              <w:autoSpaceDN w:val="0"/>
              <w:adjustRightInd w:val="0"/>
              <w:snapToGrid w:val="0"/>
              <w:spacing w:before="273" w:line="228" w:lineRule="auto"/>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8"/>
                <w:kern w:val="0"/>
                <w:sz w:val="24"/>
                <w:szCs w:val="24"/>
                <w:lang w:val="en-US" w:eastAsia="en-US" w:bidi="ar-SA"/>
              </w:rPr>
              <w:t>停用堆填场安全封场与生态恢复率（%）</w:t>
            </w:r>
          </w:p>
        </w:tc>
        <w:tc>
          <w:tcPr>
            <w:tcW w:w="1215" w:type="dxa"/>
            <w:vAlign w:val="top"/>
          </w:tcPr>
          <w:p>
            <w:pPr>
              <w:kinsoku w:val="0"/>
              <w:autoSpaceDE w:val="0"/>
              <w:autoSpaceDN w:val="0"/>
              <w:adjustRightInd w:val="0"/>
              <w:snapToGrid w:val="0"/>
              <w:spacing w:before="273"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c>
          <w:tcPr>
            <w:tcW w:w="1155" w:type="dxa"/>
            <w:vAlign w:val="top"/>
          </w:tcPr>
          <w:p>
            <w:pPr>
              <w:kinsoku w:val="0"/>
              <w:autoSpaceDE w:val="0"/>
              <w:autoSpaceDN w:val="0"/>
              <w:adjustRightInd w:val="0"/>
              <w:snapToGrid w:val="0"/>
              <w:spacing w:before="273"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5" w:type="dxa"/>
            <w:vMerge w:val="restart"/>
            <w:tcBorders>
              <w:bottom w:val="nil"/>
            </w:tcBorders>
            <w:textDirection w:val="tbRlV"/>
            <w:vAlign w:val="top"/>
          </w:tcPr>
          <w:p>
            <w:pPr>
              <w:kinsoku w:val="0"/>
              <w:autoSpaceDE w:val="0"/>
              <w:autoSpaceDN w:val="0"/>
              <w:adjustRightInd w:val="0"/>
              <w:snapToGrid w:val="0"/>
              <w:spacing w:before="290" w:line="215" w:lineRule="auto"/>
              <w:ind w:left="0" w:leftChars="0" w:firstLine="0" w:firstLine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6"/>
                <w:kern w:val="0"/>
                <w:sz w:val="24"/>
                <w:szCs w:val="24"/>
                <w:lang w:val="en-US" w:eastAsia="en-US" w:bidi="ar-SA"/>
              </w:rPr>
              <w:t>数 字 化</w:t>
            </w:r>
          </w:p>
        </w:tc>
        <w:tc>
          <w:tcPr>
            <w:tcW w:w="5595" w:type="dxa"/>
            <w:vAlign w:val="top"/>
          </w:tcPr>
          <w:p>
            <w:pPr>
              <w:kinsoku w:val="0"/>
              <w:autoSpaceDE w:val="0"/>
              <w:autoSpaceDN w:val="0"/>
              <w:adjustRightInd w:val="0"/>
              <w:snapToGrid w:val="0"/>
              <w:spacing w:before="96"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9"/>
                <w:kern w:val="0"/>
                <w:sz w:val="24"/>
                <w:szCs w:val="24"/>
                <w:lang w:val="en-US" w:eastAsia="en-US" w:bidi="ar-SA"/>
              </w:rPr>
              <w:t>建筑垃圾运输车辆车载卫星定位</w:t>
            </w:r>
            <w:r>
              <w:rPr>
                <w:rFonts w:hint="eastAsia" w:ascii="仿宋" w:hAnsi="仿宋" w:eastAsia="仿宋" w:cs="仿宋"/>
                <w:snapToGrid w:val="0"/>
                <w:color w:val="000000"/>
                <w:spacing w:val="7"/>
                <w:kern w:val="0"/>
                <w:sz w:val="24"/>
                <w:szCs w:val="24"/>
                <w:lang w:val="en-US" w:eastAsia="en-US" w:bidi="ar-SA"/>
              </w:rPr>
              <w:t>装置接入率（%）</w:t>
            </w:r>
          </w:p>
        </w:tc>
        <w:tc>
          <w:tcPr>
            <w:tcW w:w="1215" w:type="dxa"/>
            <w:vAlign w:val="top"/>
          </w:tcPr>
          <w:p>
            <w:pPr>
              <w:kinsoku w:val="0"/>
              <w:autoSpaceDE w:val="0"/>
              <w:autoSpaceDN w:val="0"/>
              <w:adjustRightInd w:val="0"/>
              <w:snapToGrid w:val="0"/>
              <w:spacing w:before="253"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c>
          <w:tcPr>
            <w:tcW w:w="1155" w:type="dxa"/>
            <w:vAlign w:val="top"/>
          </w:tcPr>
          <w:p>
            <w:pPr>
              <w:kinsoku w:val="0"/>
              <w:autoSpaceDE w:val="0"/>
              <w:autoSpaceDN w:val="0"/>
              <w:adjustRightInd w:val="0"/>
              <w:snapToGrid w:val="0"/>
              <w:spacing w:before="253"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15" w:type="dxa"/>
            <w:vMerge w:val="continue"/>
            <w:tcBorders>
              <w:top w:val="nil"/>
            </w:tcBorders>
            <w:textDirection w:val="tbRlV"/>
            <w:vAlign w:val="top"/>
          </w:tcPr>
          <w:p>
            <w:pPr>
              <w:widowControl/>
              <w:kinsoku w:val="0"/>
              <w:autoSpaceDE w:val="0"/>
              <w:autoSpaceDN w:val="0"/>
              <w:adjustRightInd w:val="0"/>
              <w:snapToGrid w:val="0"/>
              <w:spacing w:line="240" w:lineRule="auto"/>
              <w:ind w:firstLine="0" w:firstLineChars="0"/>
              <w:jc w:val="left"/>
              <w:textAlignment w:val="baseline"/>
              <w:rPr>
                <w:rFonts w:hint="eastAsia" w:ascii="仿宋" w:hAnsi="仿宋" w:eastAsia="仿宋" w:cs="仿宋"/>
                <w:snapToGrid w:val="0"/>
                <w:color w:val="000000"/>
                <w:kern w:val="0"/>
                <w:sz w:val="24"/>
                <w:szCs w:val="24"/>
                <w:lang w:eastAsia="en-US"/>
              </w:rPr>
            </w:pPr>
          </w:p>
        </w:tc>
        <w:tc>
          <w:tcPr>
            <w:tcW w:w="5595" w:type="dxa"/>
            <w:vAlign w:val="top"/>
          </w:tcPr>
          <w:p>
            <w:pPr>
              <w:kinsoku w:val="0"/>
              <w:autoSpaceDE w:val="0"/>
              <w:autoSpaceDN w:val="0"/>
              <w:adjustRightInd w:val="0"/>
              <w:snapToGrid w:val="0"/>
              <w:spacing w:before="55"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9"/>
                <w:kern w:val="0"/>
                <w:sz w:val="24"/>
                <w:szCs w:val="24"/>
                <w:lang w:val="en-US" w:eastAsia="en-US" w:bidi="ar-SA"/>
              </w:rPr>
              <w:t>施工工地、堆填场监控管理系统安装比例</w:t>
            </w:r>
            <w:r>
              <w:rPr>
                <w:rFonts w:hint="eastAsia" w:ascii="仿宋" w:hAnsi="仿宋" w:eastAsia="仿宋" w:cs="仿宋"/>
                <w:snapToGrid w:val="0"/>
                <w:color w:val="000000"/>
                <w:spacing w:val="-1"/>
                <w:kern w:val="0"/>
                <w:sz w:val="24"/>
                <w:szCs w:val="24"/>
                <w:lang w:val="en-US" w:eastAsia="en-US" w:bidi="ar-SA"/>
              </w:rPr>
              <w:t>（%）</w:t>
            </w:r>
          </w:p>
        </w:tc>
        <w:tc>
          <w:tcPr>
            <w:tcW w:w="1215" w:type="dxa"/>
            <w:vAlign w:val="top"/>
          </w:tcPr>
          <w:p>
            <w:pPr>
              <w:kinsoku w:val="0"/>
              <w:autoSpaceDE w:val="0"/>
              <w:autoSpaceDN w:val="0"/>
              <w:adjustRightInd w:val="0"/>
              <w:snapToGrid w:val="0"/>
              <w:spacing w:before="212" w:line="268" w:lineRule="exact"/>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3"/>
                <w:kern w:val="0"/>
                <w:position w:val="1"/>
                <w:sz w:val="24"/>
                <w:szCs w:val="24"/>
                <w:lang w:val="en-US" w:eastAsia="zh-CN" w:bidi="ar-SA"/>
              </w:rPr>
              <w:t>85</w:t>
            </w:r>
          </w:p>
        </w:tc>
        <w:tc>
          <w:tcPr>
            <w:tcW w:w="1155" w:type="dxa"/>
            <w:vAlign w:val="top"/>
          </w:tcPr>
          <w:p>
            <w:pPr>
              <w:kinsoku w:val="0"/>
              <w:autoSpaceDE w:val="0"/>
              <w:autoSpaceDN w:val="0"/>
              <w:adjustRightInd w:val="0"/>
              <w:snapToGrid w:val="0"/>
              <w:spacing w:before="212" w:line="268"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3"/>
                <w:kern w:val="0"/>
                <w:position w:val="1"/>
                <w:sz w:val="24"/>
                <w:szCs w:val="24"/>
                <w:lang w:val="en-US" w:eastAsia="en-US" w:bidi="ar-SA"/>
              </w:rPr>
              <w:t>100</w:t>
            </w:r>
          </w:p>
        </w:tc>
      </w:tr>
    </w:tbl>
    <w:p>
      <w:pPr>
        <w:bidi w:val="0"/>
        <w:rPr>
          <w:rFonts w:hint="default"/>
          <w:lang w:val="en-US" w:eastAsia="zh-CN"/>
        </w:rPr>
      </w:pPr>
    </w:p>
    <w:p>
      <w:pPr>
        <w:pStyle w:val="3"/>
        <w:bidi w:val="0"/>
        <w:rPr>
          <w:rFonts w:hint="eastAsia" w:ascii="楷体" w:hAnsi="楷体" w:eastAsia="楷体" w:cs="楷体"/>
          <w:sz w:val="28"/>
          <w:szCs w:val="28"/>
          <w:lang w:val="en-US" w:eastAsia="en-US"/>
        </w:rPr>
      </w:pPr>
      <w:bookmarkStart w:id="139" w:name="_Toc15772"/>
      <w:r>
        <w:rPr>
          <w:rFonts w:hint="eastAsia" w:ascii="楷体" w:hAnsi="楷体" w:eastAsia="楷体" w:cs="楷体"/>
          <w:sz w:val="28"/>
          <w:szCs w:val="28"/>
          <w:lang w:val="en-US" w:eastAsia="en-US"/>
        </w:rPr>
        <w:t>（三）技术路线</w:t>
      </w:r>
      <w:bookmarkEnd w:id="139"/>
    </w:p>
    <w:p>
      <w:pPr>
        <w:pStyle w:val="4"/>
        <w:bidi w:val="0"/>
        <w:rPr>
          <w:rFonts w:hint="eastAsia"/>
          <w:lang w:val="en-US" w:eastAsia="zh-CN"/>
        </w:rPr>
      </w:pPr>
      <w:r>
        <w:rPr>
          <w:rFonts w:hint="default"/>
          <w:lang w:val="en-US" w:eastAsia="zh-CN"/>
        </w:rPr>
        <w:t>1</w:t>
      </w:r>
      <w:r>
        <w:rPr>
          <w:rFonts w:hint="eastAsia"/>
          <w:lang w:val="en-US" w:eastAsia="zh-CN"/>
        </w:rPr>
        <w:t>、源头减量</w:t>
      </w:r>
    </w:p>
    <w:p>
      <w:pPr>
        <w:bidi w:val="0"/>
        <w:rPr>
          <w:rFonts w:hint="eastAsia"/>
          <w:lang w:val="en-US" w:eastAsia="zh-CN"/>
        </w:rPr>
      </w:pPr>
      <w:r>
        <w:rPr>
          <w:rFonts w:hint="eastAsia"/>
          <w:lang w:val="en-US" w:eastAsia="zh-CN"/>
        </w:rPr>
        <w:t>施工现场通过施工图纸深化、施工方案优化、永临结合、临时设施和周转材料重复利用、施工过程管控等措施，减少建筑垃圾的产生。</w:t>
      </w:r>
    </w:p>
    <w:p>
      <w:pPr>
        <w:bidi w:val="0"/>
      </w:pPr>
      <w:r>
        <w:rPr>
          <w:b/>
          <w:bCs/>
        </w:rPr>
        <w:t>设计优化：</w:t>
      </w:r>
      <w:r>
        <w:t>推广装配式建筑与</w:t>
      </w:r>
      <w:bookmarkStart w:id="140" w:name="OLE_LINK39"/>
      <w:r>
        <w:t>BIM技术</w:t>
      </w:r>
      <w:bookmarkEnd w:id="140"/>
      <w:r>
        <w:t>，减少施工阶段建材损耗；推行全装修成品住房，降低装修垃圾产生量。鼓励绿色建筑设计，将建筑垃圾减量化纳入文明施工考核体系。</w:t>
      </w:r>
    </w:p>
    <w:p>
      <w:pPr>
        <w:bidi w:val="0"/>
      </w:pPr>
      <w:r>
        <w:rPr>
          <w:b/>
          <w:bCs/>
        </w:rPr>
        <w:t>施工工艺改进：</w:t>
      </w:r>
      <w:r>
        <w:t>采用模块化施工、干法作业工艺，减少工程渣土和泥浆排放；施工现场设置智能称重系统，实时监控垃圾产生量，优化材料使用效率。</w:t>
      </w:r>
    </w:p>
    <w:p>
      <w:pPr>
        <w:bidi w:val="0"/>
      </w:pPr>
      <w:r>
        <w:rPr>
          <w:b/>
          <w:bCs/>
        </w:rPr>
        <w:t>分类收集与暂存：</w:t>
      </w:r>
      <w:r>
        <w:t>按工程渣土、工程泥浆、工程垃圾、拆除垃圾、装修垃圾五类设置专用收集容器，配备物联网标签实现溯源管理。临时堆放点需落实防尘降尘措施，避免二次污染。</w:t>
      </w:r>
    </w:p>
    <w:p>
      <w:pPr>
        <w:pStyle w:val="4"/>
        <w:bidi w:val="0"/>
        <w:rPr>
          <w:rFonts w:hint="eastAsia"/>
          <w:lang w:val="en-US" w:eastAsia="zh-CN"/>
        </w:rPr>
      </w:pPr>
      <w:r>
        <w:rPr>
          <w:rFonts w:hint="default"/>
          <w:lang w:val="en-US" w:eastAsia="zh-CN"/>
        </w:rPr>
        <w:t>2</w:t>
      </w:r>
      <w:r>
        <w:rPr>
          <w:rFonts w:hint="eastAsia"/>
          <w:lang w:val="en-US" w:eastAsia="zh-CN"/>
        </w:rPr>
        <w:t>、调剂减量</w:t>
      </w:r>
    </w:p>
    <w:p>
      <w:pPr>
        <w:bidi w:val="0"/>
        <w:rPr>
          <w:rFonts w:hint="eastAsia"/>
          <w:lang w:val="en-US" w:eastAsia="zh-CN"/>
        </w:rPr>
      </w:pPr>
      <w:bookmarkStart w:id="141" w:name="OLE_LINK33"/>
      <w:r>
        <w:rPr>
          <w:rFonts w:hint="eastAsia"/>
          <w:lang w:val="en-US" w:eastAsia="zh-CN"/>
        </w:rPr>
        <w:t>针对</w:t>
      </w:r>
      <w:bookmarkEnd w:id="141"/>
      <w:r>
        <w:rPr>
          <w:rFonts w:hint="eastAsia"/>
          <w:lang w:val="en-US" w:eastAsia="zh-CN"/>
        </w:rPr>
        <w:t>在路基的施工中产生的工程渣土、工程泥浆，结合道路沿线的填充和开挖的情况，在考虑经济运距的情况下做到</w:t>
      </w:r>
      <w:r>
        <w:rPr>
          <w:rFonts w:hint="default"/>
          <w:lang w:val="en-US" w:eastAsia="zh-CN"/>
        </w:rPr>
        <w:t>“</w:t>
      </w:r>
      <w:r>
        <w:rPr>
          <w:rFonts w:hint="eastAsia"/>
          <w:lang w:val="en-US" w:eastAsia="zh-CN"/>
        </w:rPr>
        <w:t>移挖作填</w:t>
      </w:r>
      <w:r>
        <w:rPr>
          <w:rFonts w:hint="default"/>
          <w:lang w:val="en-US" w:eastAsia="zh-CN"/>
        </w:rPr>
        <w:t>”</w:t>
      </w:r>
      <w:r>
        <w:rPr>
          <w:rFonts w:hint="eastAsia"/>
          <w:lang w:val="en-US" w:eastAsia="zh-CN"/>
        </w:rPr>
        <w:t>。</w:t>
      </w:r>
    </w:p>
    <w:p>
      <w:pPr>
        <w:pStyle w:val="4"/>
        <w:bidi w:val="0"/>
        <w:rPr>
          <w:rFonts w:hint="eastAsia"/>
          <w:lang w:val="en-US" w:eastAsia="zh-CN"/>
        </w:rPr>
      </w:pPr>
      <w:r>
        <w:rPr>
          <w:rFonts w:hint="default"/>
          <w:lang w:val="en-US" w:eastAsia="zh-CN"/>
        </w:rPr>
        <w:t>3</w:t>
      </w:r>
      <w:r>
        <w:rPr>
          <w:rFonts w:hint="eastAsia"/>
          <w:lang w:val="en-US" w:eastAsia="zh-CN"/>
        </w:rPr>
        <w:t>、资源化利用</w:t>
      </w:r>
    </w:p>
    <w:p>
      <w:pPr>
        <w:bidi w:val="0"/>
        <w:rPr>
          <w:rFonts w:hint="eastAsia"/>
          <w:lang w:val="en-US" w:eastAsia="zh-CN"/>
        </w:rPr>
      </w:pPr>
      <w:r>
        <w:rPr>
          <w:rFonts w:hint="eastAsia"/>
          <w:lang w:val="en-US" w:eastAsia="zh-CN"/>
        </w:rPr>
        <w:t>工程垃圾、拆除垃圾</w:t>
      </w:r>
      <w:r>
        <w:rPr>
          <w:rFonts w:hint="default"/>
          <w:lang w:val="en-US" w:eastAsia="zh-CN"/>
        </w:rPr>
        <w:t>90%</w:t>
      </w:r>
      <w:r>
        <w:rPr>
          <w:rFonts w:hint="eastAsia"/>
          <w:lang w:val="en-US" w:eastAsia="zh-CN"/>
        </w:rPr>
        <w:t>以上成分可用于生产再生建材，具备再利用的经济效益。装修垃圾为居民、店铺、办公装修过程产生，不可直接利用，需要进行分选后再资源化利用。</w:t>
      </w:r>
    </w:p>
    <w:p>
      <w:pPr>
        <w:pStyle w:val="4"/>
        <w:bidi w:val="0"/>
      </w:pPr>
      <w:r>
        <w:rPr>
          <w:rFonts w:hint="eastAsia"/>
          <w:lang w:val="en-US" w:eastAsia="zh-CN"/>
        </w:rPr>
        <w:t>4、</w:t>
      </w:r>
      <w:r>
        <w:t>堆填与填埋处置技术路线</w:t>
      </w:r>
    </w:p>
    <w:p>
      <w:pPr>
        <w:bidi w:val="0"/>
      </w:pPr>
      <w:r>
        <w:rPr>
          <w:b/>
          <w:bCs/>
        </w:rPr>
        <w:t>生态堆填：</w:t>
      </w:r>
      <w:r>
        <w:t>对无法资源化的工程渣土和稳定化泥浆，选择低洼地带进行生态堆填，同步实施植被恢复，用于环境治理或地形改造，减少土地占用。</w:t>
      </w:r>
    </w:p>
    <w:p>
      <w:pPr>
        <w:bidi w:val="0"/>
        <w:rPr>
          <w:rFonts w:hint="default"/>
          <w:lang w:val="en-US" w:eastAsia="zh-CN"/>
        </w:rPr>
      </w:pPr>
      <w:r>
        <w:rPr>
          <w:b/>
          <w:bCs/>
        </w:rPr>
        <w:t>规范填埋：</w:t>
      </w:r>
      <w:r>
        <w:t>对残留的无害化处理垃圾，进入专用填埋场处置。填埋场需配备“调节池+MBR膜生物反应器”渗滤液处理系统，确保达标排放；设置地下水监测井，实时监控水质变化，防控环境风险。填埋区域实施分层压实与覆盖，减少扬尘和渗漏。</w:t>
      </w:r>
    </w:p>
    <w:p>
      <w:pPr>
        <w:bidi w:val="0"/>
      </w:pPr>
      <w:r>
        <w:rPr>
          <w:b/>
          <w:bCs/>
        </w:rPr>
        <w:t>工程渣土与泥浆：</w:t>
      </w:r>
      <w:r>
        <w:t>优先用于土方平衡、场地平整、道路路基填筑及矿山复绿；建立县域内渣土供需信息平台，实现动态调配，促进产消平衡。对工程泥浆采用快速脱水固化技术，转化为路基材料。</w:t>
      </w:r>
    </w:p>
    <w:p>
      <w:pPr>
        <w:bidi w:val="0"/>
      </w:pPr>
      <w:r>
        <w:rPr>
          <w:b/>
          <w:bCs/>
        </w:rPr>
        <w:t>工程垃圾与拆除垃圾：</w:t>
      </w:r>
      <w:r>
        <w:t>建设固定式破碎分选生产线，生产再生骨料用于市政道路基层；金属类垃圾通过磁选回收再利用，无机非金属类用于再生建材生产，提升资源附加值。</w:t>
      </w:r>
    </w:p>
    <w:p>
      <w:pPr>
        <w:bidi w:val="0"/>
      </w:pPr>
      <w:r>
        <w:rPr>
          <w:b/>
          <w:bCs/>
        </w:rPr>
        <w:t>装修垃圾：</w:t>
      </w:r>
      <w:r>
        <w:t>采用“人工分选+机械破碎”工艺，分离木材、金属、塑料等可回收物；剩余部分经无害化处理后用于填埋场覆土或低价值利用，推动循环经济模式。</w:t>
      </w:r>
    </w:p>
    <w:p>
      <w:pPr>
        <w:pStyle w:val="2"/>
        <w:bidi w:val="0"/>
        <w:rPr>
          <w:lang w:eastAsia="en-US"/>
        </w:rPr>
      </w:pPr>
      <w:bookmarkStart w:id="142" w:name="_Toc13751"/>
      <w:r>
        <w:rPr>
          <w:lang w:eastAsia="en-US"/>
        </w:rPr>
        <w:t>六、建筑垃圾源头减量规划</w:t>
      </w:r>
      <w:bookmarkEnd w:id="142"/>
    </w:p>
    <w:p>
      <w:pPr>
        <w:pStyle w:val="3"/>
        <w:bidi w:val="0"/>
        <w:rPr>
          <w:rFonts w:hint="eastAsia" w:ascii="楷体" w:hAnsi="楷体" w:eastAsia="楷体" w:cs="楷体"/>
          <w:sz w:val="28"/>
          <w:szCs w:val="28"/>
          <w:lang w:val="en-US" w:eastAsia="en-US"/>
        </w:rPr>
      </w:pPr>
      <w:bookmarkStart w:id="143" w:name="_Toc5661"/>
      <w:r>
        <w:rPr>
          <w:rFonts w:hint="eastAsia" w:ascii="楷体" w:hAnsi="楷体" w:eastAsia="楷体" w:cs="楷体"/>
          <w:sz w:val="28"/>
          <w:szCs w:val="28"/>
          <w:lang w:val="en-US" w:eastAsia="en-US"/>
        </w:rPr>
        <w:t>（一）源头减量目标</w:t>
      </w:r>
      <w:bookmarkEnd w:id="143"/>
    </w:p>
    <w:p>
      <w:pPr>
        <w:bidi w:val="0"/>
        <w:rPr>
          <w:lang w:eastAsia="en-US"/>
        </w:rPr>
      </w:pPr>
      <w:r>
        <w:rPr>
          <w:rFonts w:hint="eastAsia"/>
        </w:rPr>
        <w:t>根据《</w:t>
      </w:r>
      <w:bookmarkStart w:id="144" w:name="OLE_LINK41"/>
      <w:r>
        <w:rPr>
          <w:rFonts w:hint="eastAsia"/>
        </w:rPr>
        <w:t>住房和城乡建设部关于推进建筑垃圾减量化的指导意见</w:t>
      </w:r>
      <w:bookmarkEnd w:id="144"/>
      <w:r>
        <w:rPr>
          <w:rFonts w:hint="eastAsia"/>
        </w:rPr>
        <w:t>》（建质〔2020〕46号）</w:t>
      </w:r>
      <w:r>
        <w:rPr>
          <w:rFonts w:hint="eastAsia"/>
          <w:lang w:val="en-US" w:eastAsia="zh-CN"/>
        </w:rPr>
        <w:t>的要求</w:t>
      </w:r>
      <w:r>
        <w:rPr>
          <w:rFonts w:hint="eastAsia"/>
        </w:rPr>
        <w:t>，</w:t>
      </w:r>
      <w:r>
        <w:rPr>
          <w:lang w:eastAsia="en-US"/>
        </w:rPr>
        <w:t>建立健全建筑垃圾减量化工作机制，推动工程建设生产组织模式转变，从源头上预防和减少工程建设过程中建筑垃圾产生。到202</w:t>
      </w:r>
      <w:r>
        <w:rPr>
          <w:rFonts w:hint="eastAsia"/>
          <w:lang w:val="en-US" w:eastAsia="zh-CN"/>
        </w:rPr>
        <w:t>6</w:t>
      </w:r>
      <w:r>
        <w:rPr>
          <w:lang w:eastAsia="en-US"/>
        </w:rPr>
        <w:t>年，实现新建建筑施工现场建筑垃圾（不包括工程渣土、工程泥浆）排放量每万平方米不高于300吨，装配式建筑施工现场建筑垃圾（不包括工程渣土、工程泥浆）排放量每万平方米不高于200吨</w:t>
      </w:r>
      <w:r>
        <w:rPr>
          <w:rFonts w:hint="eastAsia"/>
          <w:lang w:eastAsia="zh-CN"/>
        </w:rPr>
        <w:t>，</w:t>
      </w:r>
      <w:bookmarkStart w:id="145" w:name="OLE_LINK34"/>
      <w:r>
        <w:rPr>
          <w:rFonts w:hint="eastAsia"/>
          <w:lang w:eastAsia="zh-CN"/>
        </w:rPr>
        <w:t>新建装配式建筑面积占新建建筑面积的比例达到20%以上，其中政府投资工程装配式建筑面积占比达到 50%以上</w:t>
      </w:r>
      <w:r>
        <w:rPr>
          <w:lang w:eastAsia="en-US"/>
        </w:rPr>
        <w:t>。到2035年，</w:t>
      </w:r>
      <w:r>
        <w:rPr>
          <w:rFonts w:hint="eastAsia"/>
          <w:lang w:eastAsia="en-US"/>
        </w:rPr>
        <w:t>新建装配式建筑面积占新建建筑面积的比例达到</w:t>
      </w:r>
      <w:r>
        <w:rPr>
          <w:rFonts w:hint="eastAsia"/>
          <w:lang w:val="en-US" w:eastAsia="zh-CN"/>
        </w:rPr>
        <w:t>40</w:t>
      </w:r>
      <w:r>
        <w:rPr>
          <w:rFonts w:hint="eastAsia"/>
          <w:lang w:eastAsia="en-US"/>
        </w:rPr>
        <w:t>%以上，其中政府投资工程装配式建筑面积占比达到</w:t>
      </w:r>
      <w:r>
        <w:rPr>
          <w:rFonts w:hint="eastAsia"/>
          <w:lang w:val="en-US" w:eastAsia="zh-CN"/>
        </w:rPr>
        <w:t>80</w:t>
      </w:r>
      <w:r>
        <w:rPr>
          <w:rFonts w:hint="eastAsia"/>
          <w:lang w:eastAsia="en-US"/>
        </w:rPr>
        <w:t>%以上</w:t>
      </w:r>
      <w:r>
        <w:rPr>
          <w:rFonts w:hint="eastAsia"/>
          <w:lang w:eastAsia="zh-CN"/>
        </w:rPr>
        <w:t>，</w:t>
      </w:r>
      <w:r>
        <w:rPr>
          <w:lang w:eastAsia="en-US"/>
        </w:rPr>
        <w:t>建筑垃圾减量化工作机制进一步完善。</w:t>
      </w:r>
      <w:bookmarkEnd w:id="145"/>
    </w:p>
    <w:p>
      <w:pPr>
        <w:pStyle w:val="3"/>
        <w:bidi w:val="0"/>
        <w:rPr>
          <w:rFonts w:hint="eastAsia" w:ascii="楷体" w:hAnsi="楷体" w:eastAsia="楷体" w:cs="楷体"/>
          <w:sz w:val="28"/>
          <w:szCs w:val="28"/>
          <w:lang w:val="en-US" w:eastAsia="en-US"/>
        </w:rPr>
      </w:pPr>
      <w:bookmarkStart w:id="146" w:name="_Toc30071"/>
      <w:r>
        <w:rPr>
          <w:rFonts w:hint="eastAsia" w:ascii="楷体" w:hAnsi="楷体" w:eastAsia="楷体" w:cs="楷体"/>
          <w:sz w:val="28"/>
          <w:szCs w:val="28"/>
          <w:lang w:val="en-US" w:eastAsia="en-US"/>
        </w:rPr>
        <w:t>（二）源头减量措施</w:t>
      </w:r>
      <w:bookmarkEnd w:id="146"/>
    </w:p>
    <w:p>
      <w:pPr>
        <w:pStyle w:val="4"/>
        <w:bidi w:val="0"/>
        <w:rPr>
          <w:rFonts w:hint="default"/>
          <w:lang w:val="en-US" w:eastAsia="zh-CN"/>
        </w:rPr>
      </w:pPr>
      <w:r>
        <w:rPr>
          <w:rFonts w:hint="eastAsia"/>
          <w:lang w:val="en-US" w:eastAsia="zh-CN"/>
        </w:rPr>
        <w:t>1、落实主体责任</w:t>
      </w:r>
    </w:p>
    <w:p>
      <w:pPr>
        <w:bidi w:val="0"/>
        <w:rPr>
          <w:rFonts w:hint="eastAsia"/>
          <w:lang w:val="en-US" w:eastAsia="zh-CN"/>
        </w:rPr>
      </w:pPr>
      <w:r>
        <w:rPr>
          <w:rFonts w:hint="eastAsia"/>
          <w:b/>
          <w:bCs/>
          <w:lang w:val="en-US" w:eastAsia="zh-CN"/>
        </w:rPr>
        <w:t>县人民政府</w:t>
      </w:r>
      <w:r>
        <w:rPr>
          <w:rFonts w:hint="eastAsia"/>
          <w:lang w:val="en-US" w:eastAsia="zh-CN"/>
        </w:rPr>
        <w:t>通过推广装配式建筑、全装修成品住房、绿色建筑，鼓励采用先进技术、标准、工艺、设备、材料和管理措施等方式，开展绿色策划、实施绿色设计、推广绿色施工，推进建筑垃圾源头减量。</w:t>
      </w:r>
    </w:p>
    <w:p>
      <w:pPr>
        <w:bidi w:val="0"/>
        <w:rPr>
          <w:rFonts w:hint="eastAsia"/>
          <w:lang w:val="en-US" w:eastAsia="zh-CN"/>
        </w:rPr>
      </w:pPr>
      <w:r>
        <w:rPr>
          <w:rFonts w:hint="eastAsia"/>
          <w:b/>
          <w:bCs/>
          <w:lang w:val="en-US" w:eastAsia="zh-CN"/>
        </w:rPr>
        <w:t>建设单位</w:t>
      </w:r>
      <w:r>
        <w:rPr>
          <w:rFonts w:hint="eastAsia"/>
          <w:lang w:val="en-US" w:eastAsia="zh-CN"/>
        </w:rPr>
        <w:t>应当履行源头减量义务，采取有效措施预防和减少建筑垃圾的产生和排放，并将建筑垃圾减量化措施费用纳入工程概算。</w:t>
      </w:r>
    </w:p>
    <w:p>
      <w:pPr>
        <w:bidi w:val="0"/>
        <w:rPr>
          <w:rFonts w:hint="eastAsia"/>
          <w:lang w:val="en-US" w:eastAsia="zh-CN"/>
        </w:rPr>
      </w:pPr>
      <w:r>
        <w:rPr>
          <w:rFonts w:hint="eastAsia"/>
          <w:b/>
          <w:bCs/>
          <w:lang w:val="en-US" w:eastAsia="zh-CN"/>
        </w:rPr>
        <w:t>建设单位、施工单位</w:t>
      </w:r>
      <w:r>
        <w:rPr>
          <w:rFonts w:hint="eastAsia"/>
          <w:lang w:val="en-US" w:eastAsia="zh-CN"/>
        </w:rPr>
        <w:t>应当在工程招标文件、承发包合同和施工组织设计中明确施工现场建筑垃圾源头减量的具体要求和措施，以及建筑垃圾综合利用产品的使用要求。</w:t>
      </w:r>
    </w:p>
    <w:p>
      <w:pPr>
        <w:bidi w:val="0"/>
        <w:rPr>
          <w:rFonts w:hint="eastAsia"/>
          <w:lang w:val="en-US" w:eastAsia="zh-CN"/>
        </w:rPr>
      </w:pPr>
      <w:r>
        <w:rPr>
          <w:rFonts w:hint="eastAsia"/>
          <w:b/>
          <w:bCs/>
          <w:lang w:val="en-US" w:eastAsia="zh-CN"/>
        </w:rPr>
        <w:t>设计单位</w:t>
      </w:r>
      <w:r>
        <w:rPr>
          <w:rFonts w:hint="eastAsia"/>
          <w:lang w:val="en-US" w:eastAsia="zh-CN"/>
        </w:rPr>
        <w:t>应当优化工程设计、提高设计质量，从源头上减少建筑材料的消耗和建筑垃圾的产生，提高对建筑垃圾综合利用产品的使用;监理单位应当监督施工单位落实建筑垃圾源头减量措施。</w:t>
      </w:r>
    </w:p>
    <w:p>
      <w:pPr>
        <w:bidi w:val="0"/>
        <w:rPr>
          <w:rFonts w:hint="eastAsia"/>
          <w:lang w:val="en-US" w:eastAsia="zh-CN"/>
        </w:rPr>
      </w:pPr>
      <w:bookmarkStart w:id="147" w:name="OLE_LINK85"/>
      <w:r>
        <w:rPr>
          <w:rFonts w:hint="eastAsia"/>
          <w:b/>
          <w:bCs/>
          <w:lang w:val="en-US" w:eastAsia="zh-CN"/>
        </w:rPr>
        <w:t>住房和城乡建设、城市综合管理、交通运输、水利</w:t>
      </w:r>
      <w:r>
        <w:rPr>
          <w:rFonts w:hint="eastAsia"/>
          <w:lang w:val="en-US" w:eastAsia="zh-CN"/>
        </w:rPr>
        <w:t>等主管部门应当对建设单位建筑垃圾源头减量目标管理情况实施监督管理。</w:t>
      </w:r>
    </w:p>
    <w:bookmarkEnd w:id="147"/>
    <w:p>
      <w:pPr>
        <w:pStyle w:val="4"/>
        <w:bidi w:val="0"/>
        <w:rPr>
          <w:lang w:eastAsia="en-US"/>
        </w:rPr>
      </w:pPr>
      <w:r>
        <w:rPr>
          <w:rFonts w:hint="eastAsia"/>
          <w:lang w:val="en-US" w:eastAsia="zh-CN"/>
        </w:rPr>
        <w:t>2、</w:t>
      </w:r>
      <w:r>
        <w:rPr>
          <w:lang w:eastAsia="en-US"/>
        </w:rPr>
        <w:t>开展绿色策划</w:t>
      </w:r>
    </w:p>
    <w:p>
      <w:pPr>
        <w:bidi w:val="0"/>
        <w:rPr>
          <w:lang w:eastAsia="en-US"/>
        </w:rPr>
      </w:pPr>
      <w:r>
        <w:rPr>
          <w:b/>
          <w:bCs/>
          <w:lang w:eastAsia="en-US"/>
        </w:rPr>
        <w:t>鼓励发展装配式建筑。</w:t>
      </w:r>
      <w:r>
        <w:rPr>
          <w:lang w:eastAsia="en-US"/>
        </w:rPr>
        <w:t>大力发展装配式建筑，积极推广钢结构装配式住宅，推行工厂化预制、装配化施工、信息化管理的建造模式。鼓励创新设计、施工技术与装备，优先选用绿色建材，实行全装修交付，减少施工现场建筑垃圾的产生。在建设单位主导下，推进建筑信息模型（BIM）等技术在工程设计和施工中的应用，减少设计中的“错漏碰缺”，辅助施工现场管理，提高资源利用率。</w:t>
      </w:r>
    </w:p>
    <w:p>
      <w:pPr>
        <w:bidi w:val="0"/>
        <w:rPr>
          <w:lang w:eastAsia="en-US"/>
        </w:rPr>
      </w:pPr>
      <w:r>
        <w:rPr>
          <w:b/>
          <w:bCs/>
          <w:lang w:eastAsia="en-US"/>
        </w:rPr>
        <w:t>采用新型组织模式。</w:t>
      </w:r>
      <w:r>
        <w:rPr>
          <w:lang w:eastAsia="en-US"/>
        </w:rPr>
        <w:t>推动工程建设组织方式改革，指导建设单位在工程项目中推行工程总承包和全过程工程咨询，推进建筑师负责制，加强设计与施工的深度协同，构建有利于推进建筑垃圾减量化的组织模式。</w:t>
      </w:r>
    </w:p>
    <w:p>
      <w:pPr>
        <w:pStyle w:val="4"/>
        <w:bidi w:val="0"/>
        <w:rPr>
          <w:lang w:eastAsia="en-US"/>
        </w:rPr>
      </w:pPr>
      <w:r>
        <w:rPr>
          <w:rFonts w:hint="eastAsia"/>
          <w:lang w:val="en-US" w:eastAsia="zh-CN"/>
        </w:rPr>
        <w:t>3、</w:t>
      </w:r>
      <w:r>
        <w:rPr>
          <w:lang w:eastAsia="en-US"/>
        </w:rPr>
        <w:t>实施绿色设计</w:t>
      </w:r>
    </w:p>
    <w:p>
      <w:pPr>
        <w:bidi w:val="0"/>
        <w:rPr>
          <w:lang w:eastAsia="en-US"/>
        </w:rPr>
      </w:pPr>
      <w:r>
        <w:rPr>
          <w:b/>
          <w:bCs/>
          <w:lang w:eastAsia="en-US"/>
        </w:rPr>
        <w:t>树立全寿命期理念。</w:t>
      </w:r>
      <w:r>
        <w:rPr>
          <w:lang w:eastAsia="en-US"/>
        </w:rPr>
        <w:t>统筹考虑工程全寿命期的耐久性、可持续性，鼓励设计单位采用高强、高性能、高耐久性和可循环材料以及先进适用技术体系等开展工程设计。根据</w:t>
      </w:r>
      <w:r>
        <w:rPr>
          <w:rFonts w:hint="eastAsia"/>
          <w:lang w:eastAsia="zh-CN"/>
        </w:rPr>
        <w:t>“</w:t>
      </w:r>
      <w:r>
        <w:rPr>
          <w:lang w:eastAsia="en-US"/>
        </w:rPr>
        <w:t>模数统一、模块协同</w:t>
      </w:r>
      <w:r>
        <w:rPr>
          <w:rFonts w:hint="eastAsia"/>
          <w:lang w:eastAsia="zh-CN"/>
        </w:rPr>
        <w:t>”</w:t>
      </w:r>
      <w:r>
        <w:rPr>
          <w:lang w:eastAsia="en-US"/>
        </w:rPr>
        <w:t>原则，推进功能模块和部品构件标准化，减少异型和非标准部品构件。对改建扩建工程，鼓励充分利用原结构及满足要求的原机电设备。</w:t>
      </w:r>
    </w:p>
    <w:p>
      <w:pPr>
        <w:bidi w:val="0"/>
        <w:rPr>
          <w:lang w:eastAsia="en-US"/>
        </w:rPr>
      </w:pPr>
      <w:r>
        <w:rPr>
          <w:b/>
          <w:bCs/>
          <w:lang w:eastAsia="en-US"/>
        </w:rPr>
        <w:t>提高设计质量。</w:t>
      </w:r>
      <w:r>
        <w:rPr>
          <w:lang w:eastAsia="en-US"/>
        </w:rPr>
        <w:t>设计单位应根据地形地貌合理确定场地标高，开展土方平衡论证，减少渣土外运。选择适宜的结构体系，减少建筑形体不规则性。提倡建筑、结构、机电、装修、景观全专业一体化协同设计，保证设计深度满足施工需要，减少施工过程设计变更。</w:t>
      </w:r>
    </w:p>
    <w:p>
      <w:pPr>
        <w:pStyle w:val="4"/>
        <w:bidi w:val="0"/>
        <w:rPr>
          <w:lang w:eastAsia="en-US"/>
        </w:rPr>
      </w:pPr>
      <w:r>
        <w:rPr>
          <w:rFonts w:hint="eastAsia"/>
          <w:lang w:val="en-US" w:eastAsia="zh-CN"/>
        </w:rPr>
        <w:t>4、</w:t>
      </w:r>
      <w:r>
        <w:rPr>
          <w:lang w:eastAsia="en-US"/>
        </w:rPr>
        <w:t>推广绿色施工</w:t>
      </w:r>
    </w:p>
    <w:p>
      <w:pPr>
        <w:bidi w:val="0"/>
        <w:rPr>
          <w:lang w:eastAsia="en-US"/>
        </w:rPr>
      </w:pPr>
      <w:r>
        <w:rPr>
          <w:b/>
          <w:bCs/>
          <w:lang w:eastAsia="en-US"/>
        </w:rPr>
        <w:t>编制专项方案。</w:t>
      </w:r>
      <w:r>
        <w:rPr>
          <w:lang w:eastAsia="en-US"/>
        </w:rPr>
        <w:t>施工单位应组织编制施工现场建筑垃圾减量化专项方案，明确建筑垃圾减量化目标和职责分工，提出源头减量、分类管理、就地处置、排放控制的具体措施。</w:t>
      </w:r>
    </w:p>
    <w:p>
      <w:pPr>
        <w:bidi w:val="0"/>
        <w:rPr>
          <w:lang w:eastAsia="en-US"/>
        </w:rPr>
      </w:pPr>
      <w:r>
        <w:rPr>
          <w:b/>
          <w:bCs/>
          <w:lang w:eastAsia="en-US"/>
        </w:rPr>
        <w:t>做好设计深化和施工组织优化。</w:t>
      </w:r>
      <w:r>
        <w:rPr>
          <w:lang w:eastAsia="en-US"/>
        </w:rPr>
        <w:t>施工单位应结合工程加工、运输、安装方案和施工工艺要求，细化节点构造和具体做法。优化施工组织设计，合理确定施工工序，推行数字化加工和信息化管理，实现精准下料、精细管理，降低建筑材料损耗率。</w:t>
      </w:r>
    </w:p>
    <w:p>
      <w:pPr>
        <w:bidi w:val="0"/>
        <w:rPr>
          <w:highlight w:val="none"/>
          <w:lang w:eastAsia="en-US"/>
        </w:rPr>
      </w:pPr>
      <w:r>
        <w:rPr>
          <w:b/>
          <w:bCs/>
          <w:highlight w:val="none"/>
          <w:lang w:eastAsia="en-US"/>
        </w:rPr>
        <w:t>强化施工质量管控。</w:t>
      </w:r>
      <w:r>
        <w:rPr>
          <w:highlight w:val="none"/>
          <w:lang w:eastAsia="en-US"/>
        </w:rPr>
        <w:t>施工、监理等单位应严格按设计要求控 制进场材料和设备的质量，严把施工质量关，强化各工序质量管控， 减少因质量问题导致的返工或修补。加强对已完工工程的成品保护， 避免二次损坏。</w:t>
      </w:r>
    </w:p>
    <w:p>
      <w:pPr>
        <w:bidi w:val="0"/>
        <w:rPr>
          <w:highlight w:val="none"/>
          <w:lang w:eastAsia="en-US"/>
        </w:rPr>
      </w:pPr>
      <w:r>
        <w:rPr>
          <w:b/>
          <w:bCs/>
          <w:highlight w:val="none"/>
          <w:lang w:eastAsia="en-US"/>
        </w:rPr>
        <w:t>提高临时设施和周转材料的重复利用率。</w:t>
      </w:r>
      <w:r>
        <w:rPr>
          <w:highlight w:val="none"/>
          <w:lang w:eastAsia="en-US"/>
        </w:rPr>
        <w:t>施工现场办公用房、 宿舍、围挡、大门、工具棚、安全防护栏杆等推广采用重复利用率高  的标准化设施。鼓励采用工具式脚手架和模板支撑体系，推广应用铝  模板、金属防护网、金属通道板、拼装式道路板等周转材料。鼓励施  工单位在一定区域范围内统筹临时设施和周转材料的调配。</w:t>
      </w:r>
    </w:p>
    <w:p>
      <w:pPr>
        <w:bidi w:val="0"/>
        <w:rPr>
          <w:lang w:eastAsia="en-US"/>
        </w:rPr>
      </w:pPr>
      <w:r>
        <w:rPr>
          <w:b/>
          <w:bCs/>
          <w:lang w:eastAsia="en-US"/>
        </w:rPr>
        <w:t>推行临时设施和永久性设施的结合利用。</w:t>
      </w:r>
      <w:r>
        <w:rPr>
          <w:lang w:eastAsia="en-US"/>
        </w:rPr>
        <w:t>施工单位应充分考 虑施工用消防立管、消防水池、照明线路、道路、围挡等与永久性设 施的结合利用，减少因拆除临时设施产生的建筑垃圾。</w:t>
      </w:r>
    </w:p>
    <w:p>
      <w:pPr>
        <w:bidi w:val="0"/>
        <w:rPr>
          <w:lang w:eastAsia="en-US"/>
        </w:rPr>
      </w:pPr>
      <w:r>
        <w:rPr>
          <w:b/>
          <w:bCs/>
          <w:lang w:eastAsia="en-US"/>
        </w:rPr>
        <w:t>实行建筑垃圾分类管理。</w:t>
      </w:r>
      <w:r>
        <w:rPr>
          <w:lang w:eastAsia="en-US"/>
        </w:rPr>
        <w:t>施工单位应建立建筑垃圾分类收集与存放管理制度，实行分类收集、分类存放、分类处置。鼓励以末端处置为导向对建筑垃圾进行细化分类。严禁将危险废物和生活垃圾混入建筑垃圾。</w:t>
      </w:r>
    </w:p>
    <w:p>
      <w:pPr>
        <w:bidi w:val="0"/>
        <w:rPr>
          <w:lang w:eastAsia="en-US"/>
        </w:rPr>
      </w:pPr>
      <w:r>
        <w:rPr>
          <w:b/>
          <w:bCs/>
          <w:lang w:eastAsia="en-US"/>
        </w:rPr>
        <w:t>引导施工现场建筑垃圾再利用。</w:t>
      </w:r>
      <w:r>
        <w:rPr>
          <w:lang w:eastAsia="en-US"/>
        </w:rPr>
        <w:t>施工单位应充分利用混凝土、钢筋、模板、珍珠岩保温材料等余料，在满足质量要求的前提下，根据实际需求加工制作成各类工程材料，实行循环利用。施工现场不具备就地利用条件的，应按规定及时转运到建筑垃圾处置场所进行资源化处置和再利用。</w:t>
      </w:r>
    </w:p>
    <w:p>
      <w:pPr>
        <w:bidi w:val="0"/>
        <w:rPr>
          <w:lang w:eastAsia="en-US"/>
        </w:rPr>
      </w:pPr>
      <w:r>
        <w:rPr>
          <w:b/>
          <w:bCs/>
          <w:lang w:eastAsia="en-US"/>
        </w:rPr>
        <w:t>减少施工现场建筑垃圾排放。</w:t>
      </w:r>
      <w:r>
        <w:rPr>
          <w:lang w:eastAsia="en-US"/>
        </w:rPr>
        <w:t>施工单位应实时统计并监控建筑垃圾产生量，及时采取针对性措施降低建筑垃圾排放量。鼓励采用现场泥沙分离、泥浆脱水预处理等工艺，减少工程渣土和工程泥浆排放。</w:t>
      </w:r>
    </w:p>
    <w:p>
      <w:pPr>
        <w:pStyle w:val="4"/>
        <w:bidi w:val="0"/>
        <w:rPr>
          <w:lang w:eastAsia="en-US"/>
        </w:rPr>
      </w:pPr>
      <w:r>
        <w:rPr>
          <w:rFonts w:hint="eastAsia"/>
          <w:lang w:val="en-US" w:eastAsia="zh-CN"/>
        </w:rPr>
        <w:t>5、</w:t>
      </w:r>
      <w:r>
        <w:rPr>
          <w:lang w:eastAsia="en-US"/>
        </w:rPr>
        <w:t>实行源头分类</w:t>
      </w:r>
    </w:p>
    <w:p>
      <w:pPr>
        <w:bidi w:val="0"/>
        <w:rPr>
          <w:lang w:eastAsia="en-US"/>
        </w:rPr>
      </w:pPr>
      <w:r>
        <w:rPr>
          <w:b/>
          <w:bCs/>
          <w:lang w:eastAsia="en-US"/>
        </w:rPr>
        <w:t>实行建筑垃圾分类管理。</w:t>
      </w:r>
      <w:r>
        <w:rPr>
          <w:lang w:eastAsia="en-US"/>
        </w:rPr>
        <w:t>施工单位应按照住房城乡建设部《施工现场建筑垃圾减量化指导手册（试行）》要求，建立施工现场建筑垃圾分类收集与存放管理制度，按照工程渣土、工程泥浆、工程垃圾拆除垃圾、装修垃圾实行分类收集、分类存放、分类处置。在上述分类基础上鼓励以末端处置为导向对建筑垃圾进行细化分类，对剩油漆、剩涂料等有毒有害废弃物封闭分类存放，并设置醒目标识。鼓励利用智慧工地监管平台等信息化手段，对建筑垃圾收集、存放、利用外运等过程进行实时监管，并建立电子台账。在生活区、办公区按照城市生活垃圾分类要求推行垃圾分类，分别设置可回收物垃圾桶与其他垃圾桶，严禁将危险废物和生活垃圾混入建筑垃圾。</w:t>
      </w:r>
    </w:p>
    <w:p>
      <w:pPr>
        <w:bidi w:val="0"/>
        <w:rPr>
          <w:lang w:eastAsia="en-US"/>
        </w:rPr>
      </w:pPr>
      <w:r>
        <w:rPr>
          <w:b/>
          <w:bCs/>
          <w:lang w:eastAsia="en-US"/>
        </w:rPr>
        <w:t>引导施工现场建筑垃圾再利用。</w:t>
      </w:r>
      <w:r>
        <w:rPr>
          <w:lang w:eastAsia="en-US"/>
        </w:rPr>
        <w:t>引导施工现场建筑垃圾再利用，施工单位应充分利用废旧沥青路面、废旧水泥路面冷再生作为沥青面层与基层材料，应用碎石、土石方类等利用材料作为地基和路基回填材料，应用建筑残余物作为路基、混凝土余料浇筑路面；采用基坑降水利用技术、雨水收集利用技术及生活废水收集利用等先进技术，实现水资源循环利用。对施工现场不具备就地利用条件的，应按规定及时转运到建筑垃圾处置场所进行资源化处置和再利用。</w:t>
      </w:r>
    </w:p>
    <w:p>
      <w:pPr>
        <w:bidi w:val="0"/>
        <w:rPr>
          <w:lang w:eastAsia="en-US"/>
        </w:rPr>
      </w:pPr>
      <w:r>
        <w:rPr>
          <w:b/>
          <w:bCs/>
          <w:lang w:eastAsia="en-US"/>
        </w:rPr>
        <w:t>减少施工现场建筑垃圾排放。</w:t>
      </w:r>
      <w:r>
        <w:rPr>
          <w:lang w:eastAsia="en-US"/>
        </w:rPr>
        <w:t>工程项目施工阶段，施工单位应实时统计并监控建筑垃圾产生量，填写《施工现场建筑垃圾出场统计表》， 并存档备案，及时采取针对性措施降低建筑垃圾排放量。鼓励采用沥青路面就地热再生、水泥路面就地共振碎石化、现场泥沙分离、泥浆脱水预处理等工艺，减少废旧路面材料、工程渣土和工程泥浆排放。加强对外运处理建筑垃圾的运输管理，杜绝擅自倾倒、抛洒行为。</w:t>
      </w:r>
    </w:p>
    <w:p>
      <w:pPr>
        <w:pStyle w:val="4"/>
        <w:bidi w:val="0"/>
        <w:rPr>
          <w:lang w:eastAsia="en-US"/>
        </w:rPr>
      </w:pPr>
      <w:r>
        <w:rPr>
          <w:rFonts w:hint="eastAsia"/>
          <w:lang w:val="en-US" w:eastAsia="zh-CN"/>
        </w:rPr>
        <w:t>6、</w:t>
      </w:r>
      <w:r>
        <w:rPr>
          <w:lang w:eastAsia="en-US"/>
        </w:rPr>
        <w:t>源头污染防治要求</w:t>
      </w:r>
    </w:p>
    <w:p>
      <w:pPr>
        <w:bidi w:val="0"/>
        <w:rPr>
          <w:rFonts w:hint="default"/>
          <w:b/>
          <w:bCs/>
          <w:lang w:val="en-US" w:eastAsia="zh-CN"/>
        </w:rPr>
      </w:pPr>
      <w:r>
        <w:rPr>
          <w:rFonts w:hint="eastAsia"/>
          <w:b/>
          <w:bCs/>
          <w:lang w:val="en-US" w:eastAsia="zh-CN"/>
        </w:rPr>
        <w:t>（1）环境保护要求</w:t>
      </w:r>
    </w:p>
    <w:p>
      <w:pPr>
        <w:bidi w:val="0"/>
        <w:rPr>
          <w:rFonts w:hint="eastAsia"/>
          <w:lang w:val="en-US" w:eastAsia="zh-CN"/>
        </w:rPr>
      </w:pPr>
      <w:r>
        <w:rPr>
          <w:rFonts w:hint="eastAsia"/>
          <w:b/>
          <w:bCs/>
          <w:lang w:val="en-US" w:eastAsia="zh-CN"/>
        </w:rPr>
        <w:t>减少废弃物产生：</w:t>
      </w:r>
      <w:r>
        <w:rPr>
          <w:rFonts w:hint="eastAsia"/>
          <w:lang w:val="en-US" w:eastAsia="zh-CN"/>
        </w:rPr>
        <w:t>施工单位应优化施工方案，采用先进的施工技术和设备，尽量减少建筑垃圾的产生。通过精确计算材料用量，避免过度使用，减少建筑废弃物的生成。</w:t>
      </w:r>
    </w:p>
    <w:p>
      <w:pPr>
        <w:bidi w:val="0"/>
        <w:rPr>
          <w:rFonts w:hint="eastAsia"/>
          <w:lang w:val="en-US" w:eastAsia="zh-CN"/>
        </w:rPr>
      </w:pPr>
      <w:r>
        <w:rPr>
          <w:rFonts w:hint="eastAsia"/>
          <w:b/>
          <w:bCs/>
          <w:lang w:val="en-US" w:eastAsia="zh-CN"/>
        </w:rPr>
        <w:t>合理分类与存放：</w:t>
      </w:r>
      <w:r>
        <w:rPr>
          <w:rFonts w:hint="eastAsia"/>
          <w:lang w:val="en-US" w:eastAsia="zh-CN"/>
        </w:rPr>
        <w:t>建筑垃圾应按照不同的类型和性质进行分类存放，防止不同性质的垃圾相互污染。对于可回收和可利用的材料，应单独存放，以便于后续的回收利用工作。</w:t>
      </w:r>
    </w:p>
    <w:p>
      <w:pPr>
        <w:bidi w:val="0"/>
        <w:rPr>
          <w:rFonts w:hint="eastAsia"/>
          <w:lang w:val="en-US" w:eastAsia="zh-CN"/>
        </w:rPr>
      </w:pPr>
      <w:r>
        <w:rPr>
          <w:rFonts w:hint="eastAsia"/>
          <w:b/>
          <w:bCs/>
          <w:lang w:val="en-US" w:eastAsia="zh-CN"/>
        </w:rPr>
        <w:t>控制扬尘污染：</w:t>
      </w:r>
      <w:r>
        <w:rPr>
          <w:rFonts w:hint="eastAsia"/>
          <w:lang w:val="en-US" w:eastAsia="zh-CN"/>
        </w:rPr>
        <w:t>施工现场应设置有效的防尘设施，如酒水装置、挡风墙等，以减少施工过程中的扬尘污染。同时，对于易产生扬尘的材料，应采取遮盖、封闭等措施，确保扬尘得到有效控制。</w:t>
      </w:r>
    </w:p>
    <w:p>
      <w:pPr>
        <w:bidi w:val="0"/>
        <w:rPr>
          <w:rFonts w:hint="eastAsia"/>
          <w:lang w:val="en-US" w:eastAsia="zh-CN"/>
        </w:rPr>
      </w:pPr>
      <w:r>
        <w:rPr>
          <w:rFonts w:hint="eastAsia"/>
          <w:b/>
          <w:bCs/>
          <w:lang w:val="en-US" w:eastAsia="zh-CN"/>
        </w:rPr>
        <w:t>减少噪声和振动：</w:t>
      </w:r>
      <w:r>
        <w:rPr>
          <w:rFonts w:hint="eastAsia"/>
          <w:lang w:val="en-US" w:eastAsia="zh-CN"/>
        </w:rPr>
        <w:t>施工单位应选用低噪声、低振动的施工设备和工艺，确保施工活动对周围环境的影响最小化。在噪声敏感区域，应采取降噪措施，如设置隔音屏障、合理安排施工时间等。</w:t>
      </w:r>
    </w:p>
    <w:p>
      <w:pPr>
        <w:bidi w:val="0"/>
        <w:rPr>
          <w:rFonts w:hint="eastAsia"/>
          <w:lang w:val="en-US" w:eastAsia="zh-CN"/>
        </w:rPr>
      </w:pPr>
      <w:r>
        <w:rPr>
          <w:rFonts w:hint="eastAsia"/>
          <w:b/>
          <w:bCs/>
          <w:lang w:val="en-US" w:eastAsia="zh-CN"/>
        </w:rPr>
        <w:t>控制污水排放：</w:t>
      </w:r>
      <w:r>
        <w:rPr>
          <w:rFonts w:hint="eastAsia"/>
          <w:lang w:val="en-US" w:eastAsia="zh-CN"/>
        </w:rPr>
        <w:t>施工过程中应严格控制污水排放，确保施工废水经过处理后达到排放标准。同时，加强施工现场的雨水收集和利用，减少对自然水源的依赖。</w:t>
      </w:r>
    </w:p>
    <w:p>
      <w:pPr>
        <w:bidi w:val="0"/>
        <w:rPr>
          <w:rFonts w:hint="eastAsia"/>
          <w:lang w:val="en-US" w:eastAsia="zh-CN"/>
        </w:rPr>
      </w:pPr>
      <w:r>
        <w:rPr>
          <w:rFonts w:hint="eastAsia"/>
          <w:b/>
          <w:bCs/>
          <w:lang w:val="en-US" w:eastAsia="zh-CN"/>
        </w:rPr>
        <w:t>建立监测与报告制度：</w:t>
      </w:r>
      <w:r>
        <w:rPr>
          <w:rFonts w:hint="eastAsia"/>
          <w:lang w:val="en-US" w:eastAsia="zh-CN"/>
        </w:rPr>
        <w:t>施工单位应建立施工现场环境监测与报告制度，定期对施工活动产生的环境影响进行监测和评估。一旦发现环境问题，应及时采取措施进行整改，并向相关部门报告。</w:t>
      </w:r>
    </w:p>
    <w:p>
      <w:pPr>
        <w:pStyle w:val="4"/>
        <w:bidi w:val="0"/>
        <w:rPr>
          <w:rFonts w:hint="eastAsia"/>
          <w:lang w:val="en-US" w:eastAsia="zh-CN"/>
        </w:rPr>
      </w:pPr>
      <w:r>
        <w:rPr>
          <w:rFonts w:hint="eastAsia"/>
          <w:lang w:val="en-US" w:eastAsia="zh-CN"/>
        </w:rPr>
        <w:t>（2）大气污染防治措施</w:t>
      </w:r>
    </w:p>
    <w:p>
      <w:pPr>
        <w:bidi w:val="0"/>
        <w:rPr>
          <w:rFonts w:hint="default"/>
          <w:lang w:val="en-US" w:eastAsia="zh-CN"/>
        </w:rPr>
      </w:pPr>
      <w:r>
        <w:rPr>
          <w:rFonts w:hint="default"/>
          <w:b/>
          <w:bCs/>
          <w:lang w:val="en-US" w:eastAsia="zh-CN"/>
        </w:rPr>
        <w:t>严格管理施工现场：</w:t>
      </w:r>
      <w:r>
        <w:rPr>
          <w:rFonts w:hint="default"/>
          <w:lang w:val="en-US" w:eastAsia="zh-CN"/>
        </w:rPr>
        <w:t>施工单位在清理施工垃圾时，应搭设封闭式专用垃圾道，禁止凌空随意抛撒，以减少扬尘的产生。同时，施工现场道路应使用不易产生扬尘的材料铺设，并定期洒水清扫，防止道路扬尘。</w:t>
      </w:r>
    </w:p>
    <w:p>
      <w:pPr>
        <w:bidi w:val="0"/>
        <w:rPr>
          <w:rFonts w:hint="default"/>
          <w:lang w:val="en-US" w:eastAsia="zh-CN"/>
        </w:rPr>
      </w:pPr>
      <w:r>
        <w:rPr>
          <w:rFonts w:hint="default"/>
          <w:b/>
          <w:bCs/>
          <w:lang w:val="en-US" w:eastAsia="zh-CN"/>
        </w:rPr>
        <w:t>加强物料管理：</w:t>
      </w:r>
      <w:r>
        <w:rPr>
          <w:rFonts w:hint="default"/>
          <w:lang w:val="en-US" w:eastAsia="zh-CN"/>
        </w:rPr>
        <w:t>对于袋装水泥、白灰、粉煤灰等易飞扬的细</w:t>
      </w:r>
      <w:r>
        <w:rPr>
          <w:rFonts w:hint="eastAsia"/>
          <w:lang w:val="en-US" w:eastAsia="zh-CN"/>
        </w:rPr>
        <w:t>颗粒</w:t>
      </w:r>
      <w:r>
        <w:rPr>
          <w:rFonts w:hint="default"/>
          <w:lang w:val="en-US" w:eastAsia="zh-CN"/>
        </w:rPr>
        <w:t>散体材料，应存放在库内或采取遮盖措施，防止扬尘。散装水泥、粉煤灰、白灰等细颗粉状材料，应存放在固定容器散装罐内，没有固定容器时，应设封闭式库存放，并具备可靠的防扬尘措施。</w:t>
      </w:r>
    </w:p>
    <w:p>
      <w:pPr>
        <w:bidi w:val="0"/>
        <w:rPr>
          <w:rFonts w:hint="default"/>
          <w:lang w:val="en-US" w:eastAsia="zh-CN"/>
        </w:rPr>
      </w:pPr>
      <w:r>
        <w:rPr>
          <w:rFonts w:hint="default"/>
          <w:b/>
          <w:bCs/>
          <w:lang w:val="en-US" w:eastAsia="zh-CN"/>
        </w:rPr>
        <w:t>推广使用环保建材：</w:t>
      </w:r>
      <w:r>
        <w:rPr>
          <w:rFonts w:hint="default"/>
          <w:lang w:val="en-US" w:eastAsia="zh-CN"/>
        </w:rPr>
        <w:t>使用低挥发性有机化合物（VOC）含量低的涂料、无甲醛的板材等环保建材，以减少建筑垃圾产生和大气污染。</w:t>
      </w:r>
    </w:p>
    <w:p>
      <w:pPr>
        <w:bidi w:val="0"/>
        <w:rPr>
          <w:rFonts w:hint="default"/>
          <w:lang w:val="en-US" w:eastAsia="zh-CN"/>
        </w:rPr>
      </w:pPr>
      <w:r>
        <w:rPr>
          <w:rFonts w:hint="default"/>
          <w:b/>
          <w:bCs/>
          <w:lang w:val="en-US" w:eastAsia="zh-CN"/>
        </w:rPr>
        <w:t>提高施工管理水平：</w:t>
      </w:r>
      <w:r>
        <w:rPr>
          <w:rFonts w:hint="default"/>
          <w:lang w:val="en-US" w:eastAsia="zh-CN"/>
        </w:rPr>
        <w:t>加强建筑施工现场的污染源排放控制和监管，严格执行大气污染物排放标准，以减少建筑垃圾源头的大气污染。</w:t>
      </w:r>
    </w:p>
    <w:p>
      <w:pPr>
        <w:pStyle w:val="4"/>
        <w:bidi w:val="0"/>
        <w:rPr>
          <w:rFonts w:hint="eastAsia"/>
          <w:lang w:val="en-US" w:eastAsia="zh-CN"/>
        </w:rPr>
      </w:pPr>
      <w:r>
        <w:rPr>
          <w:rFonts w:hint="eastAsia"/>
          <w:lang w:val="en-US" w:eastAsia="zh-CN"/>
        </w:rPr>
        <w:t>（3）噪声污染防治措施</w:t>
      </w:r>
    </w:p>
    <w:p>
      <w:pPr>
        <w:bidi w:val="0"/>
        <w:rPr>
          <w:rFonts w:hint="default"/>
          <w:lang w:val="en-US" w:eastAsia="zh-CN"/>
        </w:rPr>
      </w:pPr>
      <w:r>
        <w:rPr>
          <w:rFonts w:hint="default"/>
          <w:b/>
          <w:bCs/>
          <w:lang w:val="en-US" w:eastAsia="zh-CN"/>
        </w:rPr>
        <w:t>设备选择与管理</w:t>
      </w:r>
      <w:r>
        <w:rPr>
          <w:rFonts w:hint="eastAsia"/>
          <w:b/>
          <w:bCs/>
          <w:lang w:val="en-US" w:eastAsia="zh-CN"/>
        </w:rPr>
        <w:t>：</w:t>
      </w:r>
      <w:r>
        <w:rPr>
          <w:rFonts w:hint="default"/>
          <w:lang w:val="en-US" w:eastAsia="zh-CN"/>
        </w:rPr>
        <w:t>优先选用低噪声级的设备机械，例如低噪音挖掘机、电锯等，避免使用高噪声设备</w:t>
      </w:r>
      <w:r>
        <w:rPr>
          <w:rFonts w:hint="eastAsia"/>
          <w:lang w:val="en-US" w:eastAsia="zh-CN"/>
        </w:rPr>
        <w:t>；</w:t>
      </w:r>
      <w:r>
        <w:rPr>
          <w:rFonts w:hint="default"/>
          <w:lang w:val="en-US" w:eastAsia="zh-CN"/>
        </w:rPr>
        <w:t>对于产生高声级的设备，应设法安装隔声装置，并建立封闭的操作棚，以减少噪声的扩散；定期对设备进行维护和保养，确保设备处于良好状态，降低因设备老化或故障产生的噪声。</w:t>
      </w:r>
    </w:p>
    <w:p>
      <w:pPr>
        <w:bidi w:val="0"/>
        <w:rPr>
          <w:rFonts w:hint="default"/>
          <w:lang w:val="en-US" w:eastAsia="zh-CN"/>
        </w:rPr>
      </w:pPr>
      <w:r>
        <w:rPr>
          <w:rFonts w:hint="default"/>
          <w:b/>
          <w:bCs/>
          <w:lang w:val="en-US" w:eastAsia="zh-CN"/>
        </w:rPr>
        <w:t>施工时间管理</w:t>
      </w:r>
      <w:r>
        <w:rPr>
          <w:rFonts w:hint="eastAsia"/>
          <w:b/>
          <w:bCs/>
          <w:lang w:val="en-US" w:eastAsia="zh-CN"/>
        </w:rPr>
        <w:t>：</w:t>
      </w:r>
      <w:r>
        <w:rPr>
          <w:rFonts w:hint="default"/>
          <w:lang w:val="en-US" w:eastAsia="zh-CN"/>
        </w:rPr>
        <w:t>严格执行国家和地方标准，禁止推土机、挖掘机等高噪声设备在夜间22</w:t>
      </w:r>
      <w:r>
        <w:rPr>
          <w:rFonts w:hint="eastAsia"/>
          <w:lang w:val="en-US" w:eastAsia="zh-CN"/>
        </w:rPr>
        <w:t>：</w:t>
      </w:r>
      <w:r>
        <w:rPr>
          <w:rFonts w:hint="default"/>
          <w:lang w:val="en-US" w:eastAsia="zh-CN"/>
        </w:rPr>
        <w:t>00至凌晨6</w:t>
      </w:r>
      <w:r>
        <w:rPr>
          <w:rFonts w:hint="eastAsia"/>
          <w:lang w:val="en-US" w:eastAsia="zh-CN"/>
        </w:rPr>
        <w:t>：</w:t>
      </w:r>
      <w:r>
        <w:rPr>
          <w:rFonts w:hint="default"/>
          <w:lang w:val="en-US" w:eastAsia="zh-CN"/>
        </w:rPr>
        <w:t>00施工，特别是在居民区、学校等敏感区域内</w:t>
      </w:r>
      <w:r>
        <w:rPr>
          <w:rFonts w:hint="eastAsia"/>
          <w:lang w:val="en-US" w:eastAsia="zh-CN"/>
        </w:rPr>
        <w:t>；</w:t>
      </w:r>
      <w:r>
        <w:rPr>
          <w:rFonts w:hint="default"/>
          <w:lang w:val="en-US" w:eastAsia="zh-CN"/>
        </w:rPr>
        <w:t>昼间施工应避免在</w:t>
      </w:r>
      <w:r>
        <w:rPr>
          <w:rFonts w:hint="eastAsia"/>
          <w:lang w:val="en-US" w:eastAsia="zh-CN"/>
        </w:rPr>
        <w:t>午休时间</w:t>
      </w:r>
      <w:r>
        <w:rPr>
          <w:rFonts w:hint="default"/>
          <w:lang w:val="en-US" w:eastAsia="zh-CN"/>
        </w:rPr>
        <w:t>使用大型机械，如果特殊需求，必须在夜间进行有噪声污染的作业，应事先填写申请报请环境保护行政主管部门审批，并提前通知附近居民。</w:t>
      </w:r>
    </w:p>
    <w:p>
      <w:pPr>
        <w:bidi w:val="0"/>
        <w:rPr>
          <w:rFonts w:hint="default"/>
          <w:lang w:val="en-US" w:eastAsia="zh-CN"/>
        </w:rPr>
      </w:pPr>
      <w:r>
        <w:rPr>
          <w:rFonts w:hint="default"/>
          <w:b/>
          <w:bCs/>
          <w:lang w:val="en-US" w:eastAsia="zh-CN"/>
        </w:rPr>
        <w:t>施工方法优化</w:t>
      </w:r>
      <w:r>
        <w:rPr>
          <w:rFonts w:hint="eastAsia"/>
          <w:b/>
          <w:bCs/>
          <w:lang w:val="en-US" w:eastAsia="zh-CN"/>
        </w:rPr>
        <w:t>：</w:t>
      </w:r>
      <w:r>
        <w:rPr>
          <w:rFonts w:hint="default"/>
          <w:lang w:val="en-US" w:eastAsia="zh-CN"/>
        </w:rPr>
        <w:t>尽量使用商品混凝土代替水泥搅拌站，减少现场搅拌产生的噪声</w:t>
      </w:r>
      <w:r>
        <w:rPr>
          <w:rFonts w:hint="eastAsia"/>
          <w:lang w:val="en-US" w:eastAsia="zh-CN"/>
        </w:rPr>
        <w:t>；</w:t>
      </w:r>
      <w:bookmarkStart w:id="148" w:name="OLE_LINK87"/>
      <w:r>
        <w:rPr>
          <w:rFonts w:hint="default"/>
          <w:lang w:val="en-US" w:eastAsia="zh-CN"/>
        </w:rPr>
        <w:t>在建筑垃圾收集阶段，设置合理的垃圾分类分区，减少垃圾运输车辆在工地内部行驶距离和频率</w:t>
      </w:r>
      <w:r>
        <w:rPr>
          <w:rFonts w:hint="eastAsia"/>
          <w:lang w:val="en-US" w:eastAsia="zh-CN"/>
        </w:rPr>
        <w:t>；</w:t>
      </w:r>
      <w:r>
        <w:rPr>
          <w:rFonts w:hint="default"/>
          <w:lang w:val="en-US" w:eastAsia="zh-CN"/>
        </w:rPr>
        <w:t>选择低噪音、低振动的运输车辆，并对车辆进行定期维护保养。</w:t>
      </w:r>
    </w:p>
    <w:bookmarkEnd w:id="148"/>
    <w:p>
      <w:pPr>
        <w:bidi w:val="0"/>
        <w:rPr>
          <w:rFonts w:hint="default"/>
          <w:lang w:val="en-US" w:eastAsia="zh-CN"/>
        </w:rPr>
      </w:pPr>
      <w:r>
        <w:rPr>
          <w:rFonts w:hint="default"/>
          <w:b/>
          <w:bCs/>
          <w:lang w:val="en-US" w:eastAsia="zh-CN"/>
        </w:rPr>
        <w:t>施工场地布置</w:t>
      </w:r>
      <w:r>
        <w:rPr>
          <w:rFonts w:hint="eastAsia"/>
          <w:b/>
          <w:bCs/>
          <w:lang w:val="en-US" w:eastAsia="zh-CN"/>
        </w:rPr>
        <w:t>：</w:t>
      </w:r>
      <w:bookmarkStart w:id="149" w:name="OLE_LINK88"/>
      <w:r>
        <w:rPr>
          <w:rFonts w:hint="default"/>
          <w:lang w:val="en-US" w:eastAsia="zh-CN"/>
        </w:rPr>
        <w:t>将设备尽量放在建筑工地的中心，以最大限度减轻施工机械对周围环境的影响；在施工场地周围设置简易隔声屏障，阻断声音的传播，减轻噪声对周围环境的影响。</w:t>
      </w:r>
    </w:p>
    <w:bookmarkEnd w:id="149"/>
    <w:p>
      <w:pPr>
        <w:bidi w:val="0"/>
        <w:rPr>
          <w:rFonts w:hint="default"/>
          <w:lang w:val="en-US" w:eastAsia="zh-CN"/>
        </w:rPr>
      </w:pPr>
      <w:r>
        <w:rPr>
          <w:rFonts w:hint="default"/>
          <w:b/>
          <w:bCs/>
          <w:lang w:val="en-US" w:eastAsia="zh-CN"/>
        </w:rPr>
        <w:t>人为噪声控制</w:t>
      </w:r>
      <w:r>
        <w:rPr>
          <w:rFonts w:hint="eastAsia"/>
          <w:b/>
          <w:bCs/>
          <w:lang w:val="en-US" w:eastAsia="zh-CN"/>
        </w:rPr>
        <w:t>：</w:t>
      </w:r>
      <w:r>
        <w:rPr>
          <w:rFonts w:hint="default"/>
          <w:lang w:val="en-US" w:eastAsia="zh-CN"/>
        </w:rPr>
        <w:t>倡导文明施工，建立健全控制人为噪声的管理制度</w:t>
      </w:r>
      <w:r>
        <w:rPr>
          <w:rFonts w:hint="eastAsia"/>
          <w:lang w:val="en-US" w:eastAsia="zh-CN"/>
        </w:rPr>
        <w:t>，</w:t>
      </w:r>
      <w:r>
        <w:rPr>
          <w:rFonts w:hint="default"/>
          <w:lang w:val="en-US" w:eastAsia="zh-CN"/>
        </w:rPr>
        <w:t>增强全体施工人员防噪声扰民的自觉意识；尽量减少人为的大声喧哗，保持施工现场的秩序和安静。</w:t>
      </w:r>
    </w:p>
    <w:p>
      <w:pPr>
        <w:bidi w:val="0"/>
        <w:rPr>
          <w:rFonts w:hint="default"/>
          <w:b/>
          <w:bCs/>
          <w:lang w:val="en-US" w:eastAsia="zh-CN"/>
        </w:rPr>
      </w:pPr>
      <w:bookmarkStart w:id="150" w:name="OLE_LINK86"/>
      <w:r>
        <w:rPr>
          <w:rFonts w:hint="eastAsia"/>
          <w:b/>
          <w:bCs/>
          <w:lang w:val="en-US" w:eastAsia="zh-CN"/>
        </w:rPr>
        <w:t>（4）水</w:t>
      </w:r>
      <w:bookmarkEnd w:id="150"/>
      <w:r>
        <w:rPr>
          <w:rFonts w:hint="eastAsia"/>
          <w:b/>
          <w:bCs/>
          <w:lang w:val="en-US" w:eastAsia="zh-CN"/>
        </w:rPr>
        <w:t>环境污染防治</w:t>
      </w:r>
    </w:p>
    <w:p>
      <w:pPr>
        <w:bidi w:val="0"/>
        <w:rPr>
          <w:rFonts w:hint="eastAsia"/>
          <w:lang w:eastAsia="zh-CN"/>
        </w:rPr>
      </w:pPr>
      <w:r>
        <w:rPr>
          <w:rFonts w:hint="eastAsia"/>
          <w:b/>
          <w:bCs/>
          <w:lang w:eastAsia="zh-CN"/>
        </w:rPr>
        <w:t>源头控制：</w:t>
      </w:r>
      <w:r>
        <w:rPr>
          <w:rFonts w:hint="eastAsia"/>
          <w:lang w:eastAsia="zh-CN"/>
        </w:rPr>
        <w:t>合理规划施工区域，在项目规划初期，应合理规划施工区域的选择，尽量远离水源地、水体和水生态保护区，以减少对周边水环境的影响；监督材料管理，严格控制施工现场的材料管理，确保材料储存区合理，防止材料暴露在雨水中，避免水中的有害物质溶解和扩散；控制建筑垃圾产生，采取垃圾分类、封装和及时清运等措施，防止建筑垃圾进入水体。</w:t>
      </w:r>
    </w:p>
    <w:p>
      <w:pPr>
        <w:bidi w:val="0"/>
        <w:rPr>
          <w:rFonts w:hint="eastAsia"/>
          <w:lang w:eastAsia="zh-CN"/>
        </w:rPr>
      </w:pPr>
      <w:r>
        <w:rPr>
          <w:rFonts w:hint="eastAsia"/>
          <w:b/>
          <w:bCs/>
          <w:lang w:eastAsia="zh-CN"/>
        </w:rPr>
        <w:t>施工过程管控：</w:t>
      </w:r>
      <w:r>
        <w:rPr>
          <w:rFonts w:hint="eastAsia"/>
          <w:lang w:eastAsia="zh-CN"/>
        </w:rPr>
        <w:t>管理施工排水口，加强对排水口的管理，确保排出的废水经过必要的净化处理后，再排放至外部水体或污水处理站；严格控制土方开挖，在</w:t>
      </w:r>
      <w:bookmarkStart w:id="151" w:name="OLE_LINK89"/>
      <w:r>
        <w:rPr>
          <w:rFonts w:hint="eastAsia"/>
          <w:lang w:eastAsia="zh-CN"/>
        </w:rPr>
        <w:t>土方开挖过程中，应采取有效措施防止土壤和泥浆进入水体，例</w:t>
      </w:r>
      <w:bookmarkEnd w:id="151"/>
      <w:r>
        <w:rPr>
          <w:rFonts w:hint="eastAsia"/>
          <w:lang w:eastAsia="zh-CN"/>
        </w:rPr>
        <w:t>如：可以使用护坡、挡土墙等结构来阻挡土壤和泥浆的流动；设置车辆冲洗池，</w:t>
      </w:r>
      <w:bookmarkStart w:id="152" w:name="OLE_LINK90"/>
      <w:r>
        <w:rPr>
          <w:rFonts w:hint="eastAsia"/>
          <w:lang w:eastAsia="zh-CN"/>
        </w:rPr>
        <w:t>车辆在冲洗干净后方可出场，严禁车辆带泥上路，不具备条件设置冲洗池的施工现场，应派专</w:t>
      </w:r>
      <w:bookmarkEnd w:id="152"/>
      <w:r>
        <w:rPr>
          <w:rFonts w:hint="eastAsia"/>
          <w:lang w:eastAsia="zh-CN"/>
        </w:rPr>
        <w:t>人冲洗车辆并将废水收集至污水池。</w:t>
      </w:r>
    </w:p>
    <w:p>
      <w:pPr>
        <w:pStyle w:val="2"/>
        <w:bidi w:val="0"/>
        <w:rPr>
          <w:lang w:eastAsia="en-US"/>
        </w:rPr>
      </w:pPr>
      <w:bookmarkStart w:id="153" w:name="_Toc1464"/>
      <w:r>
        <w:rPr>
          <w:lang w:eastAsia="en-US"/>
        </w:rPr>
        <w:t>七、收运体系规划</w:t>
      </w:r>
      <w:bookmarkEnd w:id="153"/>
    </w:p>
    <w:p>
      <w:pPr>
        <w:pStyle w:val="3"/>
        <w:bidi w:val="0"/>
        <w:rPr>
          <w:rFonts w:hint="eastAsia" w:ascii="楷体" w:hAnsi="楷体" w:eastAsia="楷体" w:cs="楷体"/>
          <w:sz w:val="28"/>
          <w:szCs w:val="28"/>
          <w:lang w:val="en-US" w:eastAsia="en-US"/>
        </w:rPr>
      </w:pPr>
      <w:bookmarkStart w:id="154" w:name="_Toc31290"/>
      <w:r>
        <w:rPr>
          <w:rFonts w:hint="eastAsia" w:ascii="楷体" w:hAnsi="楷体" w:eastAsia="楷体" w:cs="楷体"/>
          <w:sz w:val="28"/>
          <w:szCs w:val="28"/>
          <w:lang w:val="en-US" w:eastAsia="en-US"/>
        </w:rPr>
        <w:t>（一）基本要求</w:t>
      </w:r>
      <w:bookmarkEnd w:id="154"/>
    </w:p>
    <w:p>
      <w:pPr>
        <w:bidi w:val="0"/>
        <w:rPr>
          <w:lang w:eastAsia="en-US"/>
        </w:rPr>
      </w:pPr>
      <w:r>
        <w:rPr>
          <w:rFonts w:hint="eastAsia"/>
        </w:rPr>
        <w:t>构建“市场运作、分类精准、运输高效、监管严密”的建筑垃圾收运处理一体化系统，</w:t>
      </w:r>
      <w:bookmarkStart w:id="155" w:name="OLE_LINK42"/>
      <w:r>
        <w:rPr>
          <w:rFonts w:hint="eastAsia"/>
          <w:lang w:val="en-US" w:eastAsia="zh-CN"/>
        </w:rPr>
        <w:t>从源头减量、分类管理、运输监管及执法协同等多方面系统推进，提高建筑垃圾</w:t>
      </w:r>
      <w:r>
        <w:rPr>
          <w:lang w:eastAsia="en-US"/>
        </w:rPr>
        <w:t>收运的规范性、安全性和环保性，减少对环境的影响。</w:t>
      </w:r>
      <w:bookmarkEnd w:id="155"/>
    </w:p>
    <w:p>
      <w:pPr>
        <w:pStyle w:val="4"/>
        <w:bidi w:val="0"/>
        <w:rPr>
          <w:lang w:eastAsia="en-US"/>
        </w:rPr>
      </w:pPr>
      <w:bookmarkStart w:id="156" w:name="OLE_LINK43"/>
      <w:r>
        <w:rPr>
          <w:rFonts w:hint="eastAsia"/>
          <w:lang w:val="en-US" w:eastAsia="zh-CN"/>
        </w:rPr>
        <w:t>1、</w:t>
      </w:r>
      <w:r>
        <w:rPr>
          <w:lang w:eastAsia="en-US"/>
        </w:rPr>
        <w:t>分类收</w:t>
      </w:r>
      <w:bookmarkEnd w:id="156"/>
      <w:r>
        <w:rPr>
          <w:lang w:eastAsia="en-US"/>
        </w:rPr>
        <w:t>集</w:t>
      </w:r>
    </w:p>
    <w:p>
      <w:pPr>
        <w:bidi w:val="0"/>
        <w:rPr>
          <w:lang w:eastAsia="en-US"/>
        </w:rPr>
      </w:pPr>
      <w:r>
        <w:rPr>
          <w:rFonts w:hint="eastAsia"/>
          <w:lang w:val="en-US" w:eastAsia="zh-CN"/>
        </w:rPr>
        <w:t>遵循资源化利用的原则</w:t>
      </w:r>
      <w:r>
        <w:rPr>
          <w:lang w:eastAsia="en-US"/>
        </w:rPr>
        <w:t>对</w:t>
      </w:r>
      <w:r>
        <w:rPr>
          <w:rFonts w:hint="eastAsia"/>
          <w:lang w:val="en-US" w:eastAsia="zh-CN"/>
        </w:rPr>
        <w:t>县域内</w:t>
      </w:r>
      <w:r>
        <w:rPr>
          <w:lang w:eastAsia="en-US"/>
        </w:rPr>
        <w:t>建筑垃圾实行分类收集</w:t>
      </w:r>
      <w:r>
        <w:rPr>
          <w:rFonts w:hint="eastAsia"/>
          <w:lang w:val="en-US" w:eastAsia="zh-CN"/>
        </w:rPr>
        <w:t>和</w:t>
      </w:r>
      <w:r>
        <w:rPr>
          <w:lang w:eastAsia="en-US"/>
        </w:rPr>
        <w:t>全面管控，确保无管理漏洞现象的发生；</w:t>
      </w:r>
      <w:r>
        <w:t>施工组织设计制订建筑垃圾分类收集方案包括建筑垃圾产生量预测、具体分类堆放场地布置、收集设施配置等内容</w:t>
      </w:r>
      <w:r>
        <w:rPr>
          <w:rFonts w:hint="eastAsia"/>
          <w:lang w:eastAsia="zh-CN"/>
        </w:rPr>
        <w:t>，</w:t>
      </w:r>
      <w:r>
        <w:rPr>
          <w:lang w:eastAsia="en-US"/>
        </w:rPr>
        <w:t>通过有效的现场分类，突出建筑垃圾潜在的资源性，提高建筑垃圾再利用率，降低运输、分选和处理成本，实现其循环利用。</w:t>
      </w:r>
    </w:p>
    <w:p>
      <w:pPr>
        <w:pStyle w:val="4"/>
        <w:bidi w:val="0"/>
        <w:rPr>
          <w:lang w:eastAsia="en-US"/>
        </w:rPr>
      </w:pPr>
      <w:bookmarkStart w:id="157" w:name="OLE_LINK45"/>
      <w:r>
        <w:rPr>
          <w:rFonts w:hint="eastAsia"/>
          <w:lang w:val="en-US" w:eastAsia="zh-CN"/>
        </w:rPr>
        <w:t>2、</w:t>
      </w:r>
      <w:r>
        <w:rPr>
          <w:lang w:eastAsia="en-US"/>
        </w:rPr>
        <w:t>密闭运输</w:t>
      </w:r>
      <w:bookmarkEnd w:id="157"/>
    </w:p>
    <w:p>
      <w:pPr>
        <w:bidi w:val="0"/>
        <w:rPr>
          <w:lang w:eastAsia="en-US"/>
        </w:rPr>
      </w:pPr>
      <w:r>
        <w:rPr>
          <w:rFonts w:hint="eastAsia"/>
          <w:lang w:eastAsia="en-US"/>
        </w:rPr>
        <w:t>建筑垃圾转运实现100%密闭化运输</w:t>
      </w:r>
      <w:bookmarkStart w:id="158" w:name="OLE_LINK91"/>
      <w:r>
        <w:rPr>
          <w:rFonts w:hint="eastAsia"/>
          <w:lang w:eastAsia="zh-CN"/>
        </w:rPr>
        <w:t>，</w:t>
      </w:r>
      <w:r>
        <w:rPr>
          <w:rFonts w:hint="eastAsia"/>
          <w:lang w:eastAsia="en-US"/>
        </w:rPr>
        <w:t>全部采用密闭式车厢</w:t>
      </w:r>
      <w:r>
        <w:rPr>
          <w:rFonts w:hint="eastAsia"/>
          <w:lang w:eastAsia="zh-CN"/>
        </w:rPr>
        <w:t>，</w:t>
      </w:r>
      <w:r>
        <w:rPr>
          <w:rFonts w:hint="eastAsia"/>
          <w:lang w:eastAsia="en-US"/>
        </w:rPr>
        <w:t>将建筑垃圾完全封闭进行运输</w:t>
      </w:r>
      <w:r>
        <w:rPr>
          <w:rFonts w:hint="eastAsia"/>
          <w:lang w:eastAsia="zh-CN"/>
        </w:rPr>
        <w:t>，</w:t>
      </w:r>
      <w:r>
        <w:rPr>
          <w:lang w:eastAsia="en-US"/>
        </w:rPr>
        <w:t>车辆应具备全密闭防撒漏装置</w:t>
      </w:r>
      <w:r>
        <w:rPr>
          <w:rFonts w:hint="eastAsia"/>
          <w:lang w:eastAsia="zh-CN"/>
        </w:rPr>
        <w:t>，</w:t>
      </w:r>
      <w:r>
        <w:rPr>
          <w:lang w:eastAsia="en-US"/>
        </w:rPr>
        <w:t>密闭</w:t>
      </w:r>
      <w:bookmarkEnd w:id="158"/>
      <w:r>
        <w:rPr>
          <w:lang w:eastAsia="en-US"/>
        </w:rPr>
        <w:t>装置应结构简单、坚固耐用，有良好的密封性，当承载车辆直线行驶、转弯、紧急制动或行经颠簸路面时，不得遗撒、扬尘。</w:t>
      </w:r>
    </w:p>
    <w:p>
      <w:pPr>
        <w:pStyle w:val="4"/>
        <w:bidi w:val="0"/>
        <w:rPr>
          <w:lang w:eastAsia="en-US"/>
        </w:rPr>
      </w:pPr>
      <w:bookmarkStart w:id="159" w:name="OLE_LINK46"/>
      <w:r>
        <w:rPr>
          <w:rFonts w:hint="eastAsia"/>
          <w:lang w:val="en-US" w:eastAsia="zh-CN"/>
        </w:rPr>
        <w:t>3、</w:t>
      </w:r>
      <w:r>
        <w:rPr>
          <w:lang w:eastAsia="en-US"/>
        </w:rPr>
        <w:t>运输路线</w:t>
      </w:r>
      <w:bookmarkEnd w:id="159"/>
    </w:p>
    <w:p>
      <w:pPr>
        <w:bidi w:val="0"/>
        <w:rPr>
          <w:lang w:eastAsia="en-US"/>
        </w:rPr>
      </w:pPr>
      <w:r>
        <w:rPr>
          <w:lang w:eastAsia="en-US"/>
        </w:rPr>
        <w:t>所有建筑垃圾运输车辆应按照规定向</w:t>
      </w:r>
      <w:bookmarkStart w:id="160" w:name="OLE_LINK92"/>
      <w:r>
        <w:rPr>
          <w:u w:val="single"/>
          <w:lang w:eastAsia="en-US"/>
        </w:rPr>
        <w:t>城市综合管理部门</w:t>
      </w:r>
      <w:bookmarkEnd w:id="160"/>
      <w:r>
        <w:rPr>
          <w:rFonts w:hint="eastAsia"/>
          <w:u w:val="single"/>
          <w:lang w:eastAsia="zh-CN"/>
        </w:rPr>
        <w:t>、</w:t>
      </w:r>
      <w:r>
        <w:rPr>
          <w:rFonts w:hint="eastAsia"/>
          <w:u w:val="single"/>
          <w:lang w:val="en-US" w:eastAsia="zh-CN"/>
        </w:rPr>
        <w:t>交管部门</w:t>
      </w:r>
      <w:r>
        <w:rPr>
          <w:rFonts w:hint="eastAsia"/>
          <w:lang w:val="en-US" w:eastAsia="zh-CN"/>
        </w:rPr>
        <w:t>进行申报，</w:t>
      </w:r>
      <w:r>
        <w:rPr>
          <w:lang w:eastAsia="en-US"/>
        </w:rPr>
        <w:t>按照其指定的区域、路线、时段进行运输。收运路线应尽量避免穿越城区，同时应能根据工作量，调节每条作业线路的收集</w:t>
      </w:r>
      <w:r>
        <w:rPr>
          <w:rFonts w:hint="eastAsia"/>
          <w:lang w:eastAsia="zh-CN"/>
        </w:rPr>
        <w:t>—</w:t>
      </w:r>
      <w:r>
        <w:rPr>
          <w:lang w:eastAsia="en-US"/>
        </w:rPr>
        <w:t>运输时间，尽量减少对高峰期交通运输的影响。</w:t>
      </w:r>
    </w:p>
    <w:p>
      <w:pPr>
        <w:bidi w:val="0"/>
        <w:rPr>
          <w:b/>
          <w:bCs/>
          <w:lang w:eastAsia="en-US"/>
        </w:rPr>
      </w:pPr>
      <w:bookmarkStart w:id="161" w:name="OLE_LINK48"/>
      <w:r>
        <w:rPr>
          <w:rFonts w:hint="eastAsia"/>
          <w:b/>
          <w:bCs/>
          <w:lang w:val="en-US" w:eastAsia="zh-CN"/>
        </w:rPr>
        <w:t>4、</w:t>
      </w:r>
      <w:r>
        <w:rPr>
          <w:b/>
          <w:bCs/>
          <w:lang w:eastAsia="en-US"/>
        </w:rPr>
        <w:t>收集运输单位</w:t>
      </w:r>
      <w:bookmarkEnd w:id="161"/>
    </w:p>
    <w:p>
      <w:pPr>
        <w:bidi w:val="0"/>
        <w:rPr>
          <w:lang w:eastAsia="en-US"/>
        </w:rPr>
      </w:pPr>
      <w:r>
        <w:rPr>
          <w:lang w:eastAsia="en-US"/>
        </w:rPr>
        <w:t>根据住建部《</w:t>
      </w:r>
      <w:bookmarkStart w:id="162" w:name="OLE_LINK49"/>
      <w:r>
        <w:rPr>
          <w:lang w:eastAsia="en-US"/>
        </w:rPr>
        <w:t>住房和城乡建设部主管的行政许可事项实施规范</w:t>
      </w:r>
      <w:bookmarkEnd w:id="162"/>
      <w:r>
        <w:rPr>
          <w:lang w:eastAsia="en-US"/>
        </w:rPr>
        <w:t>》</w:t>
      </w:r>
      <w:r>
        <w:rPr>
          <w:rFonts w:hint="eastAsia"/>
          <w:lang w:val="en-US" w:eastAsia="zh-CN"/>
        </w:rPr>
        <w:t>的要求</w:t>
      </w:r>
      <w:r>
        <w:rPr>
          <w:lang w:eastAsia="en-US"/>
        </w:rPr>
        <w:t>，</w:t>
      </w:r>
      <w:r>
        <w:rPr>
          <w:rFonts w:hint="eastAsia"/>
          <w:lang w:val="en-US" w:eastAsia="zh-CN"/>
        </w:rPr>
        <w:t>桃江县</w:t>
      </w:r>
      <w:r>
        <w:rPr>
          <w:lang w:eastAsia="en-US"/>
        </w:rPr>
        <w:t>城市管理和综合执法</w:t>
      </w:r>
      <w:r>
        <w:rPr>
          <w:rFonts w:hint="eastAsia"/>
          <w:lang w:val="en-US" w:eastAsia="zh-CN"/>
        </w:rPr>
        <w:t>局</w:t>
      </w:r>
      <w:r>
        <w:rPr>
          <w:lang w:eastAsia="en-US"/>
        </w:rPr>
        <w:t>依法对进入</w:t>
      </w:r>
      <w:r>
        <w:rPr>
          <w:rFonts w:hint="eastAsia"/>
          <w:lang w:val="en-US" w:eastAsia="zh-CN"/>
        </w:rPr>
        <w:t>县域</w:t>
      </w:r>
      <w:r>
        <w:rPr>
          <w:lang w:eastAsia="en-US"/>
        </w:rPr>
        <w:t>建筑垃圾运输市场的企业实施城市建筑垃圾运输核准，对符合条件的运输企业核发城市建筑垃圾运输核准证件（含运营车辆标志）。</w:t>
      </w:r>
      <w:r>
        <w:rPr>
          <w:rFonts w:hint="eastAsia"/>
          <w:lang w:val="en-US" w:eastAsia="zh-CN"/>
        </w:rPr>
        <w:t>建筑垃圾运输单位应当配备符合技术规范的运输车辆；</w:t>
      </w:r>
      <w:r>
        <w:rPr>
          <w:lang w:eastAsia="en-US"/>
        </w:rPr>
        <w:t>建筑垃圾运输单位应有固定办公场所和与经营规模相适应的停车场</w:t>
      </w:r>
      <w:r>
        <w:rPr>
          <w:rFonts w:hint="eastAsia"/>
          <w:lang w:eastAsia="zh-CN"/>
        </w:rPr>
        <w:t>；</w:t>
      </w:r>
      <w:r>
        <w:rPr>
          <w:rFonts w:hint="eastAsia"/>
          <w:lang w:val="en-US" w:eastAsia="zh-CN"/>
        </w:rPr>
        <w:t>施工现场配备管理人员，配合建设单位或者施工单位履行职责，并做好书面记录。</w:t>
      </w:r>
    </w:p>
    <w:p>
      <w:pPr>
        <w:pStyle w:val="4"/>
        <w:bidi w:val="0"/>
        <w:rPr>
          <w:lang w:eastAsia="en-US"/>
        </w:rPr>
      </w:pPr>
      <w:r>
        <w:rPr>
          <w:rFonts w:hint="eastAsia"/>
          <w:lang w:val="en-US" w:eastAsia="zh-CN"/>
        </w:rPr>
        <w:t>5、</w:t>
      </w:r>
      <w:r>
        <w:rPr>
          <w:lang w:eastAsia="en-US"/>
        </w:rPr>
        <w:t>处理处置单位</w:t>
      </w:r>
    </w:p>
    <w:p>
      <w:pPr>
        <w:bidi w:val="0"/>
        <w:rPr>
          <w:lang w:eastAsia="en-US"/>
        </w:rPr>
      </w:pPr>
      <w:r>
        <w:rPr>
          <w:lang w:eastAsia="en-US"/>
        </w:rPr>
        <w:t>经营建筑垃圾处置的单位，应当向</w:t>
      </w:r>
      <w:r>
        <w:rPr>
          <w:u w:val="single"/>
          <w:lang w:eastAsia="en-US"/>
        </w:rPr>
        <w:t>城市综合管理部门</w:t>
      </w:r>
      <w:r>
        <w:rPr>
          <w:lang w:eastAsia="en-US"/>
        </w:rPr>
        <w:t>申请建筑垃圾处置许可；建筑垃圾处置单位应当按照国家相关标准和规定，实施场内道路硬化，设置冲洗设施，配置管理人员和保洁人员；建筑垃圾处置单位不得受纳生活垃圾、危险废弃物和许可规定以外的建筑垃圾。</w:t>
      </w:r>
    </w:p>
    <w:p>
      <w:pPr>
        <w:pStyle w:val="3"/>
        <w:bidi w:val="0"/>
        <w:rPr>
          <w:rFonts w:hint="eastAsia" w:ascii="楷体" w:hAnsi="楷体" w:eastAsia="楷体" w:cs="楷体"/>
          <w:sz w:val="28"/>
          <w:szCs w:val="28"/>
          <w:lang w:val="en-US" w:eastAsia="en-US"/>
        </w:rPr>
      </w:pPr>
      <w:bookmarkStart w:id="163" w:name="_Toc23636"/>
      <w:r>
        <w:rPr>
          <w:rFonts w:hint="eastAsia" w:ascii="楷体" w:hAnsi="楷体" w:eastAsia="楷体" w:cs="楷体"/>
          <w:sz w:val="28"/>
          <w:szCs w:val="28"/>
          <w:lang w:val="en-US" w:eastAsia="en-US"/>
        </w:rPr>
        <w:t>（二）收运模式</w:t>
      </w:r>
      <w:bookmarkEnd w:id="163"/>
    </w:p>
    <w:p>
      <w:pPr>
        <w:bidi w:val="0"/>
        <w:rPr>
          <w:lang w:eastAsia="en-US"/>
        </w:rPr>
      </w:pPr>
      <w:r>
        <w:rPr>
          <w:rFonts w:hint="eastAsia"/>
          <w:lang w:val="en-US" w:eastAsia="zh-CN"/>
        </w:rPr>
        <w:t>桃江</w:t>
      </w:r>
      <w:r>
        <w:rPr>
          <w:rFonts w:hint="eastAsia"/>
          <w:lang w:eastAsia="zh-CN"/>
        </w:rPr>
        <w:t>县建筑垃圾</w:t>
      </w:r>
      <w:r>
        <w:rPr>
          <w:rFonts w:hint="eastAsia"/>
          <w:lang w:val="en-US" w:eastAsia="zh-CN"/>
        </w:rPr>
        <w:t>收运采用两种模式：一是直运模式，建筑垃圾产生企业将建筑垃圾统一整理后由建筑垃圾收运企业收集或渣土运输公司进行运送，建筑垃圾收运企业的主要任务是按规定的时间和地点收集建筑垃圾，并将其运送到指定建筑垃圾综合利用处理厂；</w:t>
      </w:r>
      <w:r>
        <w:rPr>
          <w:rFonts w:hint="eastAsia"/>
          <w:lang w:eastAsia="zh-CN"/>
        </w:rPr>
        <w:t>二是转运模式，</w:t>
      </w:r>
      <w:r>
        <w:rPr>
          <w:lang w:eastAsia="en-US"/>
        </w:rPr>
        <w:t>建筑垃圾产生单位把建筑垃圾运送至指定的建筑垃圾</w:t>
      </w:r>
      <w:r>
        <w:rPr>
          <w:rFonts w:hint="eastAsia"/>
          <w:lang w:val="en-US" w:eastAsia="zh-CN"/>
        </w:rPr>
        <w:t>转运调配场</w:t>
      </w:r>
      <w:r>
        <w:rPr>
          <w:lang w:eastAsia="en-US"/>
        </w:rPr>
        <w:t>，在建筑垃圾</w:t>
      </w:r>
      <w:r>
        <w:rPr>
          <w:rFonts w:hint="eastAsia"/>
          <w:lang w:val="en-US" w:eastAsia="zh-CN"/>
        </w:rPr>
        <w:t>转运调配场</w:t>
      </w:r>
      <w:r>
        <w:rPr>
          <w:lang w:eastAsia="en-US"/>
        </w:rPr>
        <w:t>进行临时堆放和分类贮存，之后再由建筑垃圾收运企业进行转运处理。</w:t>
      </w:r>
    </w:p>
    <w:p>
      <w:pPr>
        <w:bidi w:val="0"/>
        <w:rPr>
          <w:rFonts w:hint="default"/>
          <w:lang w:val="en-US" w:eastAsia="zh-CN"/>
        </w:rPr>
      </w:pPr>
      <w:r>
        <w:rPr>
          <w:rFonts w:hint="eastAsia"/>
          <w:lang w:val="en-US" w:eastAsia="zh-CN"/>
        </w:rPr>
        <w:t>根据桃江县建筑垃圾产生量、</w:t>
      </w:r>
      <w:r>
        <w:rPr>
          <w:lang w:eastAsia="en-US"/>
        </w:rPr>
        <w:t>收运距离、道路交通、收运成本、收集场地条件等因素，</w:t>
      </w:r>
      <w:r>
        <w:rPr>
          <w:rFonts w:hint="eastAsia"/>
          <w:lang w:val="en-US" w:eastAsia="zh-CN"/>
        </w:rPr>
        <w:t>确定</w:t>
      </w:r>
      <w:r>
        <w:rPr>
          <w:rFonts w:hint="eastAsia"/>
          <w:lang w:eastAsia="zh-CN"/>
        </w:rPr>
        <w:t>收运模式为“源头</w:t>
      </w:r>
      <w:r>
        <w:rPr>
          <w:rFonts w:hint="eastAsia"/>
          <w:lang w:val="en-US" w:eastAsia="zh-CN"/>
        </w:rPr>
        <w:t>分类</w:t>
      </w:r>
      <w:r>
        <w:rPr>
          <w:rFonts w:hint="eastAsia"/>
          <w:lang w:eastAsia="zh-CN"/>
        </w:rPr>
        <w:t>集中，</w:t>
      </w:r>
      <w:r>
        <w:rPr>
          <w:rFonts w:hint="eastAsia"/>
          <w:lang w:val="en-US" w:eastAsia="zh-CN"/>
        </w:rPr>
        <w:t>定点收集</w:t>
      </w:r>
      <w:r>
        <w:rPr>
          <w:rFonts w:hint="eastAsia"/>
          <w:lang w:eastAsia="zh-CN"/>
        </w:rPr>
        <w:t>，直运和转运相结合”</w:t>
      </w:r>
      <w:r>
        <w:rPr>
          <w:lang w:eastAsia="en-US"/>
        </w:rPr>
        <w:t>。</w:t>
      </w:r>
      <w:r>
        <w:rPr>
          <w:rFonts w:hint="eastAsia"/>
          <w:lang w:val="en-US" w:eastAsia="zh-CN"/>
        </w:rPr>
        <w:t>对于离建筑垃圾综合利用基地或资源化利用厂距离20km内的建筑垃圾宜采用定点收集、直接收运模式；对于离建筑垃圾综合利用处理厂超过20km内的建筑垃圾宜采用通过建筑垃圾收集点转运模式。</w:t>
      </w:r>
    </w:p>
    <w:p>
      <w:pPr>
        <w:pStyle w:val="3"/>
        <w:bidi w:val="0"/>
        <w:rPr>
          <w:rFonts w:hint="eastAsia" w:ascii="楷体" w:hAnsi="楷体" w:eastAsia="楷体" w:cs="楷体"/>
          <w:sz w:val="28"/>
          <w:szCs w:val="28"/>
          <w:lang w:val="en-US" w:eastAsia="en-US"/>
        </w:rPr>
      </w:pPr>
      <w:bookmarkStart w:id="164" w:name="_Toc10452"/>
      <w:r>
        <w:rPr>
          <w:rFonts w:hint="eastAsia" w:ascii="楷体" w:hAnsi="楷体" w:eastAsia="楷体" w:cs="楷体"/>
          <w:sz w:val="28"/>
          <w:szCs w:val="28"/>
          <w:lang w:val="en-US" w:eastAsia="en-US"/>
        </w:rPr>
        <w:t>（三）分类收运</w:t>
      </w:r>
      <w:bookmarkEnd w:id="164"/>
    </w:p>
    <w:p>
      <w:pPr>
        <w:bidi w:val="0"/>
        <w:rPr>
          <w:lang w:eastAsia="en-US"/>
        </w:rPr>
      </w:pPr>
      <w:r>
        <w:rPr>
          <w:rFonts w:hint="eastAsia"/>
          <w:lang w:val="en-US" w:eastAsia="zh-CN"/>
        </w:rPr>
        <w:t>桃江县</w:t>
      </w:r>
      <w:r>
        <w:rPr>
          <w:lang w:eastAsia="en-US"/>
        </w:rPr>
        <w:t>建筑垃圾收运</w:t>
      </w:r>
      <w:r>
        <w:rPr>
          <w:rFonts w:hint="eastAsia"/>
          <w:lang w:val="en-US" w:eastAsia="zh-CN"/>
        </w:rPr>
        <w:t>实施</w:t>
      </w:r>
      <w:r>
        <w:rPr>
          <w:lang w:eastAsia="en-US"/>
        </w:rPr>
        <w:t>由建筑垃圾排放单位委托已依法取得建筑垃圾处置准运证的收运单位进行分类收集运输。根据不同建筑垃圾产生源的分布情况，结合建筑垃圾处理、资源化利用设施服务范围以及建筑垃圾处置方式，确定建筑垃圾收运模式和收运流程，因地制宜地推进建筑垃圾分类收集和运输，并做好相应台账记录。依托信息化管理技术与平台，逐步建立覆盖建筑垃圾收运处置全过程的电子联单跟踪系统，实现闭环监管，构建收运体系。</w:t>
      </w:r>
    </w:p>
    <w:p>
      <w:pPr>
        <w:bidi w:val="0"/>
        <w:rPr>
          <w:lang w:val="en-US" w:eastAsia="zh-CN"/>
        </w:rPr>
      </w:pPr>
      <w:r>
        <w:rPr>
          <w:rFonts w:hint="eastAsia"/>
          <w:lang w:val="en-US" w:eastAsia="zh-CN"/>
        </w:rPr>
        <w:t>建设、拆迁、装修等工程项目产生的建筑垃圾应按不同的产生源、种类、性质进行分别堆放、分类收运，具体流程如下。</w:t>
      </w:r>
    </w:p>
    <w:p>
      <w:pPr>
        <w:pStyle w:val="4"/>
        <w:bidi w:val="0"/>
        <w:rPr>
          <w:lang w:eastAsia="en-US"/>
        </w:rPr>
      </w:pPr>
      <w:r>
        <w:rPr>
          <w:lang w:eastAsia="en-US"/>
        </w:rPr>
        <w:t>1、工程渣土、工程泥浆</w:t>
      </w:r>
    </w:p>
    <w:p>
      <w:pPr>
        <w:bidi w:val="0"/>
        <w:rPr>
          <w:b/>
          <w:bCs/>
          <w:lang w:eastAsia="en-US"/>
        </w:rPr>
      </w:pPr>
      <w:r>
        <w:rPr>
          <w:b/>
          <w:bCs/>
          <w:lang w:eastAsia="en-US"/>
        </w:rPr>
        <w:t>（1）收运主体</w:t>
      </w:r>
    </w:p>
    <w:p>
      <w:pPr>
        <w:bidi w:val="0"/>
        <w:rPr>
          <w:lang w:eastAsia="en-US"/>
        </w:rPr>
      </w:pPr>
      <w:r>
        <w:rPr>
          <w:lang w:eastAsia="en-US"/>
        </w:rPr>
        <w:t>建设单位和施工企业。</w:t>
      </w:r>
    </w:p>
    <w:p>
      <w:pPr>
        <w:bidi w:val="0"/>
        <w:rPr>
          <w:b/>
          <w:bCs/>
          <w:lang w:eastAsia="en-US"/>
        </w:rPr>
      </w:pPr>
      <w:r>
        <w:rPr>
          <w:b/>
          <w:bCs/>
          <w:lang w:eastAsia="en-US"/>
        </w:rPr>
        <w:t>（2）收运要求</w:t>
      </w:r>
    </w:p>
    <w:p>
      <w:pPr>
        <w:bidi w:val="0"/>
        <w:rPr>
          <w:lang w:eastAsia="en-US"/>
        </w:rPr>
      </w:pPr>
      <w:r>
        <w:rPr>
          <w:lang w:eastAsia="en-US"/>
        </w:rPr>
        <w:t>表层耕植土不宜和其他土类、建筑垃圾混合，应单独堆放、控制堆高、覆盖保护；可用作建筑原材料的粉砂（土）、砂土以及卵（砾）石、岩石等，宜分类收集。</w:t>
      </w:r>
      <w:r>
        <w:rPr>
          <w:lang w:eastAsia="zh-CN"/>
        </w:rPr>
        <w:t>少量工程泥浆应通过工程现场设置的泥浆池收集，严禁未加处置的泥浆就地或随意排放</w:t>
      </w:r>
      <w:r>
        <w:rPr>
          <w:rFonts w:hint="eastAsia"/>
          <w:lang w:eastAsia="zh-CN"/>
        </w:rPr>
        <w:t>；</w:t>
      </w:r>
      <w:r>
        <w:rPr>
          <w:lang w:eastAsia="zh-CN"/>
        </w:rPr>
        <w:t>规模较大的建设工程，泥浆宜预先固化处理。</w:t>
      </w:r>
      <w:r>
        <w:rPr>
          <w:rFonts w:hint="eastAsia"/>
          <w:lang w:val="en-US" w:eastAsia="zh-CN"/>
        </w:rPr>
        <w:t>根据实际条件，工程渣土可在施工现场安全区域</w:t>
      </w:r>
      <w:r>
        <w:rPr>
          <w:lang w:eastAsia="en-US"/>
        </w:rPr>
        <w:t>临时</w:t>
      </w:r>
      <w:r>
        <w:rPr>
          <w:rFonts w:hint="eastAsia"/>
          <w:lang w:val="en-US" w:eastAsia="zh-CN"/>
        </w:rPr>
        <w:t>集中堆放或直接外运；</w:t>
      </w:r>
      <w:r>
        <w:rPr>
          <w:lang w:eastAsia="en-US"/>
        </w:rPr>
        <w:t>临时堆放</w:t>
      </w:r>
      <w:r>
        <w:rPr>
          <w:rFonts w:hint="eastAsia"/>
          <w:lang w:val="en-US" w:eastAsia="zh-CN"/>
        </w:rPr>
        <w:t>的工程渣土</w:t>
      </w:r>
      <w:r>
        <w:rPr>
          <w:lang w:eastAsia="en-US"/>
        </w:rPr>
        <w:t>堆放高度不应超出围挡高度，并与围挡（墙）及基坑周边保持安全距离，与现有的建筑物或构筑物保持安全距离。</w:t>
      </w:r>
    </w:p>
    <w:p>
      <w:pPr>
        <w:bidi w:val="0"/>
        <w:rPr>
          <w:b/>
          <w:bCs/>
          <w:lang w:eastAsia="en-US"/>
        </w:rPr>
      </w:pPr>
      <w:r>
        <w:rPr>
          <w:b/>
          <w:bCs/>
          <w:lang w:eastAsia="en-US"/>
        </w:rPr>
        <w:t>（3）收运流程</w:t>
      </w:r>
    </w:p>
    <w:p>
      <w:pPr>
        <w:bidi w:val="0"/>
        <w:rPr>
          <w:lang w:eastAsia="en-US"/>
        </w:rPr>
      </w:pPr>
      <w:r>
        <w:rPr>
          <w:b/>
          <w:bCs/>
          <w:lang w:eastAsia="en-US"/>
        </w:rPr>
        <w:t>行政许可阶段：</w:t>
      </w:r>
      <w:r>
        <w:rPr>
          <w:lang w:eastAsia="en-US"/>
        </w:rPr>
        <w:t>产生单位和个人到</w:t>
      </w:r>
      <w:r>
        <w:rPr>
          <w:u w:val="single"/>
          <w:lang w:eastAsia="en-US"/>
        </w:rPr>
        <w:t>城市管理和综合执法部门</w:t>
      </w:r>
      <w:r>
        <w:rPr>
          <w:lang w:eastAsia="en-US"/>
        </w:rPr>
        <w:t>办理行政处置许可手续，提交工程相关信息，确定承运单位、运输时间，管理部门审核给予行政许可。</w:t>
      </w:r>
    </w:p>
    <w:p>
      <w:pPr>
        <w:bidi w:val="0"/>
        <w:rPr>
          <w:lang w:eastAsia="en-US"/>
        </w:rPr>
      </w:pPr>
      <w:bookmarkStart w:id="165" w:name="bookmark154"/>
      <w:bookmarkEnd w:id="165"/>
      <w:r>
        <w:rPr>
          <w:b/>
          <w:bCs/>
          <w:lang w:eastAsia="en-US"/>
        </w:rPr>
        <w:t>施工阶段：</w:t>
      </w:r>
      <w:r>
        <w:rPr>
          <w:lang w:eastAsia="en-US"/>
        </w:rPr>
        <w:t>施工现场需实施封闭管理和降尘措施，出入口应硬化并安装车辆冲洗设备和沉淀池，防止泥浆、渣土带出施工现场。工程泥浆在收运前必须经过干化处理，以减少运输过程中的泄漏和滴漏问题，确保泥浆达到可应用于土方平衡的状态。工地开工后，</w:t>
      </w:r>
      <w:r>
        <w:rPr>
          <w:u w:val="single"/>
          <w:lang w:eastAsia="en-US"/>
        </w:rPr>
        <w:t>城市管理和综合执法部门、住建部门</w:t>
      </w:r>
      <w:r>
        <w:rPr>
          <w:lang w:eastAsia="en-US"/>
        </w:rPr>
        <w:t>等不定期对施工现场进行巡查，监督干化处理及其它环保措施的实施情况</w:t>
      </w:r>
    </w:p>
    <w:p>
      <w:pPr>
        <w:bidi w:val="0"/>
        <w:rPr>
          <w:lang w:eastAsia="en-US"/>
        </w:rPr>
      </w:pPr>
      <w:r>
        <w:rPr>
          <w:b/>
          <w:bCs/>
          <w:lang w:eastAsia="en-US"/>
        </w:rPr>
        <w:t>运输阶段：</w:t>
      </w:r>
      <w:r>
        <w:rPr>
          <w:lang w:eastAsia="en-US"/>
        </w:rPr>
        <w:t>工程渣土、工程泥浆产生后，由承运单位进场进行清运。建筑垃圾运输车辆的行驶路线和时间，由</w:t>
      </w:r>
      <w:r>
        <w:rPr>
          <w:u w:val="single"/>
          <w:lang w:eastAsia="en-US"/>
        </w:rPr>
        <w:t>交管部门</w:t>
      </w:r>
      <w:r>
        <w:rPr>
          <w:lang w:eastAsia="en-US"/>
        </w:rPr>
        <w:t>确定，并告知运输单位，同时要求车辆上安装卫星定位系统并全程开启。运输建筑垃圾的过程中保持箱体完好，采取密闭措施，相关执法部门进行全程定位监控，严厉查处无证运输车辆带泥行驶、抛洒滴漏等行为。</w:t>
      </w:r>
      <w:bookmarkStart w:id="166" w:name="OLE_LINK50"/>
      <w:bookmarkStart w:id="167" w:name="OLE_LINK51"/>
      <w:r>
        <w:rPr>
          <w:lang w:eastAsia="en-US"/>
        </w:rPr>
        <w:t>建筑垃圾运输车辆审查</w:t>
      </w:r>
      <w:bookmarkEnd w:id="166"/>
      <w:r>
        <w:rPr>
          <w:lang w:eastAsia="en-US"/>
        </w:rPr>
        <w:t>采用半年审制，严格审查企业车辆数量、车辆密闭性和管理情况。</w:t>
      </w:r>
    </w:p>
    <w:bookmarkEnd w:id="167"/>
    <w:p>
      <w:pPr>
        <w:bidi w:val="0"/>
        <w:rPr>
          <w:lang w:eastAsia="en-US"/>
        </w:rPr>
      </w:pPr>
      <w:r>
        <w:rPr>
          <w:b/>
          <w:bCs/>
          <w:lang w:eastAsia="en-US"/>
        </w:rPr>
        <w:t>处置阶段：</w:t>
      </w:r>
      <w:r>
        <w:rPr>
          <w:lang w:eastAsia="en-US"/>
        </w:rPr>
        <w:t>工程渣土、工程泥浆必须清运至指定的处置场所，以及其他能够资源化利用的场所。</w:t>
      </w:r>
      <w:r>
        <w:rPr>
          <w:u w:val="single"/>
          <w:lang w:eastAsia="en-US"/>
        </w:rPr>
        <w:t>城市管理和综合执法部门</w:t>
      </w:r>
      <w:r>
        <w:rPr>
          <w:lang w:eastAsia="en-US"/>
        </w:rPr>
        <w:t>建立完善日常巡查机制，查处无证处置建筑垃圾行为。处置场所安装视频设备，通过建筑垃圾信息管理系统或定期检查现场存储视频对进出车辆和处置场运行情况进行监管。针对偷倒乱倒工程渣土的行为由城市管理和综合执法部门依法查处。</w:t>
      </w:r>
    </w:p>
    <w:p>
      <w:pPr>
        <w:pStyle w:val="4"/>
        <w:bidi w:val="0"/>
        <w:rPr>
          <w:lang w:eastAsia="en-US"/>
        </w:rPr>
      </w:pPr>
      <w:r>
        <w:rPr>
          <w:lang w:eastAsia="en-US"/>
        </w:rPr>
        <w:t>2、</w:t>
      </w:r>
      <w:bookmarkStart w:id="168" w:name="OLE_LINK52"/>
      <w:r>
        <w:rPr>
          <w:lang w:eastAsia="en-US"/>
        </w:rPr>
        <w:t>工程垃圾、拆除垃圾</w:t>
      </w:r>
      <w:bookmarkEnd w:id="168"/>
    </w:p>
    <w:p>
      <w:pPr>
        <w:bidi w:val="0"/>
        <w:rPr>
          <w:b/>
          <w:bCs/>
          <w:lang w:eastAsia="en-US"/>
        </w:rPr>
      </w:pPr>
      <w:r>
        <w:rPr>
          <w:b/>
          <w:bCs/>
          <w:lang w:eastAsia="en-US"/>
        </w:rPr>
        <w:t>（1）收运主体</w:t>
      </w:r>
    </w:p>
    <w:p>
      <w:pPr>
        <w:bidi w:val="0"/>
        <w:rPr>
          <w:lang w:eastAsia="en-US"/>
        </w:rPr>
      </w:pPr>
      <w:r>
        <w:rPr>
          <w:lang w:eastAsia="en-US"/>
        </w:rPr>
        <w:t>建设单位和施工企业。</w:t>
      </w:r>
    </w:p>
    <w:p>
      <w:pPr>
        <w:bidi w:val="0"/>
        <w:rPr>
          <w:b/>
          <w:bCs/>
          <w:lang w:eastAsia="en-US"/>
        </w:rPr>
      </w:pPr>
      <w:r>
        <w:rPr>
          <w:b/>
          <w:bCs/>
          <w:lang w:eastAsia="en-US"/>
        </w:rPr>
        <w:t>（2）收运要求</w:t>
      </w:r>
    </w:p>
    <w:p>
      <w:pPr>
        <w:bidi w:val="0"/>
        <w:rPr>
          <w:lang w:eastAsia="en-US"/>
        </w:rPr>
      </w:pPr>
      <w:r>
        <w:rPr>
          <w:rFonts w:hint="eastAsia"/>
          <w:lang w:val="en-US" w:eastAsia="zh-CN"/>
        </w:rPr>
        <w:t>施工人员在施工过程中，将产生的工程垃圾、拆除垃圾分类放置到指定的收集容器或临时集中堆放点，需现场破碎的现场破碎，并分类对方；</w:t>
      </w:r>
      <w:r>
        <w:rPr>
          <w:lang w:eastAsia="en-US"/>
        </w:rPr>
        <w:t>工程垃圾、拆除垃圾</w:t>
      </w:r>
      <w:r>
        <w:rPr>
          <w:rFonts w:hint="eastAsia"/>
          <w:lang w:val="en-US" w:eastAsia="zh-CN"/>
        </w:rPr>
        <w:t>可再利用的，</w:t>
      </w:r>
      <w:r>
        <w:rPr>
          <w:lang w:eastAsia="zh-CN"/>
        </w:rPr>
        <w:t>应优先就地利用</w:t>
      </w:r>
      <w:r>
        <w:rPr>
          <w:rFonts w:hint="eastAsia"/>
          <w:lang w:eastAsia="zh-CN"/>
        </w:rPr>
        <w:t>；</w:t>
      </w:r>
      <w:r>
        <w:rPr>
          <w:lang w:eastAsia="zh-CN"/>
        </w:rPr>
        <w:t>可进行资源化利用的</w:t>
      </w:r>
      <w:r>
        <w:rPr>
          <w:rFonts w:hint="eastAsia"/>
          <w:lang w:val="en-US" w:eastAsia="zh-CN"/>
        </w:rPr>
        <w:t>工程垃圾、</w:t>
      </w:r>
      <w:r>
        <w:rPr>
          <w:lang w:eastAsia="zh-CN"/>
        </w:rPr>
        <w:t>拆除垃圾运输至建筑垃圾资源化处理</w:t>
      </w:r>
      <w:r>
        <w:rPr>
          <w:rFonts w:hint="eastAsia"/>
          <w:lang w:val="en-US" w:eastAsia="zh-CN"/>
        </w:rPr>
        <w:t>场所</w:t>
      </w:r>
      <w:r>
        <w:rPr>
          <w:lang w:eastAsia="zh-CN"/>
        </w:rPr>
        <w:t>进行资源化处理。</w:t>
      </w:r>
    </w:p>
    <w:p>
      <w:pPr>
        <w:bidi w:val="0"/>
        <w:rPr>
          <w:b/>
          <w:bCs/>
          <w:lang w:eastAsia="en-US"/>
        </w:rPr>
      </w:pPr>
      <w:r>
        <w:rPr>
          <w:b/>
          <w:bCs/>
          <w:lang w:eastAsia="en-US"/>
        </w:rPr>
        <w:t>（3）收运流程</w:t>
      </w:r>
    </w:p>
    <w:p>
      <w:pPr>
        <w:bidi w:val="0"/>
        <w:rPr>
          <w:lang w:eastAsia="en-US"/>
        </w:rPr>
      </w:pPr>
      <w:r>
        <w:rPr>
          <w:b/>
          <w:bCs/>
          <w:lang w:eastAsia="en-US"/>
        </w:rPr>
        <w:t>行政许可阶段：</w:t>
      </w:r>
      <w:r>
        <w:rPr>
          <w:lang w:eastAsia="en-US"/>
        </w:rPr>
        <w:t>产生单位和个人到</w:t>
      </w:r>
      <w:r>
        <w:rPr>
          <w:u w:val="single"/>
          <w:lang w:eastAsia="en-US"/>
        </w:rPr>
        <w:t>城市管理和综合执法部门</w:t>
      </w:r>
      <w:r>
        <w:rPr>
          <w:lang w:eastAsia="en-US"/>
        </w:rPr>
        <w:t>办理行政处置许可手续，提交工程相关信息，确定承运单位、运输时间，管理部门审核给予</w:t>
      </w:r>
      <w:bookmarkStart w:id="169" w:name="bookmark155"/>
      <w:bookmarkEnd w:id="169"/>
      <w:r>
        <w:rPr>
          <w:lang w:eastAsia="en-US"/>
        </w:rPr>
        <w:t>行政许可。</w:t>
      </w:r>
    </w:p>
    <w:p>
      <w:pPr>
        <w:bidi w:val="0"/>
        <w:rPr>
          <w:lang w:eastAsia="en-US"/>
        </w:rPr>
      </w:pPr>
      <w:r>
        <w:rPr>
          <w:b/>
          <w:bCs/>
          <w:lang w:eastAsia="en-US"/>
        </w:rPr>
        <w:t>施工阶段：</w:t>
      </w:r>
      <w:r>
        <w:rPr>
          <w:lang w:eastAsia="en-US"/>
        </w:rPr>
        <w:t>所有工程必须做到封闭施工和降尘施工，施工出入口应当硬化，设立车辆冲洗设备和沉淀池，严禁在车行道上堆放施工材料和建筑垃圾。工地开工后，工程垃圾和拆除垃圾均按照管理要求分类堆放，</w:t>
      </w:r>
      <w:r>
        <w:rPr>
          <w:u w:val="single"/>
          <w:lang w:eastAsia="en-US"/>
        </w:rPr>
        <w:t>城市管理和综合执法部门、住建部门</w:t>
      </w:r>
      <w:r>
        <w:rPr>
          <w:lang w:eastAsia="en-US"/>
        </w:rPr>
        <w:t>不定期地到工地进行巡查。</w:t>
      </w:r>
    </w:p>
    <w:p>
      <w:pPr>
        <w:bidi w:val="0"/>
        <w:rPr>
          <w:lang w:eastAsia="en-US"/>
        </w:rPr>
      </w:pPr>
      <w:r>
        <w:rPr>
          <w:b/>
          <w:bCs/>
          <w:lang w:eastAsia="en-US"/>
        </w:rPr>
        <w:t>运输阶段：</w:t>
      </w:r>
      <w:r>
        <w:rPr>
          <w:lang w:eastAsia="en-US"/>
        </w:rPr>
        <w:t>工程垃圾和拆除垃圾产生后，由承运单位进场进行清运。建筑垃圾运输车辆安装卫星定位系统，其行驶路线和时间由</w:t>
      </w:r>
      <w:r>
        <w:rPr>
          <w:u w:val="single"/>
          <w:lang w:eastAsia="en-US"/>
        </w:rPr>
        <w:t>交管管理部门</w:t>
      </w:r>
      <w:r>
        <w:rPr>
          <w:lang w:eastAsia="en-US"/>
        </w:rPr>
        <w:t>确定。运输建筑垃圾的过程中保持箱体完好，采取密闭措施，相关执法部门严厉查处无证运输车辆带泥行驶、抛洒滴漏等情况。</w:t>
      </w:r>
    </w:p>
    <w:p>
      <w:pPr>
        <w:bidi w:val="0"/>
        <w:rPr>
          <w:lang w:eastAsia="en-US"/>
        </w:rPr>
      </w:pPr>
      <w:r>
        <w:rPr>
          <w:b/>
          <w:bCs/>
          <w:lang w:eastAsia="en-US"/>
        </w:rPr>
        <w:t>处置阶段：</w:t>
      </w:r>
      <w:r>
        <w:rPr>
          <w:lang w:eastAsia="en-US"/>
        </w:rPr>
        <w:t>工程垃圾和拆除垃圾必须清运至指定的处置场所进行资源化利用或最终处置。处置场所安装视频设备，通过建筑垃圾信息管理系统或定期检查现场存储视频对进出车辆和处置场运行情况进行监管。</w:t>
      </w:r>
    </w:p>
    <w:p>
      <w:pPr>
        <w:pStyle w:val="4"/>
        <w:bidi w:val="0"/>
        <w:rPr>
          <w:lang w:eastAsia="en-US"/>
        </w:rPr>
      </w:pPr>
      <w:r>
        <w:rPr>
          <w:lang w:eastAsia="en-US"/>
        </w:rPr>
        <w:t>3、装修垃圾</w:t>
      </w:r>
    </w:p>
    <w:p>
      <w:pPr>
        <w:bidi w:val="0"/>
        <w:rPr>
          <w:b/>
          <w:bCs/>
          <w:lang w:eastAsia="en-US"/>
        </w:rPr>
      </w:pPr>
      <w:r>
        <w:rPr>
          <w:b/>
          <w:bCs/>
          <w:lang w:eastAsia="en-US"/>
        </w:rPr>
        <w:t>（1）收运主体</w:t>
      </w:r>
    </w:p>
    <w:p>
      <w:pPr>
        <w:bidi w:val="0"/>
        <w:rPr>
          <w:lang w:eastAsia="en-US"/>
        </w:rPr>
      </w:pPr>
      <w:r>
        <w:rPr>
          <w:lang w:eastAsia="en-US"/>
        </w:rPr>
        <w:t>物业公司或居民。</w:t>
      </w:r>
    </w:p>
    <w:p>
      <w:pPr>
        <w:bidi w:val="0"/>
        <w:rPr>
          <w:b/>
          <w:bCs/>
          <w:lang w:eastAsia="en-US"/>
        </w:rPr>
      </w:pPr>
      <w:r>
        <w:rPr>
          <w:b/>
          <w:bCs/>
          <w:lang w:eastAsia="en-US"/>
        </w:rPr>
        <w:t>（2）收运要求</w:t>
      </w:r>
    </w:p>
    <w:p>
      <w:pPr>
        <w:bidi w:val="0"/>
        <w:rPr>
          <w:lang w:eastAsia="en-US"/>
        </w:rPr>
      </w:pPr>
      <w:r>
        <w:rPr>
          <w:lang w:eastAsia="en-US"/>
        </w:rPr>
        <w:t>装修垃圾宜采用</w:t>
      </w:r>
      <w:r>
        <w:rPr>
          <w:rFonts w:hint="eastAsia"/>
          <w:lang w:eastAsia="zh-CN"/>
        </w:rPr>
        <w:t>“</w:t>
      </w:r>
      <w:r>
        <w:rPr>
          <w:lang w:eastAsia="en-US"/>
        </w:rPr>
        <w:t>定点投放收集+预约上门方式收集</w:t>
      </w:r>
      <w:r>
        <w:rPr>
          <w:rFonts w:hint="eastAsia"/>
          <w:lang w:eastAsia="zh-CN"/>
        </w:rPr>
        <w:t>”</w:t>
      </w:r>
      <w:r>
        <w:rPr>
          <w:lang w:eastAsia="en-US"/>
        </w:rPr>
        <w:t>的模式，并实行袋装化收集；住宅小区应设置专门的装修垃圾指定投放点；非住宅装修工程，装修垃圾应分类、集中堆放；设置标识标牌、围挡、遮雨棚、灭火设备，宜设置视频监控设备。</w:t>
      </w:r>
    </w:p>
    <w:p>
      <w:pPr>
        <w:bidi w:val="0"/>
        <w:rPr>
          <w:b/>
          <w:bCs/>
          <w:lang w:eastAsia="en-US"/>
        </w:rPr>
      </w:pPr>
      <w:r>
        <w:rPr>
          <w:b/>
          <w:bCs/>
          <w:lang w:eastAsia="en-US"/>
        </w:rPr>
        <w:t>（3）收运流程</w:t>
      </w:r>
    </w:p>
    <w:p>
      <w:pPr>
        <w:bidi w:val="0"/>
        <w:rPr>
          <w:lang w:eastAsia="en-US"/>
        </w:rPr>
      </w:pPr>
      <w:r>
        <w:rPr>
          <w:b/>
          <w:bCs/>
          <w:lang w:eastAsia="en-US"/>
        </w:rPr>
        <w:t>施工阶段：</w:t>
      </w:r>
      <w:r>
        <w:rPr>
          <w:lang w:eastAsia="en-US"/>
        </w:rPr>
        <w:t>居住区内设置装修垃圾收集点，新建居住小区，应在规划建设时同步配套设置若干场地作为装修垃圾收集点，并与小区一并投入使用；精装修成品住房应在工地施工场地内单独设置装修垃圾收集点；商场、企业在内部划出区域作为装修垃圾临时堆放场地。产生的装修垃圾需进行分类、袋装或捆扎，堆放于集中收集场地。</w:t>
      </w:r>
    </w:p>
    <w:p>
      <w:pPr>
        <w:bidi w:val="0"/>
        <w:rPr>
          <w:lang w:eastAsia="en-US"/>
        </w:rPr>
      </w:pPr>
      <w:r>
        <w:rPr>
          <w:b/>
          <w:bCs/>
          <w:lang w:eastAsia="en-US"/>
        </w:rPr>
        <w:t>运输阶段：</w:t>
      </w:r>
      <w:r>
        <w:rPr>
          <w:lang w:eastAsia="en-US"/>
        </w:rPr>
        <w:t>产生单位或物业公司事先进行申请或委托，由运输企业运至装修垃圾收集点进行收集、临时堆放和分拣，分拣之后的装修垃圾再运至各类建筑垃圾综合利用厂处置。</w:t>
      </w:r>
      <w:r>
        <w:rPr>
          <w:u w:val="single"/>
          <w:lang w:eastAsia="en-US"/>
        </w:rPr>
        <w:t>交管部门和城市管理和综合执法部门</w:t>
      </w:r>
      <w:r>
        <w:rPr>
          <w:lang w:eastAsia="en-US"/>
        </w:rPr>
        <w:t>等同时对作业公司的运输车辆进行审查和对运输路线监管。</w:t>
      </w:r>
    </w:p>
    <w:p>
      <w:pPr>
        <w:bidi w:val="0"/>
        <w:rPr>
          <w:lang w:eastAsia="en-US"/>
        </w:rPr>
      </w:pPr>
      <w:r>
        <w:rPr>
          <w:b/>
          <w:bCs/>
          <w:lang w:eastAsia="en-US"/>
        </w:rPr>
        <w:t>处置阶段：</w:t>
      </w:r>
      <w:r>
        <w:rPr>
          <w:lang w:eastAsia="en-US"/>
        </w:rPr>
        <w:t>装修垃圾分类清运至指定的处置场所进行资源化利用或最终处置。处置场所安装视频设备，通过建筑垃圾信息管理系统或定期检查现场存储视频对进出车辆和装修垃圾入库情况进行监管。</w:t>
      </w:r>
    </w:p>
    <w:p>
      <w:pPr>
        <w:pStyle w:val="3"/>
        <w:bidi w:val="0"/>
        <w:rPr>
          <w:rFonts w:hint="eastAsia" w:ascii="楷体" w:hAnsi="楷体" w:eastAsia="楷体" w:cs="楷体"/>
          <w:sz w:val="28"/>
          <w:szCs w:val="28"/>
          <w:lang w:val="en-US" w:eastAsia="en-US"/>
        </w:rPr>
      </w:pPr>
      <w:bookmarkStart w:id="170" w:name="_Toc5594"/>
      <w:r>
        <w:rPr>
          <w:rFonts w:hint="eastAsia" w:ascii="楷体" w:hAnsi="楷体" w:eastAsia="楷体" w:cs="楷体"/>
          <w:sz w:val="28"/>
          <w:szCs w:val="28"/>
          <w:lang w:val="en-US" w:eastAsia="en-US"/>
        </w:rPr>
        <w:t>（四）收运设施</w:t>
      </w:r>
      <w:bookmarkEnd w:id="170"/>
    </w:p>
    <w:p>
      <w:pPr>
        <w:pStyle w:val="4"/>
        <w:bidi w:val="0"/>
        <w:rPr>
          <w:rFonts w:hint="eastAsia"/>
          <w:lang w:val="en-US" w:eastAsia="zh-CN"/>
        </w:rPr>
      </w:pPr>
      <w:r>
        <w:rPr>
          <w:rFonts w:hint="eastAsia"/>
          <w:lang w:val="en-US" w:eastAsia="zh-CN"/>
        </w:rPr>
        <w:t>1、</w:t>
      </w:r>
      <w:r>
        <w:rPr>
          <w:lang w:eastAsia="en-US"/>
        </w:rPr>
        <w:t>建筑垃圾临时收集点</w:t>
      </w:r>
      <w:r>
        <w:rPr>
          <w:rFonts w:hint="eastAsia"/>
          <w:lang w:val="en-US" w:eastAsia="zh-CN"/>
        </w:rPr>
        <w:t>规划</w:t>
      </w:r>
    </w:p>
    <w:p>
      <w:pPr>
        <w:bidi w:val="0"/>
        <w:rPr>
          <w:lang w:eastAsia="en-US"/>
        </w:rPr>
      </w:pPr>
      <w:r>
        <w:rPr>
          <w:lang w:eastAsia="en-US"/>
        </w:rPr>
        <w:t>每个新建</w:t>
      </w:r>
      <w:r>
        <w:rPr>
          <w:rFonts w:hint="eastAsia"/>
          <w:lang w:val="en-US" w:eastAsia="zh-CN"/>
        </w:rPr>
        <w:t>工程</w:t>
      </w:r>
      <w:r>
        <w:rPr>
          <w:lang w:eastAsia="en-US"/>
        </w:rPr>
        <w:t>的临时收集点</w:t>
      </w:r>
      <w:r>
        <w:rPr>
          <w:rFonts w:hint="eastAsia"/>
          <w:lang w:val="en-US" w:eastAsia="zh-CN"/>
        </w:rPr>
        <w:t>设在施工场地</w:t>
      </w:r>
      <w:r>
        <w:rPr>
          <w:lang w:eastAsia="en-US"/>
        </w:rPr>
        <w:t>。用地面积需在30平方米以上，场地平整并硬质化，装卸垃圾时应洒水降尘。建设工程的实施主体应将建筑垃圾进行分类装袋捆扎，堆放到指定的临时堆放点，定期联系经核准的清运公司将建筑垃圾外运处置。</w:t>
      </w:r>
    </w:p>
    <w:p>
      <w:pPr>
        <w:bidi w:val="0"/>
        <w:rPr>
          <w:lang w:eastAsia="en-US"/>
        </w:rPr>
      </w:pPr>
      <w:r>
        <w:rPr>
          <w:lang w:eastAsia="en-US"/>
        </w:rPr>
        <w:t>建筑垃圾产生量和类型，因建筑工地类型不同、项目规模不同、施工阶段不同，产生的垃圾类型和数量也不尽相同。每个建筑工地都应当在其作业区根据工地项目的实际情况，合理规划建筑垃圾</w:t>
      </w:r>
      <w:r>
        <w:rPr>
          <w:rFonts w:hint="eastAsia"/>
          <w:lang w:val="en-US" w:eastAsia="zh-CN"/>
        </w:rPr>
        <w:t>临时收集</w:t>
      </w:r>
      <w:r>
        <w:rPr>
          <w:lang w:eastAsia="en-US"/>
        </w:rPr>
        <w:t>点。</w:t>
      </w:r>
    </w:p>
    <w:p>
      <w:pPr>
        <w:pStyle w:val="4"/>
        <w:bidi w:val="0"/>
        <w:rPr>
          <w:rFonts w:hint="default"/>
          <w:lang w:val="en-US" w:eastAsia="zh-CN"/>
        </w:rPr>
      </w:pPr>
      <w:r>
        <w:rPr>
          <w:rFonts w:hint="eastAsia"/>
          <w:lang w:val="en-US" w:eastAsia="zh-CN"/>
        </w:rPr>
        <w:t>2、装修垃圾收集点规划</w:t>
      </w:r>
    </w:p>
    <w:p>
      <w:pPr>
        <w:bidi w:val="0"/>
        <w:rPr>
          <w:rFonts w:hint="eastAsia"/>
          <w:b/>
          <w:bCs/>
          <w:lang w:val="en-US" w:eastAsia="zh-CN"/>
        </w:rPr>
      </w:pPr>
      <w:bookmarkStart w:id="171" w:name="OLE_LINK53"/>
      <w:r>
        <w:rPr>
          <w:rFonts w:hint="eastAsia"/>
          <w:b/>
          <w:bCs/>
          <w:lang w:val="en-US" w:eastAsia="zh-CN"/>
        </w:rPr>
        <w:t>（1）中心城区装修垃圾分类收集点</w:t>
      </w:r>
      <w:bookmarkEnd w:id="171"/>
      <w:r>
        <w:rPr>
          <w:rFonts w:hint="eastAsia"/>
          <w:b/>
          <w:bCs/>
          <w:lang w:val="en-US" w:eastAsia="zh-CN"/>
        </w:rPr>
        <w:t>规划</w:t>
      </w:r>
    </w:p>
    <w:p>
      <w:pPr>
        <w:bidi w:val="0"/>
        <w:rPr>
          <w:lang w:eastAsia="en-US"/>
        </w:rPr>
      </w:pPr>
      <w:r>
        <w:rPr>
          <w:rFonts w:hint="eastAsia"/>
          <w:lang w:val="en-US" w:eastAsia="zh-CN"/>
        </w:rPr>
        <w:t>结合生活垃圾收集点进行布置，每个大型社区宜设置一座装修垃圾分类收集点。</w:t>
      </w:r>
      <w:r>
        <w:t>规划新建居住小区时，应在规划建设时同步设置若干场地作为装修垃圾的收集点，并与小区一并投入使用；</w:t>
      </w:r>
      <w:r>
        <w:rPr>
          <w:lang w:eastAsia="en-US"/>
        </w:rPr>
        <w:t>精装修成品住房应在工地施工场地内单独设置装修垃圾收集点，确保装修垃圾与其他垃圾的分类收集。无物业的居住区和门店，由属地主管部门设置相对集中的装修垃圾收集点，可结合老城区的拆建改造或利用暂不使用地块。</w:t>
      </w:r>
    </w:p>
    <w:p>
      <w:pPr>
        <w:bidi w:val="0"/>
        <w:rPr>
          <w:lang w:eastAsia="en-US"/>
        </w:rPr>
      </w:pPr>
      <w:r>
        <w:rPr>
          <w:lang w:eastAsia="en-US"/>
        </w:rPr>
        <w:t>装修垃圾分类收集点的面积约为 20-30 平方米，应包括平整硬化的场地、上下水设施和装卸时的洒水降尘系统，以确保装修垃圾可以高效且环保地转运至建筑垃圾资源化利用场或堆填场等设施。</w:t>
      </w:r>
      <w:bookmarkStart w:id="172" w:name="OLE_LINK93"/>
    </w:p>
    <w:bookmarkEnd w:id="172"/>
    <w:p>
      <w:pPr>
        <w:bidi w:val="0"/>
        <w:rPr>
          <w:lang w:eastAsia="en-US"/>
        </w:rPr>
      </w:pPr>
      <w:r>
        <w:rPr>
          <w:lang w:eastAsia="en-US"/>
        </w:rPr>
        <w:t>新建生活小区宜单独设置装修垃圾收集房，并与生活垃圾收集设施统筹设置，收集房面积不宜小于 20m² , 高度应满足装运要求。有条件的住宅小区或单位应设置装修垃圾收集箱，箱体宜具有科学投放、费用结算、预警监测等智能管理功能，有效缓解建筑垃圾处置过程中的扬尘、噪音扰民等难题。</w:t>
      </w:r>
    </w:p>
    <w:p>
      <w:pPr>
        <w:bidi w:val="0"/>
        <w:rPr>
          <w:b/>
          <w:bCs/>
          <w:lang w:eastAsia="en-US"/>
        </w:rPr>
      </w:pPr>
      <w:r>
        <w:rPr>
          <w:rFonts w:hint="eastAsia"/>
          <w:b/>
          <w:bCs/>
          <w:lang w:val="en-US" w:eastAsia="zh-CN"/>
        </w:rPr>
        <w:t>（2）其他</w:t>
      </w:r>
      <w:r>
        <w:rPr>
          <w:b/>
          <w:bCs/>
          <w:lang w:eastAsia="en-US"/>
        </w:rPr>
        <w:t>乡镇区域装修</w:t>
      </w:r>
      <w:r>
        <w:rPr>
          <w:rFonts w:hint="eastAsia"/>
          <w:b/>
          <w:bCs/>
          <w:lang w:val="en-US" w:eastAsia="zh-CN"/>
        </w:rPr>
        <w:t>垃圾分类</w:t>
      </w:r>
      <w:r>
        <w:rPr>
          <w:b/>
          <w:bCs/>
          <w:lang w:eastAsia="en-US"/>
        </w:rPr>
        <w:t>收集点规划</w:t>
      </w:r>
    </w:p>
    <w:p>
      <w:pPr>
        <w:bidi w:val="0"/>
        <w:rPr>
          <w:lang w:eastAsia="en-US"/>
        </w:rPr>
      </w:pPr>
      <w:r>
        <w:rPr>
          <w:lang w:eastAsia="en-US"/>
        </w:rPr>
        <w:t>考虑到</w:t>
      </w:r>
      <w:r>
        <w:rPr>
          <w:rFonts w:hint="eastAsia"/>
          <w:lang w:val="en-US" w:eastAsia="zh-CN"/>
        </w:rPr>
        <w:t>各</w:t>
      </w:r>
      <w:r>
        <w:rPr>
          <w:lang w:eastAsia="en-US"/>
        </w:rPr>
        <w:t>乡镇地区人口分布较为分散的特点，规划建议</w:t>
      </w:r>
      <w:r>
        <w:rPr>
          <w:rFonts w:hint="eastAsia"/>
          <w:lang w:val="en-US" w:eastAsia="zh-CN"/>
        </w:rPr>
        <w:t>除桃花江镇每个</w:t>
      </w:r>
      <w:r>
        <w:rPr>
          <w:lang w:eastAsia="en-US"/>
        </w:rPr>
        <w:t>乡镇设置 1处装修垃圾分类收集点，本次规划建设</w:t>
      </w:r>
      <w:r>
        <w:rPr>
          <w:rFonts w:hint="eastAsia"/>
          <w:lang w:val="en-US" w:eastAsia="zh-CN"/>
        </w:rPr>
        <w:t>14</w:t>
      </w:r>
      <w:r>
        <w:rPr>
          <w:lang w:eastAsia="en-US"/>
        </w:rPr>
        <w:t>处</w:t>
      </w:r>
      <w:r>
        <w:rPr>
          <w:rFonts w:hint="eastAsia"/>
          <w:lang w:val="en-US" w:eastAsia="zh-CN"/>
        </w:rPr>
        <w:t>乡镇</w:t>
      </w:r>
      <w:r>
        <w:rPr>
          <w:lang w:eastAsia="en-US"/>
        </w:rPr>
        <w:t>建筑垃圾分类收集点。对乡镇区域的装修垃圾收集采用与生活垃圾相似的方式，即在各乡镇区域现有生活垃圾收集点附近设置装修垃圾收集点。</w:t>
      </w:r>
    </w:p>
    <w:p>
      <w:pPr>
        <w:bidi w:val="0"/>
        <w:rPr>
          <w:lang w:eastAsia="en-US"/>
        </w:rPr>
      </w:pPr>
      <w:r>
        <w:rPr>
          <w:lang w:eastAsia="en-US"/>
        </w:rPr>
        <w:t>乡镇装修垃圾分类收集点的面积约 30-50 平方米，可采用混凝土硬化地面或砖砌方式建设，供居民投放装修垃圾，装修垃圾投放应按照</w:t>
      </w:r>
      <w:r>
        <w:rPr>
          <w:rFonts w:hint="eastAsia"/>
          <w:lang w:eastAsia="zh-CN"/>
        </w:rPr>
        <w:t>“</w:t>
      </w:r>
      <w:r>
        <w:rPr>
          <w:lang w:eastAsia="en-US"/>
        </w:rPr>
        <w:t>宜袋装则袋装、宜捆扎则捆扎</w:t>
      </w:r>
      <w:r>
        <w:rPr>
          <w:rFonts w:hint="eastAsia"/>
          <w:lang w:eastAsia="zh-CN"/>
        </w:rPr>
        <w:t>”</w:t>
      </w:r>
      <w:r>
        <w:rPr>
          <w:lang w:eastAsia="en-US"/>
        </w:rPr>
        <w:t>要求处理，方便后续收集运输。</w:t>
      </w:r>
    </w:p>
    <w:p>
      <w:pPr>
        <w:bidi w:val="0"/>
        <w:rPr>
          <w:lang w:eastAsia="en-US"/>
        </w:rPr>
      </w:pPr>
      <w:r>
        <w:rPr>
          <w:lang w:eastAsia="en-US"/>
        </w:rPr>
        <w:t>依据《</w:t>
      </w:r>
      <w:r>
        <w:rPr>
          <w:rFonts w:hint="eastAsia"/>
          <w:lang w:val="en-US" w:eastAsia="zh-CN"/>
        </w:rPr>
        <w:t>桃江县</w:t>
      </w:r>
      <w:r>
        <w:rPr>
          <w:lang w:eastAsia="en-US"/>
        </w:rPr>
        <w:t>国土空间</w:t>
      </w:r>
      <w:r>
        <w:rPr>
          <w:rFonts w:hint="eastAsia"/>
          <w:lang w:val="en-US" w:eastAsia="zh-CN"/>
        </w:rPr>
        <w:t>总体</w:t>
      </w:r>
      <w:r>
        <w:rPr>
          <w:lang w:eastAsia="en-US"/>
        </w:rPr>
        <w:t>规划（2021-2035 年）》，建筑垃圾分类收集点用地选址应避免占用永久基本农田、生态保护红线、省级生态公益林、自然保护区等，用地性质可以为临时用地。</w:t>
      </w:r>
    </w:p>
    <w:p>
      <w:pPr>
        <w:pStyle w:val="3"/>
        <w:bidi w:val="0"/>
        <w:rPr>
          <w:rFonts w:hint="eastAsia" w:ascii="楷体" w:hAnsi="楷体" w:eastAsia="楷体" w:cs="楷体"/>
          <w:sz w:val="28"/>
          <w:szCs w:val="28"/>
          <w:lang w:val="en-US" w:eastAsia="en-US"/>
        </w:rPr>
      </w:pPr>
      <w:bookmarkStart w:id="173" w:name="_Toc5733"/>
      <w:r>
        <w:rPr>
          <w:rFonts w:hint="eastAsia" w:ascii="楷体" w:hAnsi="楷体" w:eastAsia="楷体" w:cs="楷体"/>
          <w:sz w:val="28"/>
          <w:szCs w:val="28"/>
          <w:lang w:val="en-US" w:eastAsia="en-US"/>
        </w:rPr>
        <w:t>（五）</w:t>
      </w:r>
      <w:bookmarkStart w:id="174" w:name="OLE_LINK54"/>
      <w:r>
        <w:rPr>
          <w:rFonts w:hint="eastAsia" w:ascii="楷体" w:hAnsi="楷体" w:eastAsia="楷体" w:cs="楷体"/>
          <w:sz w:val="28"/>
          <w:szCs w:val="28"/>
          <w:lang w:val="en-US" w:eastAsia="en-US"/>
        </w:rPr>
        <w:t>收运车辆</w:t>
      </w:r>
      <w:bookmarkEnd w:id="173"/>
      <w:bookmarkEnd w:id="174"/>
    </w:p>
    <w:p>
      <w:pPr>
        <w:bidi w:val="0"/>
        <w:rPr>
          <w:lang w:eastAsia="en-US"/>
        </w:rPr>
      </w:pPr>
      <w:r>
        <w:rPr>
          <w:lang w:eastAsia="en-US"/>
        </w:rPr>
        <w:t>建筑垃圾收运车辆应采用列入国家工业和信息化部《道路机动车辆生产企业及产品公告》内的产品，车辆的特征应与产品公告、出厂合格证相符，应满足国家、行业对机动车安全、排放、噪声、油耗的相关法规及标准要求。鼓励使用电能、天然气等清洁能源，推广使用新能源运输车，配备喷水降尘、北斗卫星导航系统等智能化设施。</w:t>
      </w:r>
    </w:p>
    <w:p>
      <w:pPr>
        <w:bidi w:val="0"/>
        <w:rPr>
          <w:lang w:eastAsia="en-US"/>
        </w:rPr>
      </w:pPr>
      <w:r>
        <w:rPr>
          <w:lang w:eastAsia="en-US"/>
        </w:rPr>
        <w:t>工程渣土、工程垃圾和拆除垃圾采用大型密闭化运输车运输至终端处理设施，装修垃圾采用小型密闭化车辆运输至终端处理设施，工程泥浆采用密闭罐车运输至终端处理设施。收运车辆应容貌整洁、标志齐全，车辆底盘、车轮无大块泥沙等附着物。收运车辆应按核准的路线和时间行驶至指定场所处置。</w:t>
      </w:r>
    </w:p>
    <w:p>
      <w:pPr>
        <w:pStyle w:val="3"/>
        <w:bidi w:val="0"/>
        <w:rPr>
          <w:rFonts w:hint="eastAsia" w:ascii="楷体" w:hAnsi="楷体" w:eastAsia="楷体" w:cs="楷体"/>
          <w:sz w:val="28"/>
          <w:szCs w:val="28"/>
          <w:lang w:val="en-US" w:eastAsia="zh-CN"/>
        </w:rPr>
      </w:pPr>
      <w:bookmarkStart w:id="175" w:name="_Toc16474"/>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六</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收运路线</w:t>
      </w:r>
      <w:bookmarkEnd w:id="175"/>
    </w:p>
    <w:p>
      <w:pPr>
        <w:bidi w:val="0"/>
        <w:rPr>
          <w:lang w:eastAsia="en-US"/>
        </w:rPr>
      </w:pPr>
      <w:bookmarkStart w:id="176" w:name="OLE_LINK55"/>
      <w:r>
        <w:rPr>
          <w:rFonts w:hint="eastAsia"/>
          <w:lang w:val="en-US" w:eastAsia="zh-CN"/>
        </w:rPr>
        <w:t>桃江</w:t>
      </w:r>
      <w:r>
        <w:rPr>
          <w:rFonts w:hint="eastAsia"/>
          <w:lang w:eastAsia="en-US"/>
        </w:rPr>
        <w:t>县建筑垃圾资源化利用厂、建筑垃圾填埋处置场等消纳设施等主要分布在城镇周边地区。县城、乡镇等主要通过主干道和国道、省道、县乡道与各</w:t>
      </w:r>
      <w:bookmarkEnd w:id="176"/>
      <w:r>
        <w:rPr>
          <w:rFonts w:hint="eastAsia"/>
          <w:lang w:eastAsia="en-US"/>
        </w:rPr>
        <w:t>建筑垃圾利用及处置设施相连。城区划分禁止收运区和限时收运区，建筑垃圾收集车在限时收运区内在限定的时间内按固定的路线进行收集</w:t>
      </w:r>
      <w:r>
        <w:rPr>
          <w:rFonts w:hint="eastAsia"/>
          <w:lang w:eastAsia="zh-CN"/>
        </w:rPr>
        <w:t>；</w:t>
      </w:r>
      <w:r>
        <w:rPr>
          <w:rFonts w:hint="eastAsia"/>
          <w:lang w:eastAsia="en-US"/>
        </w:rPr>
        <w:t>中心城区以外乡镇按照固定的路线进行收集，</w:t>
      </w:r>
      <w:r>
        <w:rPr>
          <w:rFonts w:hint="eastAsia"/>
          <w:lang w:eastAsia="zh-CN"/>
        </w:rPr>
        <w:t>达到</w:t>
      </w:r>
      <w:r>
        <w:rPr>
          <w:rFonts w:hint="eastAsia"/>
          <w:lang w:eastAsia="en-US"/>
        </w:rPr>
        <w:t>运输车辆的最大承载量，返回建筑垃圾资源化利用厂或填埋处置场，清空垃圾后再次出发按照既定路线继续收集。收运车辆必须按照公安交通管理部门有关规定进行车辆登记、车厢密闭改装年检、办理市区《通行证》。收运车辆通过加装行驶装卸记录仪装置接入“集运系统”实现信息化的管理和监控。</w:t>
      </w:r>
    </w:p>
    <w:p>
      <w:pPr>
        <w:bidi w:val="0"/>
        <w:rPr>
          <w:u w:val="single"/>
          <w:lang w:eastAsia="en-US"/>
        </w:rPr>
      </w:pPr>
      <w:r>
        <w:rPr>
          <w:lang w:eastAsia="en-US"/>
        </w:rPr>
        <w:t>收运线路应优先选择交通流畅、远离居民区的路线</w:t>
      </w:r>
      <w:r>
        <w:rPr>
          <w:rFonts w:hint="eastAsia"/>
          <w:lang w:eastAsia="zh-CN"/>
        </w:rPr>
        <w:t>，</w:t>
      </w:r>
      <w:r>
        <w:rPr>
          <w:lang w:eastAsia="en-US"/>
        </w:rPr>
        <w:t>主运输通道串联主要的建筑垃圾资源化利用场和堆填场，</w:t>
      </w:r>
      <w:r>
        <w:rPr>
          <w:u w:val="single"/>
          <w:lang w:eastAsia="en-US"/>
        </w:rPr>
        <w:t>主要道路包括</w:t>
      </w:r>
      <w:r>
        <w:rPr>
          <w:rFonts w:hint="eastAsia"/>
          <w:u w:val="single"/>
          <w:lang w:val="en-US" w:eastAsia="zh-CN"/>
        </w:rPr>
        <w:t>金盆大道、谷山路、桃花路、芙蓉路、濑溪路、振兴路、资江路、G536、S206、S230</w:t>
      </w:r>
      <w:r>
        <w:rPr>
          <w:u w:val="single"/>
          <w:lang w:eastAsia="en-US"/>
        </w:rPr>
        <w:t>等。</w:t>
      </w:r>
    </w:p>
    <w:p>
      <w:pPr>
        <w:pStyle w:val="2"/>
        <w:bidi w:val="0"/>
        <w:rPr>
          <w:lang w:eastAsia="en-US"/>
        </w:rPr>
      </w:pPr>
      <w:bookmarkStart w:id="177" w:name="_Toc30825"/>
      <w:r>
        <w:rPr>
          <w:lang w:eastAsia="en-US"/>
        </w:rPr>
        <w:t>第八章 利用与消纳处置规划</w:t>
      </w:r>
      <w:bookmarkEnd w:id="177"/>
    </w:p>
    <w:p>
      <w:pPr>
        <w:pStyle w:val="3"/>
        <w:bidi w:val="0"/>
        <w:rPr>
          <w:rFonts w:hint="eastAsia" w:ascii="楷体" w:hAnsi="楷体" w:eastAsia="楷体" w:cs="楷体"/>
          <w:sz w:val="28"/>
          <w:szCs w:val="28"/>
        </w:rPr>
      </w:pPr>
      <w:bookmarkStart w:id="178" w:name="bookmark156"/>
      <w:bookmarkEnd w:id="178"/>
      <w:bookmarkStart w:id="179" w:name="_Toc17511"/>
      <w:r>
        <w:rPr>
          <w:rFonts w:hint="eastAsia" w:ascii="楷体" w:hAnsi="楷体" w:eastAsia="楷体" w:cs="楷体"/>
          <w:sz w:val="28"/>
          <w:szCs w:val="28"/>
        </w:rPr>
        <w:t>（一）建筑垃圾处置要求</w:t>
      </w:r>
      <w:bookmarkEnd w:id="179"/>
    </w:p>
    <w:p>
      <w:pPr>
        <w:bidi w:val="0"/>
        <w:rPr>
          <w:rFonts w:hint="eastAsia"/>
          <w:lang w:eastAsia="en-US"/>
        </w:rPr>
      </w:pPr>
      <w:r>
        <w:rPr>
          <w:rFonts w:hint="eastAsia"/>
          <w:lang w:eastAsia="en-US"/>
        </w:rPr>
        <w:t>根据《建筑垃圾处理技术标准》(CJJ/T134-2019)，建筑垃圾应优先考虑资源化利用，处理及利用优先次序参照下表。</w:t>
      </w:r>
    </w:p>
    <w:p>
      <w:pPr>
        <w:bidi w:val="0"/>
        <w:rPr>
          <w:rFonts w:hint="eastAsia"/>
          <w:lang w:eastAsia="en-US"/>
        </w:rPr>
      </w:pPr>
    </w:p>
    <w:p>
      <w:pPr>
        <w:bidi w:val="0"/>
        <w:rPr>
          <w:rFonts w:hint="eastAsia"/>
          <w:lang w:eastAsia="en-US"/>
        </w:rPr>
      </w:pPr>
    </w:p>
    <w:p>
      <w:pPr>
        <w:bidi w:val="0"/>
        <w:rPr>
          <w:rFonts w:hint="eastAsia"/>
          <w:lang w:eastAsia="en-US"/>
        </w:rPr>
      </w:pPr>
    </w:p>
    <w:p>
      <w:pPr>
        <w:bidi w:val="0"/>
        <w:rPr>
          <w:rFonts w:hint="eastAsia"/>
          <w:lang w:eastAsia="en-US"/>
        </w:rPr>
      </w:pPr>
    </w:p>
    <w:p>
      <w:pPr>
        <w:bidi w:val="0"/>
        <w:rPr>
          <w:rFonts w:hint="eastAsia"/>
          <w:lang w:eastAsia="en-US"/>
        </w:rPr>
      </w:pPr>
    </w:p>
    <w:p>
      <w:pPr>
        <w:bidi w:val="0"/>
        <w:rPr>
          <w:rFonts w:hint="eastAsia"/>
          <w:lang w:eastAsia="en-US"/>
        </w:rPr>
      </w:pPr>
    </w:p>
    <w:p>
      <w:pPr>
        <w:bidi w:val="0"/>
        <w:rPr>
          <w:rFonts w:hint="eastAsia"/>
          <w:lang w:eastAsia="en-US"/>
        </w:rPr>
      </w:pPr>
    </w:p>
    <w:p>
      <w:pPr>
        <w:bidi w:val="0"/>
        <w:ind w:left="0" w:leftChars="0" w:firstLine="0" w:firstLineChars="0"/>
        <w:jc w:val="center"/>
        <w:rPr>
          <w:rFonts w:hint="eastAsia"/>
          <w:b/>
          <w:bCs/>
          <w:lang w:eastAsia="en-US"/>
        </w:rPr>
      </w:pPr>
      <w:r>
        <w:rPr>
          <w:rFonts w:hint="eastAsia"/>
          <w:b/>
          <w:bCs/>
          <w:lang w:eastAsia="en-US"/>
        </w:rPr>
        <w:t>表8-1 建筑垃圾处理及利用优先次序</w:t>
      </w:r>
    </w:p>
    <w:tbl>
      <w:tblPr>
        <w:tblStyle w:val="25"/>
        <w:tblpPr w:leftFromText="180" w:rightFromText="180" w:vertAnchor="text" w:horzAnchor="page" w:tblpX="1759" w:tblpY="69"/>
        <w:tblOverlap w:val="never"/>
        <w:tblW w:w="843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2"/>
        <w:gridCol w:w="1233"/>
        <w:gridCol w:w="6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102" w:type="dxa"/>
            <w:vAlign w:val="center"/>
          </w:tcPr>
          <w:p>
            <w:pPr>
              <w:bidi w:val="0"/>
              <w:ind w:left="0" w:leftChars="0" w:firstLine="0" w:firstLineChars="0"/>
              <w:jc w:val="center"/>
              <w:rPr>
                <w:rFonts w:hint="eastAsia" w:ascii="仿宋" w:hAnsi="仿宋" w:eastAsia="仿宋" w:cs="仿宋"/>
                <w:b/>
                <w:bCs/>
                <w:sz w:val="24"/>
                <w:szCs w:val="24"/>
                <w:lang w:val="en-US" w:eastAsia="en-US"/>
              </w:rPr>
            </w:pPr>
            <w:r>
              <w:rPr>
                <w:rFonts w:hint="eastAsia" w:ascii="仿宋" w:hAnsi="仿宋" w:eastAsia="仿宋" w:cs="仿宋"/>
                <w:b/>
                <w:bCs/>
                <w:sz w:val="24"/>
                <w:szCs w:val="24"/>
                <w:lang w:val="en-US" w:eastAsia="en-US"/>
              </w:rPr>
              <w:t>序号</w:t>
            </w:r>
          </w:p>
        </w:tc>
        <w:tc>
          <w:tcPr>
            <w:tcW w:w="1233" w:type="dxa"/>
            <w:vAlign w:val="center"/>
          </w:tcPr>
          <w:p>
            <w:pPr>
              <w:bidi w:val="0"/>
              <w:ind w:left="0" w:leftChars="0" w:firstLine="0" w:firstLineChars="0"/>
              <w:jc w:val="center"/>
              <w:rPr>
                <w:rFonts w:hint="eastAsia" w:ascii="仿宋" w:hAnsi="仿宋" w:eastAsia="仿宋" w:cs="仿宋"/>
                <w:b/>
                <w:bCs/>
                <w:sz w:val="24"/>
                <w:szCs w:val="24"/>
                <w:lang w:val="en-US" w:eastAsia="en-US"/>
              </w:rPr>
            </w:pPr>
            <w:r>
              <w:rPr>
                <w:rFonts w:hint="eastAsia" w:ascii="仿宋" w:hAnsi="仿宋" w:eastAsia="仿宋" w:cs="仿宋"/>
                <w:b/>
                <w:bCs/>
                <w:sz w:val="24"/>
                <w:szCs w:val="24"/>
                <w:lang w:val="en-US" w:eastAsia="en-US"/>
              </w:rPr>
              <w:t>类型</w:t>
            </w:r>
          </w:p>
        </w:tc>
        <w:tc>
          <w:tcPr>
            <w:tcW w:w="6098" w:type="dxa"/>
            <w:vAlign w:val="center"/>
          </w:tcPr>
          <w:p>
            <w:pPr>
              <w:bidi w:val="0"/>
              <w:ind w:left="0" w:leftChars="0" w:firstLine="0" w:firstLineChars="0"/>
              <w:jc w:val="center"/>
              <w:rPr>
                <w:rFonts w:hint="eastAsia" w:ascii="仿宋" w:hAnsi="仿宋" w:eastAsia="仿宋" w:cs="仿宋"/>
                <w:b/>
                <w:bCs/>
                <w:sz w:val="24"/>
                <w:szCs w:val="24"/>
                <w:lang w:val="en-US" w:eastAsia="en-US"/>
              </w:rPr>
            </w:pPr>
            <w:r>
              <w:rPr>
                <w:rFonts w:hint="eastAsia" w:ascii="仿宋" w:hAnsi="仿宋" w:eastAsia="仿宋" w:cs="仿宋"/>
                <w:b/>
                <w:bCs/>
                <w:sz w:val="24"/>
                <w:szCs w:val="24"/>
                <w:lang w:val="en-US" w:eastAsia="en-US"/>
              </w:rPr>
              <w:t>处置和利用优先顺序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102" w:type="dxa"/>
            <w:vAlign w:val="center"/>
          </w:tcPr>
          <w:p>
            <w:pPr>
              <w:bidi w:val="0"/>
              <w:ind w:left="0" w:leftChars="0" w:firstLine="0" w:firstLineChars="0"/>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1</w:t>
            </w:r>
          </w:p>
        </w:tc>
        <w:tc>
          <w:tcPr>
            <w:tcW w:w="1233" w:type="dxa"/>
            <w:vAlign w:val="center"/>
          </w:tcPr>
          <w:p>
            <w:pPr>
              <w:bidi w:val="0"/>
              <w:ind w:left="0" w:leftChars="0" w:firstLine="0" w:firstLineChars="0"/>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工程渣土、工程泥浆</w:t>
            </w:r>
          </w:p>
        </w:tc>
        <w:tc>
          <w:tcPr>
            <w:tcW w:w="6098" w:type="dxa"/>
            <w:vAlign w:val="center"/>
          </w:tcPr>
          <w:p>
            <w:pPr>
              <w:bidi w:val="0"/>
              <w:ind w:left="0" w:leftChars="0" w:firstLine="0" w:firstLineChars="0"/>
              <w:jc w:val="both"/>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综合利用（区域内土方平衡、生态修复利用、跨区调剂平衡）、资源化利用、堆填场无害化堆填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102" w:type="dxa"/>
            <w:vAlign w:val="center"/>
          </w:tcPr>
          <w:p>
            <w:pPr>
              <w:bidi w:val="0"/>
              <w:ind w:left="0" w:leftChars="0" w:firstLine="0" w:firstLineChars="0"/>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2</w:t>
            </w:r>
          </w:p>
        </w:tc>
        <w:tc>
          <w:tcPr>
            <w:tcW w:w="1233" w:type="dxa"/>
            <w:vAlign w:val="center"/>
          </w:tcPr>
          <w:p>
            <w:pPr>
              <w:bidi w:val="0"/>
              <w:ind w:left="0" w:leftChars="0" w:firstLine="0" w:firstLineChars="0"/>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工程垃圾、拆除垃圾</w:t>
            </w:r>
          </w:p>
        </w:tc>
        <w:tc>
          <w:tcPr>
            <w:tcW w:w="6098" w:type="dxa"/>
            <w:vAlign w:val="center"/>
          </w:tcPr>
          <w:p>
            <w:pPr>
              <w:bidi w:val="0"/>
              <w:ind w:left="0" w:leftChars="0" w:firstLine="0" w:firstLineChars="0"/>
              <w:jc w:val="both"/>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就地回收利用、资源化利用、堆填场无害化堆填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102" w:type="dxa"/>
            <w:vAlign w:val="center"/>
          </w:tcPr>
          <w:p>
            <w:pPr>
              <w:bidi w:val="0"/>
              <w:ind w:left="0" w:leftChars="0" w:firstLine="0" w:firstLineChars="0"/>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3</w:t>
            </w:r>
          </w:p>
        </w:tc>
        <w:tc>
          <w:tcPr>
            <w:tcW w:w="1233" w:type="dxa"/>
            <w:vAlign w:val="center"/>
          </w:tcPr>
          <w:p>
            <w:pPr>
              <w:bidi w:val="0"/>
              <w:ind w:left="0" w:leftChars="0" w:firstLine="0" w:firstLineChars="0"/>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装修垃圾</w:t>
            </w:r>
          </w:p>
        </w:tc>
        <w:tc>
          <w:tcPr>
            <w:tcW w:w="6098" w:type="dxa"/>
            <w:vAlign w:val="center"/>
          </w:tcPr>
          <w:p>
            <w:pPr>
              <w:bidi w:val="0"/>
              <w:ind w:left="0" w:leftChars="0" w:firstLine="0" w:firstLineChars="0"/>
              <w:jc w:val="both"/>
              <w:rPr>
                <w:rFonts w:hint="eastAsia" w:ascii="仿宋" w:hAnsi="仿宋" w:eastAsia="仿宋" w:cs="仿宋"/>
                <w:sz w:val="24"/>
                <w:szCs w:val="24"/>
                <w:lang w:val="en-US" w:eastAsia="en-US"/>
              </w:rPr>
            </w:pPr>
            <w:r>
              <w:rPr>
                <w:rFonts w:hint="eastAsia" w:ascii="仿宋" w:hAnsi="仿宋" w:eastAsia="仿宋" w:cs="仿宋"/>
                <w:sz w:val="24"/>
                <w:szCs w:val="24"/>
                <w:highlight w:val="none"/>
                <w:lang w:val="en-US" w:eastAsia="en-US"/>
              </w:rPr>
              <w:t>就地回收利用、资源化利用、焚烧发电厂利用、堆填场无害化堆填</w:t>
            </w:r>
          </w:p>
        </w:tc>
      </w:tr>
    </w:tbl>
    <w:p>
      <w:pPr>
        <w:widowControl/>
        <w:kinsoku w:val="0"/>
        <w:autoSpaceDE w:val="0"/>
        <w:autoSpaceDN w:val="0"/>
        <w:adjustRightInd w:val="0"/>
        <w:snapToGrid w:val="0"/>
        <w:spacing w:before="78" w:line="219" w:lineRule="auto"/>
        <w:ind w:right="37" w:firstLine="0" w:firstLineChars="0"/>
        <w:jc w:val="left"/>
        <w:textAlignment w:val="baseline"/>
        <w:rPr>
          <w:rFonts w:hint="eastAsia" w:ascii="宋体" w:hAnsi="宋体" w:eastAsia="宋体" w:cs="宋体"/>
          <w:snapToGrid w:val="0"/>
          <w:color w:val="000000"/>
          <w:spacing w:val="-1"/>
          <w:kern w:val="0"/>
          <w:sz w:val="24"/>
          <w:szCs w:val="24"/>
          <w:lang w:eastAsia="en-US"/>
        </w:rPr>
      </w:pPr>
    </w:p>
    <w:p>
      <w:pPr>
        <w:bidi w:val="0"/>
        <w:rPr>
          <w:rFonts w:hint="eastAsia"/>
          <w:lang w:eastAsia="zh-CN"/>
        </w:rPr>
      </w:pPr>
      <w:r>
        <w:rPr>
          <w:rFonts w:hint="eastAsia"/>
          <w:lang w:eastAsia="en-US"/>
        </w:rPr>
        <w:t>工程渣土与泥浆应经预处理改善渣土和余泥的高含水率、高黏度、易流变、高持水性和低渗透系数的特性，改性后的物料含水率小于40%、相关力学指标符合标准要求后方可填埋处置</w:t>
      </w:r>
      <w:r>
        <w:rPr>
          <w:rFonts w:hint="eastAsia"/>
          <w:lang w:eastAsia="zh-CN"/>
        </w:rPr>
        <w:t>。</w:t>
      </w:r>
    </w:p>
    <w:p>
      <w:pPr>
        <w:pStyle w:val="4"/>
        <w:bidi w:val="0"/>
        <w:rPr>
          <w:lang w:eastAsia="en-US"/>
        </w:rPr>
      </w:pPr>
      <w:r>
        <w:rPr>
          <w:rFonts w:hint="eastAsia"/>
          <w:lang w:val="en-US" w:eastAsia="zh-CN"/>
        </w:rPr>
        <w:t>1、</w:t>
      </w:r>
      <w:r>
        <w:rPr>
          <w:lang w:eastAsia="en-US"/>
        </w:rPr>
        <w:t>工程渣土和工程泥浆处置</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直接利用。</w:t>
      </w:r>
      <w:r>
        <w:rPr>
          <w:rFonts w:hint="eastAsia" w:ascii="Times New Roman" w:hAnsi="Times New Roman" w:eastAsia="仿宋" w:cs="仿宋"/>
          <w:spacing w:val="4"/>
          <w:sz w:val="28"/>
          <w:szCs w:val="28"/>
          <w:highlight w:val="none"/>
          <w:lang w:val="en-US" w:eastAsia="zh-CN"/>
        </w:rPr>
        <w:t>工程渣土一般分为上层土和下层土，可分层利用。上层土可代替传统的黄泥土用于堆坡造景、园林绿化，耕地修复、工程回填等，下层土可用来生产再生品，利用垃圾中筛分出的土生产道路用底基层材料。利用技术手段可生产混凝土路面砖等制品。工程泥浆经脱水、固化后形成的泥饼，经检测符合条件或者无害化处理后，可作为工程所需回填材料进行回填利用。</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资源化利用。</w:t>
      </w:r>
      <w:bookmarkStart w:id="180" w:name="OLE_LINK94"/>
      <w:r>
        <w:rPr>
          <w:rFonts w:hint="eastAsia" w:ascii="Times New Roman" w:hAnsi="Times New Roman" w:eastAsia="仿宋" w:cs="仿宋"/>
          <w:spacing w:val="4"/>
          <w:sz w:val="28"/>
          <w:szCs w:val="28"/>
          <w:highlight w:val="none"/>
          <w:lang w:val="en-US" w:eastAsia="zh-CN"/>
        </w:rPr>
        <w:t>工程渣土上层土采用直接利用方式，下层土可用泥砂分离将分离的黏土与园林垃圾堆肥腐殖质土混合制备园林种植土，通过固化和压制生产为建筑用砖、再生砌砖、免烧瓷砖、文化装饰砖等产品；以黏土为原料，经高温焙烧制得各类块材、板材。工程泥浆经处理后可用作回填、场地覆盖或制备再生产品。工程泥浆分选后形成的砂、石骨料，其性能符合国家有关标准的，可用作再生粗（细）骨料、蒸压加气混凝土原料。</w:t>
      </w:r>
    </w:p>
    <w:bookmarkEnd w:id="180"/>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处置规划。</w:t>
      </w:r>
      <w:r>
        <w:rPr>
          <w:rFonts w:hint="eastAsia" w:ascii="Times New Roman" w:hAnsi="Times New Roman" w:eastAsia="仿宋" w:cs="仿宋"/>
          <w:spacing w:val="4"/>
          <w:sz w:val="28"/>
          <w:szCs w:val="28"/>
          <w:highlight w:val="none"/>
          <w:lang w:val="en-US" w:eastAsia="zh-CN"/>
        </w:rPr>
        <w:t>工程渣土、工程泥浆可用于资源化利用、域内平衡</w:t>
      </w:r>
      <w:r>
        <w:rPr>
          <w:rFonts w:hint="eastAsia" w:cs="仿宋"/>
          <w:spacing w:val="4"/>
          <w:sz w:val="28"/>
          <w:szCs w:val="28"/>
          <w:highlight w:val="none"/>
          <w:lang w:val="en-US" w:eastAsia="zh-CN"/>
        </w:rPr>
        <w:t>、</w:t>
      </w:r>
      <w:r>
        <w:rPr>
          <w:rFonts w:hint="eastAsia" w:ascii="Times New Roman" w:hAnsi="Times New Roman" w:eastAsia="仿宋" w:cs="仿宋"/>
          <w:spacing w:val="4"/>
          <w:sz w:val="28"/>
          <w:szCs w:val="28"/>
          <w:highlight w:val="none"/>
          <w:lang w:val="en-US" w:eastAsia="zh-CN"/>
        </w:rPr>
        <w:t>跨区域调剂平衡、</w:t>
      </w:r>
      <w:bookmarkStart w:id="181" w:name="OLE_LINK95"/>
      <w:r>
        <w:rPr>
          <w:rFonts w:hint="eastAsia" w:ascii="Times New Roman" w:hAnsi="Times New Roman" w:eastAsia="仿宋" w:cs="仿宋"/>
          <w:spacing w:val="4"/>
          <w:sz w:val="28"/>
          <w:szCs w:val="28"/>
          <w:highlight w:val="none"/>
          <w:lang w:val="en-US" w:eastAsia="zh-CN"/>
        </w:rPr>
        <w:t>生态修复利用、场地平整和无害化填埋处置。优先以市场自行的供需平衡为消纳途径；同时积极探索表层土壤利用措施，为城市绿化等工程提供优质种植土；工程渣土中含有毒有害等污染物质的，严禁进入回填场地。</w:t>
      </w:r>
    </w:p>
    <w:bookmarkEnd w:id="181"/>
    <w:p>
      <w:pPr>
        <w:pStyle w:val="4"/>
        <w:bidi w:val="0"/>
        <w:rPr>
          <w:rFonts w:hint="eastAsia"/>
          <w:lang w:val="en-US" w:eastAsia="zh-CN"/>
        </w:rPr>
      </w:pPr>
      <w:r>
        <w:rPr>
          <w:rFonts w:hint="eastAsia"/>
          <w:lang w:val="en-US" w:eastAsia="zh-CN"/>
        </w:rPr>
        <w:t>2、工程垃圾和拆除垃圾</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直接利用。</w:t>
      </w:r>
      <w:r>
        <w:rPr>
          <w:rFonts w:hint="eastAsia" w:ascii="Times New Roman" w:hAnsi="Times New Roman" w:eastAsia="仿宋" w:cs="仿宋"/>
          <w:spacing w:val="4"/>
          <w:sz w:val="28"/>
          <w:szCs w:val="28"/>
          <w:highlight w:val="none"/>
          <w:lang w:val="en-US" w:eastAsia="zh-CN"/>
        </w:rPr>
        <w:t>工程垃圾主要由散落的砂浆和混凝土、剔凿产生的砖石和混凝土碎块、打桩截下的钢筋混凝土桩头、废金属料、竹木材、各种包装材料组成，木材、金属等有价值的物质可进入废品回收体系，其余大部分直接用于渣土桩填料、夯扩桩填料，部分含有一定量的有毒有害成分，可采用无害化填埋处置。拆除垃圾主要是指各类旧建筑物、构筑物等拆除过程中产生的废弃物，旧建筑物拆除垃圾的组成与建筑物的结构有关，建筑物拆除垃圾中完整尺寸的砖块经收集整理可用于建筑施工工地的围墙、公路防护墙建设等，在城市兴建大型建筑、广场、市政设施时，可作为回填材料使用。</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资源化利用。</w:t>
      </w:r>
      <w:r>
        <w:rPr>
          <w:rFonts w:hint="eastAsia" w:ascii="Times New Roman" w:hAnsi="Times New Roman" w:eastAsia="仿宋" w:cs="仿宋"/>
          <w:spacing w:val="4"/>
          <w:sz w:val="28"/>
          <w:szCs w:val="28"/>
          <w:highlight w:val="none"/>
          <w:lang w:val="en-US" w:eastAsia="zh-CN"/>
        </w:rPr>
        <w:t>工程垃圾中的废弃混凝土优先用于生产再生骨料</w:t>
      </w:r>
      <w:r>
        <w:rPr>
          <w:rFonts w:hint="eastAsia" w:cs="仿宋"/>
          <w:spacing w:val="4"/>
          <w:sz w:val="28"/>
          <w:szCs w:val="28"/>
          <w:highlight w:val="none"/>
          <w:lang w:val="en-US" w:eastAsia="zh-CN"/>
        </w:rPr>
        <w:t>，</w:t>
      </w:r>
      <w:r>
        <w:rPr>
          <w:rFonts w:hint="eastAsia" w:ascii="Times New Roman" w:hAnsi="Times New Roman" w:eastAsia="仿宋" w:cs="仿宋"/>
          <w:spacing w:val="4"/>
          <w:sz w:val="28"/>
          <w:szCs w:val="28"/>
          <w:highlight w:val="none"/>
          <w:lang w:val="en-US" w:eastAsia="zh-CN"/>
        </w:rPr>
        <w:t>废弃沥青混合料优先用于生产再生沥青混合料；废弃模板根据材质分类回收，竹木材质宜用作再生板材、纸张或生物质燃料等的原材料。拆除垃圾中的废弃混凝土、砂浆、石材、砖瓦、陶瓷可用于生产再生骨料砂浆、烧结再生砖、砌块的原材料；废弃沥青混合料可用于生产再生沥青混合料；废弃金属、木材、玻璃、塑料等根据材质分类回收利用</w:t>
      </w:r>
      <w:r>
        <w:rPr>
          <w:rFonts w:hint="eastAsia" w:ascii="Times New Roman" w:hAnsi="Times New Roman" w:cs="仿宋"/>
          <w:spacing w:val="4"/>
          <w:sz w:val="28"/>
          <w:szCs w:val="28"/>
          <w:highlight w:val="none"/>
          <w:lang w:val="en-US" w:eastAsia="zh-CN"/>
        </w:rPr>
        <w:t>；无法在现场进行分类的无机非金属、金属、有机类垃圾的混合物，施工剩余的防水材料、保温材料等，玻璃类，废弃木模板可运往生活垃圾焚烧发电厂焚烧利用。</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处置规划。</w:t>
      </w:r>
      <w:r>
        <w:rPr>
          <w:rFonts w:hint="eastAsia" w:ascii="Times New Roman" w:hAnsi="Times New Roman" w:eastAsia="仿宋" w:cs="仿宋"/>
          <w:spacing w:val="4"/>
          <w:sz w:val="28"/>
          <w:szCs w:val="28"/>
          <w:highlight w:val="none"/>
          <w:lang w:val="en-US" w:eastAsia="zh-CN"/>
        </w:rPr>
        <w:t>工程垃圾和拆除垃圾中可资源化利用的成分较高，其中的金属、木材、玻璃等可回收再利用，采取资源化利用为主，消纳为辅的处理模式。此类建筑垃圾中混凝土、砖块等可再利用组分占比高，再利用经济效益好，重点为规范行业的市场监管，提高规模化效应和再利用水平。同时，结合大型集中的拆违和旧改工地，设置移动式建筑垃圾处理设施，就地破碎后形成建材骨料进行利用。</w:t>
      </w:r>
    </w:p>
    <w:p>
      <w:pPr>
        <w:pStyle w:val="4"/>
        <w:bidi w:val="0"/>
        <w:rPr>
          <w:rFonts w:hint="eastAsia"/>
          <w:lang w:val="en-US" w:eastAsia="zh-CN"/>
        </w:rPr>
      </w:pPr>
      <w:r>
        <w:rPr>
          <w:rFonts w:hint="eastAsia"/>
          <w:lang w:val="en-US" w:eastAsia="zh-CN"/>
        </w:rPr>
        <w:t>3、装修垃圾</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直接利用。</w:t>
      </w:r>
      <w:r>
        <w:rPr>
          <w:rFonts w:hint="eastAsia" w:ascii="Times New Roman" w:hAnsi="Times New Roman" w:eastAsia="仿宋" w:cs="仿宋"/>
          <w:spacing w:val="4"/>
          <w:sz w:val="28"/>
          <w:szCs w:val="28"/>
          <w:highlight w:val="none"/>
          <w:lang w:val="en-US" w:eastAsia="zh-CN"/>
        </w:rPr>
        <w:t>装修垃圾主要由散落的砂浆和混凝土、剔凿产生的砖石和混凝土碎块、废金属料、竹木材、各种包装材料组成，木材、金属等有价值的物质可进入废品回收体系，其余大部分直接用于渣土桩填料、夯扩桩填料，部分含有一定量的有毒有害成分，可采用无害化填埋处置。</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资源化利用。</w:t>
      </w:r>
      <w:r>
        <w:rPr>
          <w:rFonts w:hint="eastAsia" w:ascii="Times New Roman" w:hAnsi="Times New Roman" w:eastAsia="仿宋" w:cs="仿宋"/>
          <w:spacing w:val="4"/>
          <w:sz w:val="28"/>
          <w:szCs w:val="28"/>
          <w:highlight w:val="none"/>
          <w:lang w:val="en-US" w:eastAsia="zh-CN"/>
        </w:rPr>
        <w:t>装修垃圾中的废弃混凝土、砂浆、石材、砖瓦、陶瓷可用于生产再生骨料，发展再生砖、再生混凝土、再生无机混合料综合利用项目；石膏、加气混凝土砌块等轻质材料可用于生产掺合料；废弃金属、木材、玻璃、塑料等根据材质分类回收利用</w:t>
      </w:r>
      <w:r>
        <w:rPr>
          <w:rFonts w:hint="eastAsia" w:ascii="Times New Roman" w:hAnsi="Times New Roman" w:cs="仿宋"/>
          <w:spacing w:val="4"/>
          <w:sz w:val="28"/>
          <w:szCs w:val="28"/>
          <w:highlight w:val="none"/>
          <w:lang w:val="en-US" w:eastAsia="zh-CN"/>
        </w:rPr>
        <w:t>；无法在现场进行分类的无机非金属、金属、有机类垃圾的混合物可运往生活垃圾焚烧发电厂焚烧利用。</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2"/>
        <w:jc w:val="both"/>
        <w:textAlignment w:val="baseline"/>
        <w:rPr>
          <w:rFonts w:hint="eastAsia" w:ascii="Times New Roman" w:hAnsi="Times New Roman" w:eastAsia="仿宋" w:cs="仿宋"/>
          <w:b w:val="0"/>
          <w:bCs w:val="0"/>
          <w:spacing w:val="4"/>
          <w:sz w:val="28"/>
          <w:szCs w:val="28"/>
          <w:highlight w:val="none"/>
          <w:lang w:val="en-US" w:eastAsia="zh-CN"/>
        </w:rPr>
      </w:pPr>
      <w:r>
        <w:rPr>
          <w:rFonts w:hint="eastAsia" w:ascii="Times New Roman" w:hAnsi="Times New Roman" w:eastAsia="仿宋" w:cs="仿宋"/>
          <w:b/>
          <w:bCs/>
          <w:spacing w:val="4"/>
          <w:sz w:val="28"/>
          <w:szCs w:val="28"/>
          <w:highlight w:val="none"/>
          <w:lang w:val="en-US" w:eastAsia="zh-CN"/>
        </w:rPr>
        <w:t>处置规划。</w:t>
      </w:r>
      <w:r>
        <w:rPr>
          <w:rFonts w:hint="eastAsia" w:ascii="Times New Roman" w:hAnsi="Times New Roman" w:eastAsia="仿宋" w:cs="仿宋"/>
          <w:b w:val="0"/>
          <w:bCs w:val="0"/>
          <w:spacing w:val="4"/>
          <w:sz w:val="28"/>
          <w:szCs w:val="28"/>
          <w:highlight w:val="none"/>
          <w:lang w:val="en-US" w:eastAsia="zh-CN"/>
        </w:rPr>
        <w:t>装修垃圾成分较复杂，经前段分类收集后，金属、玻璃、竹木等可回收利用，砖瓦、混凝土块等进入建筑垃圾再生利用厂再生利用。无法直接利用和再生利用的部分，则进入建筑垃圾填埋场进行无害化处理。</w:t>
      </w:r>
    </w:p>
    <w:p>
      <w:pPr>
        <w:pStyle w:val="4"/>
        <w:bidi w:val="0"/>
        <w:rPr>
          <w:lang w:eastAsia="zh-CN"/>
        </w:rPr>
      </w:pPr>
      <w:r>
        <w:rPr>
          <w:rFonts w:hint="eastAsia"/>
          <w:lang w:val="en-US" w:eastAsia="zh-CN"/>
        </w:rPr>
        <w:t>4、设施</w:t>
      </w:r>
      <w:r>
        <w:rPr>
          <w:lang w:eastAsia="zh-CN"/>
        </w:rPr>
        <w:t>选址要求</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60"/>
        <w:jc w:val="both"/>
        <w:textAlignment w:val="baseline"/>
        <w:rPr>
          <w:rFonts w:ascii="Times New Roman" w:hAnsi="Times New Roman" w:eastAsia="仿宋" w:cs="仿宋"/>
          <w:sz w:val="28"/>
          <w:szCs w:val="28"/>
          <w:highlight w:val="none"/>
          <w:lang w:eastAsia="zh-CN"/>
        </w:rPr>
      </w:pPr>
      <w:r>
        <w:rPr>
          <w:rFonts w:ascii="Times New Roman" w:hAnsi="Times New Roman" w:eastAsia="仿宋" w:cs="仿宋"/>
          <w:spacing w:val="4"/>
          <w:sz w:val="28"/>
          <w:szCs w:val="28"/>
          <w:highlight w:val="none"/>
          <w:lang w:eastAsia="zh-CN"/>
        </w:rPr>
        <w:t>建筑垃圾处理设施为建筑垃圾资源化利用设施、填埋</w:t>
      </w:r>
      <w:r>
        <w:rPr>
          <w:rFonts w:hint="eastAsia" w:cs="仿宋"/>
          <w:spacing w:val="-3"/>
          <w:sz w:val="28"/>
          <w:szCs w:val="28"/>
          <w:highlight w:val="none"/>
          <w:lang w:val="en-US" w:eastAsia="zh-CN"/>
        </w:rPr>
        <w:t>场</w:t>
      </w:r>
      <w:r>
        <w:rPr>
          <w:rFonts w:ascii="Times New Roman" w:hAnsi="Times New Roman" w:eastAsia="仿宋" w:cs="仿宋"/>
          <w:spacing w:val="-3"/>
          <w:sz w:val="28"/>
          <w:szCs w:val="28"/>
          <w:highlight w:val="none"/>
          <w:lang w:eastAsia="zh-CN"/>
        </w:rPr>
        <w:t>（消纳场）</w:t>
      </w:r>
      <w:r>
        <w:rPr>
          <w:rFonts w:hint="eastAsia" w:cs="仿宋"/>
          <w:spacing w:val="-3"/>
          <w:sz w:val="28"/>
          <w:szCs w:val="28"/>
          <w:highlight w:val="none"/>
          <w:lang w:eastAsia="zh-CN"/>
        </w:rPr>
        <w:t>、</w:t>
      </w:r>
      <w:r>
        <w:rPr>
          <w:rFonts w:hint="eastAsia" w:cs="仿宋"/>
          <w:spacing w:val="-3"/>
          <w:sz w:val="28"/>
          <w:szCs w:val="28"/>
          <w:highlight w:val="none"/>
          <w:lang w:val="en-US" w:eastAsia="zh-CN"/>
        </w:rPr>
        <w:t>转运调配场</w:t>
      </w:r>
      <w:r>
        <w:rPr>
          <w:rFonts w:ascii="Times New Roman" w:hAnsi="Times New Roman" w:eastAsia="仿宋" w:cs="仿宋"/>
          <w:spacing w:val="-3"/>
          <w:sz w:val="28"/>
          <w:szCs w:val="28"/>
          <w:highlight w:val="none"/>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9"/>
        <w:jc w:val="both"/>
        <w:textAlignment w:val="baseline"/>
        <w:rPr>
          <w:rFonts w:ascii="Times New Roman" w:hAnsi="Times New Roman" w:eastAsia="仿宋" w:cs="仿宋"/>
          <w:b/>
          <w:bCs/>
          <w:spacing w:val="-22"/>
          <w:sz w:val="28"/>
          <w:szCs w:val="28"/>
          <w:highlight w:val="none"/>
          <w:lang w:eastAsia="zh-CN"/>
        </w:rPr>
      </w:pPr>
      <w:r>
        <w:rPr>
          <w:rFonts w:ascii="Times New Roman" w:hAnsi="Times New Roman" w:eastAsia="仿宋" w:cs="仿宋"/>
          <w:b/>
          <w:bCs/>
          <w:spacing w:val="1"/>
          <w:sz w:val="28"/>
          <w:szCs w:val="28"/>
          <w:highlight w:val="none"/>
          <w:lang w:eastAsia="zh-CN"/>
        </w:rPr>
        <w:t>设施选址应符合下列规定</w:t>
      </w:r>
      <w:r>
        <w:rPr>
          <w:rFonts w:ascii="Times New Roman" w:hAnsi="Times New Roman" w:eastAsia="仿宋" w:cs="仿宋"/>
          <w:b/>
          <w:bCs/>
          <w:spacing w:val="-22"/>
          <w:sz w:val="28"/>
          <w:szCs w:val="28"/>
          <w:highlight w:val="none"/>
          <w:lang w:eastAsia="zh-CN"/>
        </w:rPr>
        <w:t>：</w:t>
      </w:r>
    </w:p>
    <w:p>
      <w:pPr>
        <w:bidi w:val="0"/>
        <w:rPr>
          <w:lang w:eastAsia="zh-CN"/>
        </w:rPr>
      </w:pPr>
      <w:r>
        <w:rPr>
          <w:lang w:eastAsia="zh-CN"/>
        </w:rPr>
        <w:t>（1）应符合当地城市总体规划、环境卫生设施专项规划以及国家现行有关标准的规定。</w:t>
      </w:r>
    </w:p>
    <w:p>
      <w:pPr>
        <w:bidi w:val="0"/>
        <w:rPr>
          <w:lang w:eastAsia="zh-CN"/>
        </w:rPr>
      </w:pPr>
      <w:r>
        <w:rPr>
          <w:lang w:eastAsia="zh-CN"/>
        </w:rPr>
        <w:t>（2）应与当地的大气防护、水土资源保护、自然保护及生态平衡要求相一致。</w:t>
      </w:r>
    </w:p>
    <w:p>
      <w:pPr>
        <w:bidi w:val="0"/>
        <w:rPr>
          <w:lang w:eastAsia="zh-CN"/>
        </w:rPr>
      </w:pPr>
      <w:r>
        <w:rPr>
          <w:lang w:eastAsia="zh-CN"/>
        </w:rPr>
        <w:t>（3）工程地质与水文地质条件应满足设施建设和运行的要求不应选在发震断层、滑坡、泥石流、沼泽、流沙及采矿陷落区等地区。</w:t>
      </w:r>
    </w:p>
    <w:p>
      <w:pPr>
        <w:bidi w:val="0"/>
        <w:rPr>
          <w:lang w:eastAsia="zh-CN"/>
        </w:rPr>
      </w:pPr>
      <w:r>
        <w:rPr>
          <w:lang w:eastAsia="zh-CN"/>
        </w:rPr>
        <w:t>（4）应交通方便、运距合理，并应综合建筑垃圾处理厂的服务区域、建筑垃圾收集运输能力、产品出路、预留发展等因素。</w:t>
      </w:r>
    </w:p>
    <w:p>
      <w:pPr>
        <w:bidi w:val="0"/>
        <w:rPr>
          <w:lang w:eastAsia="zh-CN"/>
        </w:rPr>
      </w:pPr>
      <w:r>
        <w:rPr>
          <w:lang w:eastAsia="zh-CN"/>
        </w:rPr>
        <w:t>（5）应有良好的电力、给水和排水条件。</w:t>
      </w:r>
    </w:p>
    <w:p>
      <w:pPr>
        <w:bidi w:val="0"/>
        <w:rPr>
          <w:lang w:eastAsia="zh-CN"/>
        </w:rPr>
      </w:pPr>
      <w:r>
        <w:rPr>
          <w:lang w:eastAsia="zh-CN"/>
        </w:rPr>
        <w:t>（6）应位于地下水贫乏地区、环境保护目标区域的地下水流向</w:t>
      </w:r>
      <w:r>
        <w:rPr>
          <w:rFonts w:hint="eastAsia"/>
          <w:lang w:val="en-US" w:eastAsia="zh-CN"/>
        </w:rPr>
        <w:t>的</w:t>
      </w:r>
      <w:r>
        <w:rPr>
          <w:lang w:eastAsia="zh-CN"/>
        </w:rPr>
        <w:t>下游地区，及夏季主导风向下风向。</w:t>
      </w:r>
    </w:p>
    <w:p>
      <w:pPr>
        <w:bidi w:val="0"/>
        <w:rPr>
          <w:lang w:eastAsia="zh-CN"/>
        </w:rPr>
      </w:pPr>
      <w:r>
        <w:rPr>
          <w:lang w:eastAsia="zh-CN"/>
        </w:rPr>
        <w:t>（7）厂址不应受洪水、潮水或内涝的威胁。当必须建在该类地区时，应有可靠的防洪、排涝措施，其防洪标准应符合现行国家标准《防洪标准》GB50201的有关规定。</w:t>
      </w:r>
    </w:p>
    <w:p>
      <w:pPr>
        <w:bidi w:val="0"/>
        <w:rPr>
          <w:lang w:eastAsia="zh-CN"/>
        </w:rPr>
      </w:pPr>
      <w:r>
        <w:rPr>
          <w:lang w:eastAsia="zh-CN"/>
        </w:rPr>
        <w:t>（</w:t>
      </w:r>
      <w:r>
        <w:rPr>
          <w:rFonts w:hint="eastAsia"/>
          <w:lang w:val="en-US" w:eastAsia="zh-CN"/>
        </w:rPr>
        <w:t>8</w:t>
      </w:r>
      <w:r>
        <w:rPr>
          <w:lang w:eastAsia="zh-CN"/>
        </w:rPr>
        <w:t>）宜优先选用废弃的采矿坑、山谷型场地等。</w:t>
      </w:r>
    </w:p>
    <w:p>
      <w:pPr>
        <w:bidi w:val="0"/>
        <w:rPr>
          <w:lang w:eastAsia="zh-CN"/>
        </w:rPr>
      </w:pPr>
      <w:r>
        <w:rPr>
          <w:lang w:eastAsia="zh-CN"/>
        </w:rPr>
        <w:t>（</w:t>
      </w:r>
      <w:r>
        <w:rPr>
          <w:rFonts w:hint="eastAsia"/>
          <w:lang w:val="en-US" w:eastAsia="zh-CN"/>
        </w:rPr>
        <w:t>9</w:t>
      </w:r>
      <w:r>
        <w:rPr>
          <w:lang w:eastAsia="zh-CN"/>
        </w:rPr>
        <w:t>）建筑垃圾处置设施与居民居住区、人畜供水点等敏感目标的卫生防护距离应通过环境影响评价确定。</w:t>
      </w:r>
    </w:p>
    <w:p>
      <w:pPr>
        <w:pStyle w:val="3"/>
        <w:bidi w:val="0"/>
        <w:rPr>
          <w:rFonts w:hint="eastAsia" w:ascii="楷体" w:hAnsi="楷体" w:eastAsia="楷体" w:cs="楷体"/>
          <w:sz w:val="28"/>
          <w:szCs w:val="28"/>
        </w:rPr>
      </w:pPr>
      <w:bookmarkStart w:id="182" w:name="bookmark83"/>
      <w:bookmarkEnd w:id="182"/>
      <w:bookmarkStart w:id="183" w:name="bookmark84"/>
      <w:bookmarkEnd w:id="183"/>
      <w:bookmarkStart w:id="184" w:name="_Toc543"/>
      <w:r>
        <w:rPr>
          <w:rFonts w:hint="eastAsia" w:ascii="楷体" w:hAnsi="楷体" w:eastAsia="楷体" w:cs="楷体"/>
          <w:sz w:val="28"/>
          <w:szCs w:val="28"/>
        </w:rPr>
        <w:t>（二）</w:t>
      </w:r>
      <w:r>
        <w:rPr>
          <w:rFonts w:hint="eastAsia" w:ascii="楷体" w:hAnsi="楷体" w:eastAsia="楷体" w:cs="楷体"/>
          <w:sz w:val="28"/>
          <w:szCs w:val="28"/>
          <w:lang w:eastAsia="en-US"/>
        </w:rPr>
        <w:t>建筑垃圾处置设施布局</w:t>
      </w:r>
      <w:bookmarkEnd w:id="184"/>
    </w:p>
    <w:p>
      <w:pPr>
        <w:bidi w:val="0"/>
        <w:rPr>
          <w:highlight w:val="none"/>
          <w:u w:val="single"/>
          <w:lang w:eastAsia="en-US"/>
        </w:rPr>
      </w:pPr>
      <w:bookmarkStart w:id="185" w:name="OLE_LINK74"/>
      <w:bookmarkStart w:id="186" w:name="OLE_LINK100"/>
      <w:r>
        <w:rPr>
          <w:rFonts w:hint="eastAsia"/>
          <w:lang w:val="en-US" w:eastAsia="zh-CN"/>
        </w:rPr>
        <w:t>根据桃江县建筑垃圾产生实际和预测情况，结合县域交通、乡镇布局和《桃江县国土空间总体规划（2021—2035年）》，</w:t>
      </w:r>
      <w:r>
        <w:rPr>
          <w:rFonts w:hint="eastAsia"/>
          <w:u w:val="single"/>
          <w:lang w:val="en-US" w:eastAsia="zh-CN"/>
        </w:rPr>
        <w:t>桃江县建筑垃圾处理设施</w:t>
      </w:r>
      <w:r>
        <w:rPr>
          <w:u w:val="single"/>
          <w:lang w:eastAsia="en-US"/>
        </w:rPr>
        <w:t>近期规划</w:t>
      </w:r>
      <w:r>
        <w:rPr>
          <w:rFonts w:hint="eastAsia"/>
          <w:u w:val="single"/>
          <w:lang w:val="en-US" w:eastAsia="en-US"/>
        </w:rPr>
        <w:t>在</w:t>
      </w:r>
      <w:r>
        <w:rPr>
          <w:rFonts w:hint="eastAsia"/>
          <w:u w:val="single"/>
          <w:lang w:val="en-US" w:eastAsia="zh-CN"/>
        </w:rPr>
        <w:t>鸬鹚渡镇</w:t>
      </w:r>
      <w:r>
        <w:rPr>
          <w:rFonts w:hint="eastAsia"/>
          <w:u w:val="single"/>
          <w:lang w:val="en-US" w:eastAsia="zh-CN"/>
        </w:rPr>
        <w:t>建设一座处理能力不低于90万吨的建筑垃圾填埋场</w:t>
      </w:r>
      <w:r>
        <w:rPr>
          <w:rFonts w:hint="eastAsia"/>
          <w:u w:val="single"/>
          <w:lang w:val="en-US" w:eastAsia="en-US"/>
        </w:rPr>
        <w:t>，</w:t>
      </w:r>
      <w:r>
        <w:rPr>
          <w:rFonts w:hint="eastAsia"/>
          <w:u w:val="single"/>
          <w:lang w:val="en-US" w:eastAsia="zh-CN"/>
        </w:rPr>
        <w:t>在大栗港镇和牛田镇分别建设一座年处理能力不低于25万吨的转运调配场。</w:t>
      </w:r>
      <w:bookmarkEnd w:id="185"/>
      <w:r>
        <w:rPr>
          <w:rFonts w:hint="eastAsia"/>
          <w:u w:val="single"/>
          <w:lang w:val="en-US" w:eastAsia="zh-CN"/>
        </w:rPr>
        <w:t>远期</w:t>
      </w:r>
      <w:r>
        <w:rPr>
          <w:rFonts w:hint="eastAsia"/>
          <w:u w:val="single"/>
          <w:lang w:val="en-US" w:eastAsia="en-US"/>
        </w:rPr>
        <w:t>规划在</w:t>
      </w:r>
      <w:r>
        <w:rPr>
          <w:rFonts w:hint="eastAsia"/>
          <w:u w:val="single"/>
          <w:lang w:val="en-US" w:eastAsia="zh-CN"/>
        </w:rPr>
        <w:t>灰山港镇建设一座处</w:t>
      </w:r>
      <w:r>
        <w:rPr>
          <w:rFonts w:hint="eastAsia"/>
          <w:highlight w:val="none"/>
          <w:u w:val="single"/>
          <w:lang w:val="en-US" w:eastAsia="zh-CN"/>
        </w:rPr>
        <w:t>理能力不低于90万吨的建筑垃圾填埋处理场</w:t>
      </w:r>
      <w:r>
        <w:rPr>
          <w:highlight w:val="none"/>
          <w:u w:val="single"/>
          <w:lang w:eastAsia="en-US"/>
        </w:rPr>
        <w:t>，</w:t>
      </w:r>
      <w:r>
        <w:rPr>
          <w:rFonts w:hint="eastAsia"/>
          <w:highlight w:val="none"/>
          <w:u w:val="single"/>
          <w:lang w:val="en-US" w:eastAsia="zh-CN"/>
        </w:rPr>
        <w:t>在三堂街镇建设一座年处理能力不低于25万吨的转运调配场。</w:t>
      </w:r>
    </w:p>
    <w:bookmarkEnd w:id="186"/>
    <w:p>
      <w:pPr>
        <w:widowControl/>
        <w:kinsoku w:val="0"/>
        <w:autoSpaceDE w:val="0"/>
        <w:autoSpaceDN w:val="0"/>
        <w:adjustRightInd w:val="0"/>
        <w:snapToGrid w:val="0"/>
        <w:spacing w:before="2" w:line="413" w:lineRule="auto"/>
        <w:ind w:left="41" w:right="101" w:firstLine="556" w:firstLineChars="0"/>
        <w:jc w:val="left"/>
        <w:textAlignment w:val="baseline"/>
        <w:rPr>
          <w:rFonts w:ascii="宋体" w:hAnsi="宋体" w:eastAsia="宋体" w:cs="宋体"/>
          <w:snapToGrid w:val="0"/>
          <w:color w:val="000000"/>
          <w:kern w:val="0"/>
          <w:sz w:val="28"/>
          <w:szCs w:val="28"/>
          <w:lang w:eastAsia="en-US"/>
        </w:rPr>
      </w:pPr>
    </w:p>
    <w:p>
      <w:pPr>
        <w:spacing w:line="413" w:lineRule="auto"/>
        <w:rPr>
          <w:rFonts w:ascii="宋体" w:hAnsi="宋体" w:eastAsia="宋体" w:cs="宋体"/>
          <w:sz w:val="28"/>
          <w:szCs w:val="28"/>
        </w:rPr>
        <w:sectPr>
          <w:headerReference r:id="rId11" w:type="default"/>
          <w:footerReference r:id="rId12" w:type="default"/>
          <w:pgSz w:w="11907" w:h="16839"/>
          <w:pgMar w:top="1166" w:right="1697" w:bottom="1263" w:left="1771" w:header="828" w:footer="1130" w:gutter="0"/>
          <w:pgNumType w:fmt="decimal" w:start="1"/>
          <w:cols w:space="720" w:num="1"/>
        </w:sectPr>
      </w:pPr>
    </w:p>
    <w:p>
      <w:pPr>
        <w:pStyle w:val="4"/>
        <w:bidi w:val="0"/>
        <w:rPr>
          <w:rFonts w:hint="eastAsia"/>
          <w:lang w:val="en-US" w:eastAsia="zh-CN"/>
        </w:rPr>
      </w:pPr>
      <w:r>
        <w:rPr>
          <w:rFonts w:hint="eastAsia"/>
          <w:lang w:val="en-US" w:eastAsia="zh-CN"/>
        </w:rPr>
        <w:t>1、资源化利用厂</w:t>
      </w:r>
    </w:p>
    <w:p>
      <w:pPr>
        <w:bidi w:val="0"/>
        <w:rPr>
          <w:rFonts w:hint="eastAsia"/>
          <w:lang w:val="en-US" w:eastAsia="zh-CN"/>
        </w:rPr>
      </w:pPr>
      <w:r>
        <w:rPr>
          <w:rFonts w:hint="eastAsia"/>
          <w:lang w:val="en-US" w:eastAsia="zh-CN"/>
        </w:rPr>
        <w:t>桃江</w:t>
      </w:r>
      <w:r>
        <w:t>县</w:t>
      </w:r>
      <w:r>
        <w:rPr>
          <w:rFonts w:hint="eastAsia"/>
          <w:lang w:val="en-US" w:eastAsia="zh-CN"/>
        </w:rPr>
        <w:t>是湖南省</w:t>
      </w:r>
      <w:r>
        <w:t>建筑垃圾治理和资源化利用工作的试点县，</w:t>
      </w:r>
      <w:r>
        <w:rPr>
          <w:rFonts w:hint="eastAsia"/>
          <w:lang w:val="en-US" w:eastAsia="zh-CN"/>
        </w:rPr>
        <w:t>目前</w:t>
      </w:r>
      <w:r>
        <w:t>已建成建筑垃圾处理企业3家，生产各类市政产品及构件</w:t>
      </w:r>
      <w:r>
        <w:rPr>
          <w:rFonts w:hint="eastAsia"/>
          <w:lang w:eastAsia="zh-CN"/>
        </w:rPr>
        <w:t>。</w:t>
      </w:r>
      <w:r>
        <w:t>全年各类建筑垃圾资源化利用</w:t>
      </w:r>
      <w:r>
        <w:rPr>
          <w:rFonts w:hint="eastAsia"/>
          <w:lang w:val="en-US" w:eastAsia="zh-CN"/>
        </w:rPr>
        <w:t>120</w:t>
      </w:r>
      <w:r>
        <w:t>万吨左右，</w:t>
      </w:r>
      <w:r>
        <w:rPr>
          <w:rFonts w:hint="eastAsia"/>
          <w:u w:val="single"/>
          <w:lang w:val="en-US" w:eastAsia="zh-CN"/>
        </w:rPr>
        <w:t>2024年县域</w:t>
      </w:r>
      <w:r>
        <w:rPr>
          <w:u w:val="single"/>
        </w:rPr>
        <w:t>建筑垃圾资源化利用率达到</w:t>
      </w:r>
      <w:r>
        <w:rPr>
          <w:rFonts w:hint="eastAsia"/>
          <w:u w:val="single"/>
          <w:lang w:val="en-US" w:eastAsia="zh-CN"/>
        </w:rPr>
        <w:t>72.26</w:t>
      </w:r>
      <w:r>
        <w:rPr>
          <w:u w:val="single"/>
        </w:rPr>
        <w:t>%。</w:t>
      </w:r>
      <w:r>
        <w:rPr>
          <w:rFonts w:hint="eastAsia"/>
          <w:lang w:val="en-US" w:eastAsia="zh-CN"/>
        </w:rPr>
        <w:t>根据桃江县建筑垃圾近五年来产生量和10年预测情况，无需规划新增资源化利用厂。</w:t>
      </w:r>
    </w:p>
    <w:p>
      <w:pPr>
        <w:bidi w:val="0"/>
        <w:ind w:left="0" w:leftChars="0" w:firstLine="0" w:firstLineChars="0"/>
        <w:jc w:val="center"/>
        <w:rPr>
          <w:b/>
          <w:bCs/>
          <w:lang w:eastAsia="zh-CN"/>
        </w:rPr>
      </w:pPr>
      <w:bookmarkStart w:id="187" w:name="OLE_LINK71"/>
      <w:bookmarkStart w:id="188" w:name="OLE_LINK58"/>
      <w:r>
        <w:rPr>
          <w:b/>
          <w:bCs/>
          <w:lang w:eastAsia="zh-CN"/>
        </w:rPr>
        <w:t>表</w:t>
      </w:r>
      <w:r>
        <w:rPr>
          <w:rFonts w:hint="eastAsia"/>
          <w:b/>
          <w:bCs/>
          <w:lang w:val="en-US" w:eastAsia="zh-CN"/>
        </w:rPr>
        <w:t xml:space="preserve">8-2 </w:t>
      </w:r>
      <w:bookmarkEnd w:id="187"/>
      <w:r>
        <w:rPr>
          <w:rFonts w:hint="eastAsia"/>
          <w:b/>
          <w:bCs/>
          <w:lang w:val="en-US" w:eastAsia="zh-CN"/>
        </w:rPr>
        <w:t>桃江县</w:t>
      </w:r>
      <w:r>
        <w:rPr>
          <w:b/>
          <w:bCs/>
          <w:lang w:eastAsia="zh-CN"/>
        </w:rPr>
        <w:t>建筑垃圾处理设施</w:t>
      </w:r>
      <w:bookmarkStart w:id="189" w:name="OLE_LINK64"/>
      <w:r>
        <w:rPr>
          <w:rFonts w:hint="eastAsia"/>
          <w:b/>
          <w:bCs/>
          <w:lang w:val="en-US" w:eastAsia="zh-CN"/>
        </w:rPr>
        <w:t>情</w:t>
      </w:r>
      <w:bookmarkEnd w:id="189"/>
      <w:r>
        <w:rPr>
          <w:rFonts w:hint="eastAsia"/>
          <w:b/>
          <w:bCs/>
          <w:lang w:val="en-US" w:eastAsia="zh-CN"/>
        </w:rPr>
        <w:t>况</w:t>
      </w:r>
      <w:r>
        <w:rPr>
          <w:b/>
          <w:bCs/>
          <w:lang w:eastAsia="zh-CN"/>
        </w:rPr>
        <w:t>表</w:t>
      </w:r>
    </w:p>
    <w:tbl>
      <w:tblPr>
        <w:tblStyle w:val="25"/>
        <w:tblW w:w="53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764"/>
        <w:gridCol w:w="1294"/>
        <w:gridCol w:w="979"/>
        <w:gridCol w:w="1317"/>
        <w:gridCol w:w="1255"/>
        <w:gridCol w:w="15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5"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序号</w:t>
            </w:r>
          </w:p>
        </w:tc>
        <w:tc>
          <w:tcPr>
            <w:tcW w:w="1000"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名称</w:t>
            </w:r>
          </w:p>
        </w:tc>
        <w:tc>
          <w:tcPr>
            <w:tcW w:w="733"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处理能力（万吨/年）</w:t>
            </w:r>
          </w:p>
        </w:tc>
        <w:tc>
          <w:tcPr>
            <w:tcW w:w="555"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用地面积（亩）</w:t>
            </w:r>
          </w:p>
        </w:tc>
        <w:tc>
          <w:tcPr>
            <w:tcW w:w="746"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建筑垃圾场所类型</w:t>
            </w:r>
          </w:p>
        </w:tc>
        <w:tc>
          <w:tcPr>
            <w:tcW w:w="710"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服务范围</w:t>
            </w:r>
          </w:p>
        </w:tc>
        <w:tc>
          <w:tcPr>
            <w:tcW w:w="897"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位置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5"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000" w:type="pct"/>
            <w:vAlign w:val="center"/>
          </w:tcPr>
          <w:p>
            <w:pPr>
              <w:spacing w:afterLines="0" w:line="240" w:lineRule="auto"/>
              <w:ind w:left="0" w:leftChars="0" w:firstLine="0" w:firstLine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color w:val="000000"/>
                <w:sz w:val="24"/>
                <w:szCs w:val="24"/>
                <w:highlight w:val="none"/>
              </w:rPr>
              <w:t>益阳方成建筑新材料有限公司</w:t>
            </w:r>
          </w:p>
        </w:tc>
        <w:tc>
          <w:tcPr>
            <w:tcW w:w="733"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100</w:t>
            </w:r>
          </w:p>
        </w:tc>
        <w:tc>
          <w:tcPr>
            <w:tcW w:w="555"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w:t>
            </w:r>
          </w:p>
        </w:tc>
        <w:tc>
          <w:tcPr>
            <w:tcW w:w="746"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资源化利用</w:t>
            </w:r>
          </w:p>
        </w:tc>
        <w:tc>
          <w:tcPr>
            <w:tcW w:w="710"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建筑垃圾</w:t>
            </w:r>
          </w:p>
        </w:tc>
        <w:tc>
          <w:tcPr>
            <w:tcW w:w="897"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桃江县浮邱山乡人形山村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5"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000" w:type="pct"/>
            <w:vAlign w:val="center"/>
          </w:tcPr>
          <w:p>
            <w:pPr>
              <w:spacing w:afterLines="0" w:line="240" w:lineRule="auto"/>
              <w:ind w:left="0" w:leftChars="0" w:firstLine="0" w:firstLine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桃江县晓亿建材有限责任公司</w:t>
            </w:r>
          </w:p>
        </w:tc>
        <w:tc>
          <w:tcPr>
            <w:tcW w:w="733"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60</w:t>
            </w:r>
          </w:p>
        </w:tc>
        <w:tc>
          <w:tcPr>
            <w:tcW w:w="555"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w:t>
            </w:r>
          </w:p>
        </w:tc>
        <w:tc>
          <w:tcPr>
            <w:tcW w:w="746"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资源化利用</w:t>
            </w:r>
          </w:p>
        </w:tc>
        <w:tc>
          <w:tcPr>
            <w:tcW w:w="710"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建筑垃圾</w:t>
            </w:r>
          </w:p>
        </w:tc>
        <w:tc>
          <w:tcPr>
            <w:tcW w:w="897" w:type="pct"/>
            <w:vAlign w:val="center"/>
          </w:tcPr>
          <w:p>
            <w:pPr>
              <w:keepNext w:val="0"/>
              <w:keepLines w:val="0"/>
              <w:widowControl/>
              <w:suppressLineNumbers w:val="0"/>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桃江县石牛江镇增塘村</w:t>
            </w:r>
          </w:p>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5"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1000"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color w:val="000000"/>
                <w:sz w:val="24"/>
                <w:szCs w:val="24"/>
                <w:highlight w:val="none"/>
              </w:rPr>
              <w:t>桃江惠强环保建材有限公司</w:t>
            </w:r>
          </w:p>
        </w:tc>
        <w:tc>
          <w:tcPr>
            <w:tcW w:w="733"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9.2</w:t>
            </w:r>
          </w:p>
        </w:tc>
        <w:tc>
          <w:tcPr>
            <w:tcW w:w="555"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94.6</w:t>
            </w:r>
          </w:p>
        </w:tc>
        <w:tc>
          <w:tcPr>
            <w:tcW w:w="746"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资源化利用</w:t>
            </w:r>
          </w:p>
        </w:tc>
        <w:tc>
          <w:tcPr>
            <w:tcW w:w="710"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建筑垃圾</w:t>
            </w:r>
          </w:p>
        </w:tc>
        <w:tc>
          <w:tcPr>
            <w:tcW w:w="897"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桃江县浮邱山乡人形山村</w:t>
            </w:r>
          </w:p>
        </w:tc>
      </w:tr>
      <w:bookmarkEnd w:id="188"/>
    </w:tbl>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8"/>
        <w:jc w:val="both"/>
        <w:textAlignment w:val="baseline"/>
        <w:rPr>
          <w:rFonts w:hint="eastAsia" w:ascii="Times New Roman" w:hAnsi="Times New Roman" w:cs="仿宋"/>
          <w:spacing w:val="4"/>
          <w:sz w:val="28"/>
          <w:szCs w:val="28"/>
          <w:highlight w:val="cyan"/>
          <w:lang w:val="en-US" w:eastAsia="zh-CN"/>
        </w:rPr>
      </w:pPr>
    </w:p>
    <w:p>
      <w:pPr>
        <w:pStyle w:val="4"/>
        <w:bidi w:val="0"/>
        <w:rPr>
          <w:rFonts w:hint="eastAsia"/>
          <w:lang w:val="en-US" w:eastAsia="zh-CN"/>
        </w:rPr>
      </w:pPr>
      <w:r>
        <w:rPr>
          <w:rFonts w:hint="eastAsia"/>
          <w:lang w:val="en-US" w:eastAsia="zh-CN"/>
        </w:rPr>
        <w:t>2、</w:t>
      </w:r>
      <w:r>
        <w:rPr>
          <w:rFonts w:hint="eastAsia"/>
          <w:lang w:eastAsia="zh-CN"/>
        </w:rPr>
        <w:t>建筑垃圾</w:t>
      </w:r>
      <w:bookmarkStart w:id="190" w:name="OLE_LINK67"/>
      <w:r>
        <w:rPr>
          <w:rFonts w:hint="eastAsia"/>
          <w:lang w:eastAsia="zh-CN"/>
        </w:rPr>
        <w:t>转运调配场</w:t>
      </w:r>
      <w:bookmarkEnd w:id="190"/>
      <w:r>
        <w:rPr>
          <w:rFonts w:hint="eastAsia"/>
          <w:lang w:eastAsia="zh-CN"/>
        </w:rPr>
        <w:t>规划</w:t>
      </w:r>
      <w:r>
        <w:rPr>
          <w:rFonts w:hint="eastAsia"/>
          <w:lang w:val="en-US" w:eastAsia="zh-CN"/>
        </w:rPr>
        <w:t>布局</w:t>
      </w:r>
    </w:p>
    <w:p>
      <w:pPr>
        <w:bidi w:val="0"/>
        <w:rPr>
          <w:rFonts w:hint="eastAsia"/>
          <w:lang w:val="en-US" w:eastAsia="zh-CN"/>
        </w:rPr>
      </w:pPr>
      <w:r>
        <w:t>建筑垃圾转运调配场是建筑垃圾收运体系中的关键节点，其规划布局需综合考虑区域建筑垃圾产生量、运输距离、土地利用、环境保护及长期发展需求。以下是基于当前最佳实践和规划原则的系统性布局</w:t>
      </w:r>
      <w:r>
        <w:rPr>
          <w:rFonts w:hint="eastAsia"/>
          <w:lang w:val="en-US" w:eastAsia="zh-CN"/>
        </w:rPr>
        <w:t>情况</w:t>
      </w:r>
      <w:r>
        <w:t>：</w:t>
      </w:r>
    </w:p>
    <w:p>
      <w:pPr>
        <w:bidi w:val="0"/>
        <w:ind w:left="0" w:leftChars="0" w:firstLine="0" w:firstLineChars="0"/>
        <w:jc w:val="center"/>
        <w:rPr>
          <w:rFonts w:hint="default"/>
          <w:b/>
          <w:bCs/>
          <w:lang w:val="en-US" w:eastAsia="zh-CN"/>
        </w:rPr>
      </w:pPr>
      <w:bookmarkStart w:id="191" w:name="OLE_LINK72"/>
      <w:r>
        <w:rPr>
          <w:b/>
          <w:bCs/>
          <w:lang w:eastAsia="zh-CN"/>
        </w:rPr>
        <w:t>表</w:t>
      </w:r>
      <w:r>
        <w:rPr>
          <w:rFonts w:hint="eastAsia"/>
          <w:b/>
          <w:bCs/>
          <w:lang w:val="en-US" w:eastAsia="zh-CN"/>
        </w:rPr>
        <w:t>8-3</w:t>
      </w:r>
      <w:bookmarkEnd w:id="191"/>
      <w:r>
        <w:rPr>
          <w:rFonts w:hint="eastAsia"/>
          <w:b/>
          <w:bCs/>
          <w:lang w:val="en-US" w:eastAsia="zh-CN"/>
        </w:rPr>
        <w:t xml:space="preserve"> 桃江县</w:t>
      </w:r>
      <w:bookmarkStart w:id="192" w:name="OLE_LINK65"/>
      <w:r>
        <w:rPr>
          <w:rFonts w:hint="eastAsia"/>
          <w:b/>
          <w:bCs/>
          <w:lang w:eastAsia="zh-CN"/>
        </w:rPr>
        <w:t>建筑垃圾转运调配场规划</w:t>
      </w:r>
      <w:r>
        <w:rPr>
          <w:rFonts w:hint="eastAsia"/>
          <w:b/>
          <w:bCs/>
          <w:lang w:val="en-US" w:eastAsia="zh-CN"/>
        </w:rPr>
        <w:t>布局</w:t>
      </w:r>
      <w:bookmarkEnd w:id="192"/>
      <w:r>
        <w:rPr>
          <w:rFonts w:hint="eastAsia"/>
          <w:b/>
          <w:bCs/>
          <w:lang w:val="en-US" w:eastAsia="zh-CN"/>
        </w:rPr>
        <w:t>情况表</w:t>
      </w:r>
    </w:p>
    <w:tbl>
      <w:tblPr>
        <w:tblStyle w:val="25"/>
        <w:tblW w:w="525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8"/>
        <w:gridCol w:w="1468"/>
        <w:gridCol w:w="1284"/>
        <w:gridCol w:w="851"/>
        <w:gridCol w:w="3307"/>
        <w:gridCol w:w="11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9"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bookmarkStart w:id="193" w:name="OLE_LINK63"/>
            <w:r>
              <w:rPr>
                <w:rFonts w:hint="eastAsia" w:ascii="仿宋" w:hAnsi="仿宋" w:eastAsia="仿宋" w:cs="仿宋"/>
                <w:b/>
                <w:bCs/>
                <w:sz w:val="24"/>
                <w:szCs w:val="24"/>
                <w:highlight w:val="none"/>
                <w:lang w:val="en-US" w:eastAsia="zh-CN"/>
              </w:rPr>
              <w:t>序号</w:t>
            </w:r>
          </w:p>
        </w:tc>
        <w:tc>
          <w:tcPr>
            <w:tcW w:w="840"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名称</w:t>
            </w:r>
          </w:p>
        </w:tc>
        <w:tc>
          <w:tcPr>
            <w:tcW w:w="734"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处理能力（万吨/年）</w:t>
            </w:r>
          </w:p>
        </w:tc>
        <w:tc>
          <w:tcPr>
            <w:tcW w:w="487"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用地面积（亩）</w:t>
            </w:r>
          </w:p>
        </w:tc>
        <w:tc>
          <w:tcPr>
            <w:tcW w:w="1893"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服务范围</w:t>
            </w:r>
          </w:p>
        </w:tc>
        <w:tc>
          <w:tcPr>
            <w:tcW w:w="684"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位置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9" w:type="pct"/>
            <w:vAlign w:val="center"/>
          </w:tcPr>
          <w:p>
            <w:pPr>
              <w:spacing w:afterLines="0" w:line="240" w:lineRule="auto"/>
              <w:ind w:left="0" w:leftChars="0" w:firstLine="0" w:firstLineChars="0"/>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w:t>
            </w:r>
          </w:p>
        </w:tc>
        <w:tc>
          <w:tcPr>
            <w:tcW w:w="840" w:type="pct"/>
            <w:vAlign w:val="center"/>
          </w:tcPr>
          <w:p>
            <w:pPr>
              <w:spacing w:afterLines="0" w:line="240" w:lineRule="auto"/>
              <w:ind w:left="0" w:leftChars="0" w:firstLine="0" w:firstLineChars="0"/>
              <w:jc w:val="center"/>
              <w:rPr>
                <w:rFonts w:hint="eastAsia" w:ascii="仿宋" w:hAnsi="仿宋" w:eastAsia="仿宋" w:cs="仿宋"/>
                <w:b w:val="0"/>
                <w:bCs w:val="0"/>
                <w:kern w:val="2"/>
                <w:sz w:val="24"/>
                <w:szCs w:val="24"/>
                <w:highlight w:val="none"/>
                <w:lang w:val="en-US" w:eastAsia="zh-CN" w:bidi="ar-SA"/>
              </w:rPr>
            </w:pPr>
            <w:r>
              <w:rPr>
                <w:rFonts w:hint="eastAsia" w:cs="Times New Roman"/>
                <w:b w:val="0"/>
                <w:bCs w:val="0"/>
                <w:snapToGrid/>
                <w:kern w:val="2"/>
                <w:sz w:val="24"/>
                <w:szCs w:val="24"/>
                <w:highlight w:val="none"/>
                <w:lang w:val="en-US" w:eastAsia="zh-CN"/>
              </w:rPr>
              <w:t>三堂街镇</w:t>
            </w:r>
            <w:r>
              <w:rPr>
                <w:rFonts w:hint="eastAsia" w:ascii="Times New Roman" w:hAnsi="Times New Roman" w:eastAsia="仿宋" w:cs="Times New Roman"/>
                <w:b w:val="0"/>
                <w:bCs w:val="0"/>
                <w:kern w:val="2"/>
                <w:sz w:val="24"/>
                <w:szCs w:val="24"/>
                <w:highlight w:val="none"/>
                <w:lang w:eastAsia="zh-CN"/>
              </w:rPr>
              <w:t>转运调配场</w:t>
            </w:r>
          </w:p>
        </w:tc>
        <w:tc>
          <w:tcPr>
            <w:tcW w:w="734"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30</w:t>
            </w:r>
          </w:p>
        </w:tc>
        <w:tc>
          <w:tcPr>
            <w:tcW w:w="487"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25</w:t>
            </w:r>
          </w:p>
        </w:tc>
        <w:tc>
          <w:tcPr>
            <w:tcW w:w="1893" w:type="pct"/>
            <w:vAlign w:val="center"/>
          </w:tcPr>
          <w:p>
            <w:pPr>
              <w:spacing w:afterLines="0" w:line="240" w:lineRule="auto"/>
              <w:ind w:left="0" w:leftChars="0" w:firstLine="0" w:firstLineChars="0"/>
              <w:jc w:val="center"/>
              <w:rPr>
                <w:rFonts w:hint="default" w:ascii="仿宋" w:hAnsi="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修山镇、三堂街镇、鲊埠乡</w:t>
            </w:r>
          </w:p>
        </w:tc>
        <w:tc>
          <w:tcPr>
            <w:tcW w:w="684"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桃江县</w:t>
            </w:r>
            <w:r>
              <w:rPr>
                <w:rFonts w:hint="eastAsia" w:ascii="仿宋" w:hAnsi="仿宋" w:cs="仿宋"/>
                <w:b w:val="0"/>
                <w:bCs w:val="0"/>
                <w:sz w:val="24"/>
                <w:szCs w:val="24"/>
                <w:highlight w:val="none"/>
                <w:lang w:val="en-US" w:eastAsia="zh-CN"/>
              </w:rPr>
              <w:t>三堂街镇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9" w:type="pct"/>
            <w:vAlign w:val="center"/>
          </w:tcPr>
          <w:p>
            <w:pPr>
              <w:spacing w:afterLines="0" w:line="240" w:lineRule="auto"/>
              <w:ind w:left="0" w:leftChars="0" w:firstLine="0" w:firstLineChars="0"/>
              <w:jc w:val="center"/>
              <w:rPr>
                <w:rFonts w:hint="eastAsia" w:ascii="仿宋" w:hAnsi="仿宋" w:eastAsia="仿宋" w:cs="仿宋"/>
                <w:b w:val="0"/>
                <w:bCs w:val="0"/>
                <w:sz w:val="24"/>
                <w:szCs w:val="24"/>
                <w:highlight w:val="none"/>
                <w:lang w:val="en-US" w:eastAsia="zh-CN"/>
              </w:rPr>
            </w:pPr>
            <w:bookmarkStart w:id="194" w:name="OLE_LINK69" w:colFirst="4" w:colLast="4"/>
            <w:r>
              <w:rPr>
                <w:rFonts w:hint="eastAsia" w:ascii="仿宋" w:hAnsi="仿宋" w:eastAsia="仿宋" w:cs="仿宋"/>
                <w:b w:val="0"/>
                <w:bCs w:val="0"/>
                <w:sz w:val="24"/>
                <w:szCs w:val="24"/>
                <w:highlight w:val="none"/>
                <w:lang w:val="en-US" w:eastAsia="zh-CN"/>
              </w:rPr>
              <w:t>2</w:t>
            </w:r>
          </w:p>
        </w:tc>
        <w:tc>
          <w:tcPr>
            <w:tcW w:w="840" w:type="pct"/>
            <w:vAlign w:val="center"/>
          </w:tcPr>
          <w:p>
            <w:pPr>
              <w:spacing w:afterLines="0" w:line="240" w:lineRule="auto"/>
              <w:ind w:left="0" w:leftChars="0" w:firstLine="0" w:firstLineChars="0"/>
              <w:jc w:val="center"/>
              <w:rPr>
                <w:rFonts w:hint="eastAsia" w:ascii="仿宋" w:hAnsi="仿宋" w:eastAsia="仿宋" w:cs="仿宋"/>
                <w:b w:val="0"/>
                <w:bCs w:val="0"/>
                <w:kern w:val="2"/>
                <w:sz w:val="24"/>
                <w:szCs w:val="24"/>
                <w:highlight w:val="none"/>
                <w:lang w:val="en-US" w:eastAsia="zh-CN" w:bidi="ar-SA"/>
              </w:rPr>
            </w:pPr>
            <w:r>
              <w:rPr>
                <w:rFonts w:hint="eastAsia" w:cs="Times New Roman"/>
                <w:b w:val="0"/>
                <w:bCs w:val="0"/>
                <w:snapToGrid/>
                <w:kern w:val="2"/>
                <w:sz w:val="24"/>
                <w:szCs w:val="24"/>
                <w:highlight w:val="none"/>
                <w:lang w:val="en-US" w:eastAsia="zh-CN"/>
              </w:rPr>
              <w:t>大栗港镇</w:t>
            </w:r>
            <w:r>
              <w:rPr>
                <w:rFonts w:hint="eastAsia" w:ascii="Times New Roman" w:hAnsi="Times New Roman" w:eastAsia="仿宋" w:cs="Times New Roman"/>
                <w:b w:val="0"/>
                <w:bCs w:val="0"/>
                <w:kern w:val="2"/>
                <w:sz w:val="24"/>
                <w:szCs w:val="24"/>
                <w:highlight w:val="none"/>
                <w:lang w:eastAsia="zh-CN"/>
              </w:rPr>
              <w:t>转运调配场</w:t>
            </w:r>
          </w:p>
        </w:tc>
        <w:tc>
          <w:tcPr>
            <w:tcW w:w="734"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30</w:t>
            </w:r>
          </w:p>
        </w:tc>
        <w:tc>
          <w:tcPr>
            <w:tcW w:w="487"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25</w:t>
            </w:r>
          </w:p>
        </w:tc>
        <w:tc>
          <w:tcPr>
            <w:tcW w:w="1893"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鸬鹚渡镇、大栗港镇、马迹塘镇、武潭镇</w:t>
            </w:r>
          </w:p>
        </w:tc>
        <w:tc>
          <w:tcPr>
            <w:tcW w:w="684" w:type="pct"/>
            <w:vAlign w:val="center"/>
          </w:tcPr>
          <w:p>
            <w:pPr>
              <w:keepNext w:val="0"/>
              <w:keepLines w:val="0"/>
              <w:widowControl/>
              <w:suppressLineNumbers w:val="0"/>
              <w:ind w:left="0" w:leftChars="0" w:firstLine="0" w:firstLineChars="0"/>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bidi="ar"/>
              </w:rPr>
              <w:t>桃江县</w:t>
            </w:r>
            <w:r>
              <w:rPr>
                <w:rFonts w:hint="eastAsia" w:ascii="仿宋" w:hAnsi="仿宋" w:cs="仿宋"/>
                <w:b w:val="0"/>
                <w:bCs w:val="0"/>
                <w:color w:val="000000"/>
                <w:kern w:val="0"/>
                <w:sz w:val="24"/>
                <w:szCs w:val="24"/>
                <w:highlight w:val="none"/>
                <w:lang w:val="en-US" w:eastAsia="zh-CN" w:bidi="ar"/>
              </w:rPr>
              <w:t>大栗港镇</w:t>
            </w:r>
          </w:p>
        </w:tc>
      </w:tr>
      <w:bookmarkEnd w:id="194"/>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59" w:type="pct"/>
            <w:vAlign w:val="center"/>
          </w:tcPr>
          <w:p>
            <w:pPr>
              <w:spacing w:afterLines="0" w:line="240" w:lineRule="auto"/>
              <w:ind w:left="0" w:leftChars="0" w:firstLine="0" w:firstLineChars="0"/>
              <w:jc w:val="center"/>
              <w:rPr>
                <w:rFonts w:hint="eastAsia" w:ascii="仿宋" w:hAnsi="仿宋" w:eastAsia="仿宋" w:cs="仿宋"/>
                <w:b w:val="0"/>
                <w:bCs w:val="0"/>
                <w:sz w:val="24"/>
                <w:szCs w:val="24"/>
                <w:highlight w:val="none"/>
                <w:lang w:val="en-US" w:eastAsia="zh-CN"/>
              </w:rPr>
            </w:pPr>
            <w:bookmarkStart w:id="195" w:name="OLE_LINK70" w:colFirst="5" w:colLast="5"/>
            <w:r>
              <w:rPr>
                <w:rFonts w:hint="eastAsia" w:ascii="仿宋" w:hAnsi="仿宋" w:eastAsia="仿宋" w:cs="仿宋"/>
                <w:b w:val="0"/>
                <w:bCs w:val="0"/>
                <w:sz w:val="24"/>
                <w:szCs w:val="24"/>
                <w:highlight w:val="none"/>
                <w:lang w:val="en-US" w:eastAsia="zh-CN"/>
              </w:rPr>
              <w:t>3</w:t>
            </w:r>
          </w:p>
        </w:tc>
        <w:tc>
          <w:tcPr>
            <w:tcW w:w="840" w:type="pct"/>
            <w:vAlign w:val="center"/>
          </w:tcPr>
          <w:p>
            <w:pPr>
              <w:spacing w:afterLines="0" w:line="240" w:lineRule="auto"/>
              <w:ind w:left="0" w:leftChars="0" w:firstLine="0" w:firstLineChars="0"/>
              <w:jc w:val="center"/>
              <w:rPr>
                <w:rFonts w:hint="eastAsia" w:ascii="仿宋" w:hAnsi="仿宋" w:eastAsia="仿宋" w:cs="仿宋"/>
                <w:b w:val="0"/>
                <w:bCs w:val="0"/>
                <w:sz w:val="24"/>
                <w:szCs w:val="24"/>
                <w:highlight w:val="none"/>
                <w:lang w:val="en-US" w:eastAsia="zh-CN"/>
              </w:rPr>
            </w:pPr>
            <w:r>
              <w:rPr>
                <w:rFonts w:hint="eastAsia" w:cs="Times New Roman"/>
                <w:b w:val="0"/>
                <w:bCs w:val="0"/>
                <w:snapToGrid/>
                <w:kern w:val="2"/>
                <w:sz w:val="24"/>
                <w:szCs w:val="24"/>
                <w:highlight w:val="none"/>
                <w:lang w:val="en-US" w:eastAsia="zh-CN"/>
              </w:rPr>
              <w:t>牛田镇</w:t>
            </w:r>
            <w:r>
              <w:rPr>
                <w:rFonts w:hint="eastAsia" w:ascii="Times New Roman" w:hAnsi="Times New Roman" w:eastAsia="仿宋" w:cs="Times New Roman"/>
                <w:b w:val="0"/>
                <w:bCs w:val="0"/>
                <w:kern w:val="2"/>
                <w:sz w:val="24"/>
                <w:szCs w:val="24"/>
                <w:highlight w:val="none"/>
                <w:lang w:eastAsia="zh-CN"/>
              </w:rPr>
              <w:t>转运调配场</w:t>
            </w:r>
          </w:p>
        </w:tc>
        <w:tc>
          <w:tcPr>
            <w:tcW w:w="734"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30</w:t>
            </w:r>
          </w:p>
        </w:tc>
        <w:tc>
          <w:tcPr>
            <w:tcW w:w="487"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cs="仿宋"/>
                <w:b w:val="0"/>
                <w:bCs w:val="0"/>
                <w:sz w:val="24"/>
                <w:szCs w:val="24"/>
                <w:highlight w:val="none"/>
                <w:lang w:val="en-US" w:eastAsia="zh-CN"/>
              </w:rPr>
              <w:t>25</w:t>
            </w:r>
          </w:p>
        </w:tc>
        <w:tc>
          <w:tcPr>
            <w:tcW w:w="1893" w:type="pct"/>
            <w:vAlign w:val="center"/>
          </w:tcPr>
          <w:p>
            <w:pPr>
              <w:spacing w:afterLines="0" w:line="240" w:lineRule="auto"/>
              <w:ind w:left="0" w:leftChars="0" w:firstLine="0" w:firstLineChars="0"/>
              <w:jc w:val="center"/>
              <w:rPr>
                <w:rFonts w:hint="default" w:ascii="仿宋" w:hAnsi="仿宋" w:eastAsia="仿宋" w:cs="仿宋"/>
                <w:b w:val="0"/>
                <w:bCs w:val="0"/>
                <w:kern w:val="2"/>
                <w:sz w:val="24"/>
                <w:szCs w:val="24"/>
                <w:highlight w:val="none"/>
                <w:lang w:val="en-US" w:eastAsia="zh-CN" w:bidi="ar-SA"/>
              </w:rPr>
            </w:pPr>
            <w:r>
              <w:rPr>
                <w:rFonts w:hint="eastAsia" w:ascii="仿宋" w:hAnsi="仿宋" w:cs="仿宋"/>
                <w:b w:val="0"/>
                <w:bCs w:val="0"/>
                <w:sz w:val="24"/>
                <w:szCs w:val="24"/>
                <w:highlight w:val="none"/>
                <w:lang w:val="en-US" w:eastAsia="zh-CN"/>
              </w:rPr>
              <w:t>桃花江镇、石牛江</w:t>
            </w:r>
            <w:bookmarkStart w:id="196" w:name="OLE_LINK73"/>
            <w:r>
              <w:rPr>
                <w:rFonts w:hint="eastAsia" w:ascii="仿宋" w:hAnsi="仿宋" w:cs="仿宋"/>
                <w:b w:val="0"/>
                <w:bCs w:val="0"/>
                <w:sz w:val="24"/>
                <w:szCs w:val="24"/>
                <w:highlight w:val="none"/>
                <w:lang w:val="en-US" w:eastAsia="zh-CN"/>
              </w:rPr>
              <w:t>镇</w:t>
            </w:r>
            <w:bookmarkEnd w:id="196"/>
            <w:r>
              <w:rPr>
                <w:rFonts w:hint="eastAsia" w:ascii="仿宋" w:hAnsi="仿宋" w:cs="仿宋"/>
                <w:b w:val="0"/>
                <w:bCs w:val="0"/>
                <w:sz w:val="24"/>
                <w:szCs w:val="24"/>
                <w:highlight w:val="none"/>
                <w:lang w:val="en-US" w:eastAsia="zh-CN"/>
              </w:rPr>
              <w:t>、牛田镇、灰山港镇、松木塘镇、灰山港镇</w:t>
            </w:r>
          </w:p>
        </w:tc>
        <w:tc>
          <w:tcPr>
            <w:tcW w:w="684" w:type="pct"/>
            <w:vAlign w:val="center"/>
          </w:tcPr>
          <w:p>
            <w:pPr>
              <w:spacing w:afterLines="0" w:line="240" w:lineRule="auto"/>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桃江县</w:t>
            </w:r>
            <w:r>
              <w:rPr>
                <w:rFonts w:hint="eastAsia" w:ascii="仿宋" w:hAnsi="仿宋" w:cs="仿宋"/>
                <w:b w:val="0"/>
                <w:bCs w:val="0"/>
                <w:sz w:val="24"/>
                <w:szCs w:val="24"/>
                <w:highlight w:val="none"/>
                <w:lang w:val="en-US" w:eastAsia="zh-CN"/>
              </w:rPr>
              <w:t>牛田镇</w:t>
            </w:r>
          </w:p>
        </w:tc>
      </w:tr>
      <w:bookmarkEnd w:id="193"/>
      <w:bookmarkEnd w:id="195"/>
    </w:tbl>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8"/>
        <w:jc w:val="both"/>
        <w:textAlignment w:val="baseline"/>
        <w:rPr>
          <w:rFonts w:hint="eastAsia" w:ascii="Times New Roman" w:hAnsi="Times New Roman" w:cs="仿宋"/>
          <w:spacing w:val="4"/>
          <w:sz w:val="28"/>
          <w:szCs w:val="28"/>
          <w:highlight w:val="cyan"/>
          <w:lang w:val="en-US" w:eastAsia="zh-CN"/>
        </w:rPr>
      </w:pPr>
    </w:p>
    <w:p>
      <w:pPr>
        <w:pStyle w:val="4"/>
        <w:bidi w:val="0"/>
        <w:rPr>
          <w:rFonts w:hint="eastAsia"/>
          <w:lang w:val="en-US" w:eastAsia="zh-CN"/>
        </w:rPr>
      </w:pPr>
      <w:r>
        <w:rPr>
          <w:rFonts w:hint="eastAsia"/>
          <w:lang w:eastAsia="zh-CN"/>
        </w:rPr>
        <w:t>3、建筑垃圾填埋场地规划</w:t>
      </w:r>
      <w:r>
        <w:rPr>
          <w:rFonts w:hint="eastAsia"/>
          <w:lang w:val="en-US" w:eastAsia="zh-CN"/>
        </w:rPr>
        <w:t>布局</w:t>
      </w:r>
    </w:p>
    <w:p>
      <w:pPr>
        <w:bidi w:val="0"/>
      </w:pPr>
      <w:bookmarkStart w:id="197" w:name="OLE_LINK80"/>
      <w:r>
        <w:t>针对</w:t>
      </w:r>
      <w:bookmarkStart w:id="198" w:name="OLE_LINK78"/>
      <w:r>
        <w:rPr>
          <w:rFonts w:hint="eastAsia"/>
          <w:lang w:val="en-US" w:eastAsia="zh-CN"/>
        </w:rPr>
        <w:t>桃江县建筑垃圾产生量情况，</w:t>
      </w:r>
      <w:bookmarkEnd w:id="198"/>
      <w:r>
        <w:rPr>
          <w:rFonts w:hint="eastAsia"/>
          <w:lang w:val="en-US" w:eastAsia="zh-CN"/>
        </w:rPr>
        <w:t>结合</w:t>
      </w:r>
      <w:bookmarkStart w:id="199" w:name="OLE_LINK75"/>
      <w:r>
        <w:rPr>
          <w:rFonts w:hint="eastAsia"/>
          <w:lang w:val="en-US" w:eastAsia="zh-CN"/>
        </w:rPr>
        <w:t>《桃江县国土空间总体规划（2021—2035年）》</w:t>
      </w:r>
      <w:bookmarkEnd w:id="199"/>
      <w:r>
        <w:rPr>
          <w:rFonts w:hint="eastAsia"/>
          <w:lang w:val="en-US" w:eastAsia="zh-CN"/>
        </w:rPr>
        <w:t>，在符合</w:t>
      </w:r>
      <w:r>
        <w:t>避开生态敏感区（如水源保护区、自然保护地）和人口密集区</w:t>
      </w:r>
      <w:r>
        <w:rPr>
          <w:rFonts w:hint="eastAsia"/>
          <w:lang w:eastAsia="zh-CN"/>
        </w:rPr>
        <w:t>、</w:t>
      </w:r>
      <w:r>
        <w:t>靠近主干道或货运通道</w:t>
      </w:r>
      <w:r>
        <w:rPr>
          <w:rFonts w:hint="eastAsia"/>
          <w:lang w:eastAsia="zh-CN"/>
        </w:rPr>
        <w:t>、</w:t>
      </w:r>
      <w:r>
        <w:t>优先利用废弃工业用地或低效土地</w:t>
      </w:r>
      <w:r>
        <w:rPr>
          <w:rFonts w:hint="eastAsia"/>
          <w:lang w:val="en-US" w:eastAsia="zh-CN"/>
        </w:rPr>
        <w:t>的条件下，规划新建2个建筑垃圾填埋场</w:t>
      </w:r>
      <w:r>
        <w:t>。</w:t>
      </w:r>
    </w:p>
    <w:p>
      <w:pPr>
        <w:bidi w:val="0"/>
      </w:pPr>
    </w:p>
    <w:bookmarkEnd w:id="197"/>
    <w:p>
      <w:pPr>
        <w:bidi w:val="0"/>
        <w:ind w:left="0" w:leftChars="0" w:firstLine="0" w:firstLineChars="0"/>
        <w:jc w:val="center"/>
        <w:rPr>
          <w:rFonts w:hint="default"/>
          <w:b/>
          <w:bCs/>
          <w:lang w:val="en-US" w:eastAsia="zh-CN"/>
        </w:rPr>
      </w:pPr>
      <w:r>
        <w:rPr>
          <w:b/>
          <w:bCs/>
          <w:lang w:eastAsia="zh-CN"/>
        </w:rPr>
        <w:t>表</w:t>
      </w:r>
      <w:r>
        <w:rPr>
          <w:rFonts w:hint="eastAsia"/>
          <w:b/>
          <w:bCs/>
          <w:lang w:val="en-US" w:eastAsia="zh-CN"/>
        </w:rPr>
        <w:t>8-4桃江县</w:t>
      </w:r>
      <w:r>
        <w:rPr>
          <w:rFonts w:hint="eastAsia"/>
          <w:b/>
          <w:bCs/>
          <w:lang w:eastAsia="zh-CN"/>
        </w:rPr>
        <w:t>建筑垃圾填埋场规划</w:t>
      </w:r>
      <w:r>
        <w:rPr>
          <w:rFonts w:hint="eastAsia"/>
          <w:b/>
          <w:bCs/>
          <w:lang w:val="en-US" w:eastAsia="zh-CN"/>
        </w:rPr>
        <w:t>布局情况表</w:t>
      </w:r>
    </w:p>
    <w:tbl>
      <w:tblPr>
        <w:tblStyle w:val="25"/>
        <w:tblW w:w="51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2768"/>
        <w:gridCol w:w="1307"/>
        <w:gridCol w:w="855"/>
        <w:gridCol w:w="1212"/>
        <w:gridCol w:w="18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3"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序号</w:t>
            </w:r>
          </w:p>
        </w:tc>
        <w:tc>
          <w:tcPr>
            <w:tcW w:w="1601"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名称</w:t>
            </w:r>
          </w:p>
        </w:tc>
        <w:tc>
          <w:tcPr>
            <w:tcW w:w="756"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处理能力（万吨）</w:t>
            </w:r>
          </w:p>
        </w:tc>
        <w:tc>
          <w:tcPr>
            <w:tcW w:w="495"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用地面积（亩）</w:t>
            </w:r>
          </w:p>
        </w:tc>
        <w:tc>
          <w:tcPr>
            <w:tcW w:w="701"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服务范围</w:t>
            </w:r>
          </w:p>
        </w:tc>
        <w:tc>
          <w:tcPr>
            <w:tcW w:w="1083" w:type="pct"/>
            <w:vAlign w:val="center"/>
          </w:tcPr>
          <w:p>
            <w:pPr>
              <w:spacing w:afterLines="0" w:line="24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位置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363"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601" w:type="pct"/>
            <w:vAlign w:val="center"/>
          </w:tcPr>
          <w:p>
            <w:pPr>
              <w:spacing w:afterLines="0" w:line="240" w:lineRule="auto"/>
              <w:ind w:left="0" w:leftChars="0" w:firstLine="0" w:firstLineChars="0"/>
              <w:jc w:val="center"/>
              <w:rPr>
                <w:rFonts w:hint="default" w:ascii="仿宋" w:hAnsi="仿宋" w:eastAsia="仿宋" w:cs="仿宋"/>
                <w:kern w:val="2"/>
                <w:sz w:val="24"/>
                <w:szCs w:val="24"/>
                <w:highlight w:val="none"/>
                <w:lang w:val="en-US" w:eastAsia="zh-CN" w:bidi="ar-SA"/>
              </w:rPr>
            </w:pPr>
            <w:r>
              <w:rPr>
                <w:rFonts w:hint="eastAsia" w:ascii="仿宋" w:hAnsi="仿宋" w:cs="仿宋"/>
                <w:sz w:val="24"/>
                <w:szCs w:val="24"/>
                <w:highlight w:val="none"/>
                <w:lang w:val="en-US" w:eastAsia="zh-CN"/>
              </w:rPr>
              <w:t>鸬鹚渡镇</w:t>
            </w:r>
            <w:r>
              <w:rPr>
                <w:rFonts w:hint="eastAsia" w:ascii="仿宋" w:hAnsi="仿宋" w:cs="仿宋"/>
                <w:color w:val="000000"/>
                <w:sz w:val="24"/>
                <w:szCs w:val="24"/>
                <w:highlight w:val="none"/>
                <w:lang w:val="en-US" w:eastAsia="zh-CN"/>
              </w:rPr>
              <w:t>建筑垃圾填埋场</w:t>
            </w:r>
          </w:p>
        </w:tc>
        <w:tc>
          <w:tcPr>
            <w:tcW w:w="756" w:type="pct"/>
            <w:vAlign w:val="center"/>
          </w:tcPr>
          <w:p>
            <w:pPr>
              <w:spacing w:afterLines="0" w:line="240" w:lineRule="auto"/>
              <w:ind w:left="0" w:leftChars="0" w:firstLine="0" w:firstLineChars="0"/>
              <w:jc w:val="center"/>
              <w:rPr>
                <w:rFonts w:hint="default" w:ascii="仿宋" w:hAnsi="仿宋" w:eastAsia="仿宋" w:cs="仿宋"/>
                <w:sz w:val="24"/>
                <w:szCs w:val="24"/>
                <w:highlight w:val="none"/>
                <w:lang w:val="en-US" w:eastAsia="zh-CN"/>
              </w:rPr>
            </w:pPr>
            <w:r>
              <w:rPr>
                <w:rFonts w:hint="eastAsia" w:ascii="仿宋" w:hAnsi="仿宋" w:cs="仿宋"/>
                <w:sz w:val="24"/>
                <w:szCs w:val="24"/>
                <w:highlight w:val="none"/>
                <w:lang w:val="en-US" w:eastAsia="zh-CN"/>
              </w:rPr>
              <w:t>90</w:t>
            </w:r>
          </w:p>
        </w:tc>
        <w:tc>
          <w:tcPr>
            <w:tcW w:w="495" w:type="pct"/>
            <w:vAlign w:val="center"/>
          </w:tcPr>
          <w:p>
            <w:pPr>
              <w:spacing w:afterLines="0" w:line="240" w:lineRule="auto"/>
              <w:ind w:left="0" w:leftChars="0" w:firstLine="0" w:firstLineChars="0"/>
              <w:jc w:val="center"/>
              <w:rPr>
                <w:rFonts w:hint="default" w:ascii="仿宋" w:hAnsi="仿宋" w:eastAsia="仿宋" w:cs="仿宋"/>
                <w:sz w:val="24"/>
                <w:szCs w:val="24"/>
                <w:highlight w:val="none"/>
                <w:lang w:val="en-US" w:eastAsia="zh-CN"/>
              </w:rPr>
            </w:pPr>
            <w:r>
              <w:rPr>
                <w:rFonts w:hint="eastAsia" w:ascii="仿宋" w:hAnsi="仿宋" w:cs="仿宋"/>
                <w:sz w:val="24"/>
                <w:szCs w:val="24"/>
                <w:highlight w:val="none"/>
                <w:lang w:val="en-US" w:eastAsia="zh-CN"/>
              </w:rPr>
              <w:t>50</w:t>
            </w:r>
          </w:p>
        </w:tc>
        <w:tc>
          <w:tcPr>
            <w:tcW w:w="701"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建筑垃圾</w:t>
            </w:r>
          </w:p>
        </w:tc>
        <w:tc>
          <w:tcPr>
            <w:tcW w:w="1083" w:type="pct"/>
            <w:vAlign w:val="center"/>
          </w:tcPr>
          <w:p>
            <w:pPr>
              <w:spacing w:afterLines="0" w:line="240" w:lineRule="auto"/>
              <w:ind w:left="0" w:leftChars="0" w:firstLine="0" w:firstLineChars="0"/>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桃江县</w:t>
            </w:r>
            <w:r>
              <w:rPr>
                <w:rFonts w:hint="eastAsia" w:ascii="仿宋" w:hAnsi="仿宋" w:cs="仿宋"/>
                <w:sz w:val="24"/>
                <w:szCs w:val="24"/>
                <w:highlight w:val="none"/>
                <w:lang w:val="en-US" w:eastAsia="zh-CN"/>
              </w:rPr>
              <w:t>鸬鹚渡镇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363"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601" w:type="pct"/>
            <w:vAlign w:val="center"/>
          </w:tcPr>
          <w:p>
            <w:pPr>
              <w:spacing w:afterLines="0" w:line="240" w:lineRule="auto"/>
              <w:ind w:left="0" w:leftChars="0" w:firstLine="0" w:firstLineChars="0"/>
              <w:jc w:val="center"/>
              <w:rPr>
                <w:rFonts w:hint="default" w:ascii="仿宋" w:hAnsi="仿宋" w:eastAsia="仿宋" w:cs="仿宋"/>
                <w:kern w:val="2"/>
                <w:sz w:val="24"/>
                <w:szCs w:val="24"/>
                <w:highlight w:val="none"/>
                <w:lang w:val="en-US" w:eastAsia="zh-CN" w:bidi="ar-SA"/>
              </w:rPr>
            </w:pPr>
            <w:r>
              <w:rPr>
                <w:rFonts w:hint="eastAsia" w:ascii="仿宋" w:hAnsi="仿宋" w:cs="仿宋"/>
                <w:sz w:val="24"/>
                <w:szCs w:val="24"/>
                <w:highlight w:val="none"/>
                <w:lang w:val="en-US" w:eastAsia="zh-CN"/>
              </w:rPr>
              <w:t>灰山港镇建筑垃圾填埋场</w:t>
            </w:r>
          </w:p>
        </w:tc>
        <w:tc>
          <w:tcPr>
            <w:tcW w:w="756" w:type="pct"/>
            <w:vAlign w:val="center"/>
          </w:tcPr>
          <w:p>
            <w:pPr>
              <w:spacing w:afterLines="0" w:line="240" w:lineRule="auto"/>
              <w:ind w:left="0" w:leftChars="0" w:firstLine="0" w:firstLineChars="0"/>
              <w:jc w:val="center"/>
              <w:rPr>
                <w:rFonts w:hint="default" w:ascii="仿宋" w:hAnsi="仿宋" w:eastAsia="仿宋" w:cs="仿宋"/>
                <w:sz w:val="24"/>
                <w:szCs w:val="24"/>
                <w:highlight w:val="none"/>
                <w:lang w:val="en-US" w:eastAsia="zh-CN"/>
              </w:rPr>
            </w:pPr>
            <w:r>
              <w:rPr>
                <w:rFonts w:hint="eastAsia" w:ascii="仿宋" w:hAnsi="仿宋" w:cs="仿宋"/>
                <w:sz w:val="24"/>
                <w:szCs w:val="24"/>
                <w:highlight w:val="none"/>
                <w:lang w:val="en-US" w:eastAsia="zh-CN"/>
              </w:rPr>
              <w:t>90</w:t>
            </w:r>
          </w:p>
        </w:tc>
        <w:tc>
          <w:tcPr>
            <w:tcW w:w="495" w:type="pct"/>
            <w:vAlign w:val="center"/>
          </w:tcPr>
          <w:p>
            <w:pPr>
              <w:spacing w:afterLines="0" w:line="240" w:lineRule="auto"/>
              <w:ind w:left="0" w:leftChars="0" w:firstLine="0" w:firstLineChars="0"/>
              <w:jc w:val="center"/>
              <w:rPr>
                <w:rFonts w:hint="default" w:ascii="仿宋" w:hAnsi="仿宋" w:eastAsia="仿宋" w:cs="仿宋"/>
                <w:sz w:val="24"/>
                <w:szCs w:val="24"/>
                <w:highlight w:val="none"/>
                <w:lang w:val="en-US" w:eastAsia="zh-CN"/>
              </w:rPr>
            </w:pPr>
            <w:r>
              <w:rPr>
                <w:rFonts w:hint="eastAsia" w:ascii="仿宋" w:hAnsi="仿宋" w:cs="仿宋"/>
                <w:sz w:val="24"/>
                <w:szCs w:val="24"/>
                <w:highlight w:val="none"/>
                <w:lang w:val="en-US" w:eastAsia="zh-CN"/>
              </w:rPr>
              <w:t>50</w:t>
            </w:r>
          </w:p>
        </w:tc>
        <w:tc>
          <w:tcPr>
            <w:tcW w:w="701" w:type="pct"/>
            <w:vAlign w:val="center"/>
          </w:tcPr>
          <w:p>
            <w:pPr>
              <w:spacing w:afterLines="0" w:line="240" w:lineRule="auto"/>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建筑垃圾</w:t>
            </w:r>
          </w:p>
        </w:tc>
        <w:tc>
          <w:tcPr>
            <w:tcW w:w="1083" w:type="pct"/>
            <w:vAlign w:val="center"/>
          </w:tcPr>
          <w:p>
            <w:pPr>
              <w:keepNext w:val="0"/>
              <w:keepLines w:val="0"/>
              <w:widowControl/>
              <w:suppressLineNumbers w:val="0"/>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4"/>
                <w:szCs w:val="24"/>
                <w:highlight w:val="none"/>
                <w:lang w:val="en-US" w:eastAsia="zh-CN" w:bidi="ar"/>
              </w:rPr>
              <w:t>桃江县</w:t>
            </w:r>
            <w:r>
              <w:rPr>
                <w:rFonts w:hint="eastAsia" w:ascii="仿宋" w:hAnsi="仿宋" w:cs="仿宋"/>
                <w:color w:val="000000"/>
                <w:kern w:val="0"/>
                <w:sz w:val="24"/>
                <w:szCs w:val="24"/>
                <w:highlight w:val="none"/>
                <w:lang w:val="en-US" w:eastAsia="zh-CN" w:bidi="ar"/>
              </w:rPr>
              <w:t>灰山港镇</w:t>
            </w:r>
          </w:p>
        </w:tc>
      </w:tr>
    </w:tbl>
    <w:p>
      <w:pPr>
        <w:keepNext w:val="0"/>
        <w:keepLines w:val="0"/>
        <w:pageBreakBefore w:val="0"/>
        <w:widowControl w:val="0"/>
        <w:kinsoku w:val="0"/>
        <w:wordWrap/>
        <w:overflowPunct/>
        <w:topLinePunct w:val="0"/>
        <w:autoSpaceDE w:val="0"/>
        <w:autoSpaceDN w:val="0"/>
        <w:bidi w:val="0"/>
        <w:adjustRightInd w:val="0"/>
        <w:snapToGrid w:val="0"/>
        <w:spacing w:after="0" w:afterLines="0" w:line="360" w:lineRule="auto"/>
        <w:ind w:left="0" w:leftChars="0" w:right="0" w:firstLine="558"/>
        <w:jc w:val="both"/>
        <w:textAlignment w:val="baseline"/>
        <w:rPr>
          <w:rFonts w:hint="eastAsia" w:ascii="Times New Roman" w:hAnsi="Times New Roman" w:cs="仿宋"/>
          <w:spacing w:val="4"/>
          <w:sz w:val="28"/>
          <w:szCs w:val="28"/>
          <w:highlight w:val="cyan"/>
          <w:lang w:val="en-US" w:eastAsia="zh-CN"/>
        </w:rPr>
      </w:pPr>
    </w:p>
    <w:p>
      <w:pPr>
        <w:pStyle w:val="3"/>
        <w:bidi w:val="0"/>
        <w:rPr>
          <w:rFonts w:hint="eastAsia" w:ascii="楷体" w:hAnsi="楷体" w:eastAsia="楷体" w:cs="楷体"/>
          <w:sz w:val="28"/>
          <w:szCs w:val="28"/>
        </w:rPr>
      </w:pPr>
      <w:bookmarkStart w:id="200" w:name="_Toc10575"/>
      <w:bookmarkStart w:id="201" w:name="OLE_LINK61"/>
      <w:r>
        <w:rPr>
          <w:rFonts w:hint="eastAsia" w:ascii="楷体" w:hAnsi="楷体" w:eastAsia="楷体" w:cs="楷体"/>
          <w:sz w:val="28"/>
          <w:szCs w:val="28"/>
        </w:rPr>
        <w:t>（三）选址方案</w:t>
      </w:r>
      <w:bookmarkEnd w:id="200"/>
    </w:p>
    <w:p>
      <w:pPr>
        <w:pStyle w:val="4"/>
        <w:bidi w:val="0"/>
        <w:rPr>
          <w:rFonts w:hint="eastAsia"/>
          <w:lang w:val="en-US" w:eastAsia="zh-CN"/>
        </w:rPr>
      </w:pPr>
      <w:r>
        <w:rPr>
          <w:rFonts w:hint="eastAsia"/>
          <w:lang w:val="en-US" w:eastAsia="zh-CN"/>
        </w:rPr>
        <w:t>1、</w:t>
      </w:r>
      <w:r>
        <w:rPr>
          <w:rFonts w:hint="eastAsia"/>
          <w:lang w:eastAsia="zh-CN"/>
        </w:rPr>
        <w:t>建筑垃圾转运调配场</w:t>
      </w:r>
      <w:r>
        <w:rPr>
          <w:rFonts w:hint="eastAsia"/>
          <w:lang w:val="en-US" w:eastAsia="zh-CN"/>
        </w:rPr>
        <w:t>选址方案</w:t>
      </w:r>
    </w:p>
    <w:p>
      <w:pPr>
        <w:bidi w:val="0"/>
        <w:rPr>
          <w:b/>
          <w:bCs/>
        </w:rPr>
      </w:pPr>
      <w:r>
        <w:rPr>
          <w:rFonts w:hint="eastAsia"/>
          <w:b/>
          <w:bCs/>
          <w:lang w:val="en-US" w:eastAsia="zh-CN"/>
        </w:rPr>
        <w:t>（1）</w:t>
      </w:r>
      <w:r>
        <w:rPr>
          <w:b/>
          <w:bCs/>
        </w:rPr>
        <w:t>选址目标与基本原则</w:t>
      </w:r>
    </w:p>
    <w:p>
      <w:pPr>
        <w:bidi w:val="0"/>
      </w:pPr>
      <w:bookmarkStart w:id="202" w:name="OLE_LINK68"/>
      <w:r>
        <w:t>选址旨在为</w:t>
      </w:r>
      <w:r>
        <w:rPr>
          <w:rFonts w:hint="eastAsia"/>
          <w:lang w:val="en-US" w:eastAsia="zh-CN"/>
        </w:rPr>
        <w:t>桃江县</w:t>
      </w:r>
      <w:r>
        <w:t>建筑垃圾转运调配提供安全、高效且可持续的解决方案，核心目标包括：</w:t>
      </w:r>
    </w:p>
    <w:p>
      <w:pPr>
        <w:bidi w:val="0"/>
      </w:pPr>
      <w:r>
        <w:t>环境安全：严格避开生态敏感区（如水源保护区、自然保护区），确保与居民区、学校等敏感区域保持最小500米卫生距离，减少污染扩散风险。</w:t>
      </w:r>
    </w:p>
    <w:bookmarkEnd w:id="202"/>
    <w:p>
      <w:pPr>
        <w:bidi w:val="0"/>
      </w:pPr>
      <w:r>
        <w:t>地质稳定：选择地质构造稳定区域，避开滑坡、洪涝、地震断裂带等灾害易发地带，保障场地长期安全。</w:t>
      </w:r>
    </w:p>
    <w:p>
      <w:pPr>
        <w:bidi w:val="0"/>
      </w:pPr>
      <w:r>
        <w:t>经济高效：优先利用荒地或废弃工业用地，降低土地成本；优化运输路线以减少费用，提升整体运营效率。</w:t>
      </w:r>
    </w:p>
    <w:p>
      <w:pPr>
        <w:bidi w:val="0"/>
      </w:pPr>
      <w:r>
        <w:t>前瞻规划：预留未来升级空间，如渗滤液处理或生态修复设施，支持县域可持续发展。</w:t>
      </w:r>
    </w:p>
    <w:p>
      <w:pPr>
        <w:bidi w:val="0"/>
      </w:pPr>
      <w:r>
        <w:t>基本原则遵循</w:t>
      </w:r>
      <w:r>
        <w:rPr>
          <w:rFonts w:hint="eastAsia"/>
          <w:lang w:eastAsia="zh-CN"/>
        </w:rPr>
        <w:t>“</w:t>
      </w:r>
      <w:r>
        <w:t>减量化、资源化、无害化</w:t>
      </w:r>
      <w:r>
        <w:rPr>
          <w:rFonts w:hint="eastAsia"/>
          <w:lang w:eastAsia="zh-CN"/>
        </w:rPr>
        <w:t>”</w:t>
      </w:r>
      <w:r>
        <w:t>理念，强调环境保护优先、资源集约利用及分步实施。</w:t>
      </w:r>
    </w:p>
    <w:p>
      <w:pPr>
        <w:bidi w:val="0"/>
        <w:rPr>
          <w:b/>
          <w:bCs/>
        </w:rPr>
      </w:pPr>
      <w:r>
        <w:rPr>
          <w:rFonts w:hint="eastAsia"/>
          <w:b/>
          <w:bCs/>
          <w:lang w:val="en-US" w:eastAsia="zh-CN"/>
        </w:rPr>
        <w:t>（2）</w:t>
      </w:r>
      <w:r>
        <w:rPr>
          <w:b/>
          <w:bCs/>
        </w:rPr>
        <w:t>具体选址要求</w:t>
      </w:r>
    </w:p>
    <w:p>
      <w:pPr>
        <w:bidi w:val="0"/>
      </w:pPr>
      <w:r>
        <w:rPr>
          <w:rFonts w:hint="eastAsia"/>
          <w:lang w:val="en-US" w:eastAsia="zh-CN"/>
        </w:rPr>
        <w:t>根据《建筑垃圾处理技术标准》（</w:t>
      </w:r>
      <w:r>
        <w:rPr>
          <w:rFonts w:hint="default"/>
          <w:lang w:val="en-US" w:eastAsia="zh-CN"/>
        </w:rPr>
        <w:t>CJJ/T134-2019</w:t>
      </w:r>
      <w:r>
        <w:rPr>
          <w:rFonts w:hint="eastAsia"/>
          <w:lang w:val="en-US" w:eastAsia="zh-CN"/>
        </w:rPr>
        <w:t>）、</w:t>
      </w:r>
      <w:bookmarkStart w:id="203" w:name="OLE_LINK96"/>
      <w:r>
        <w:t>《城市环境卫生设施规划标准》</w:t>
      </w:r>
      <w:r>
        <w:rPr>
          <w:rFonts w:hint="eastAsia"/>
          <w:lang w:eastAsia="zh-CN"/>
        </w:rPr>
        <w:t>（</w:t>
      </w:r>
      <w:r>
        <w:t>GB/T 50337</w:t>
      </w:r>
      <w:r>
        <w:rPr>
          <w:rFonts w:hint="eastAsia"/>
          <w:lang w:val="en-US" w:eastAsia="zh-CN"/>
        </w:rPr>
        <w:t>-2018</w:t>
      </w:r>
      <w:r>
        <w:rPr>
          <w:rFonts w:hint="eastAsia"/>
          <w:lang w:eastAsia="zh-CN"/>
        </w:rPr>
        <w:t>）、</w:t>
      </w:r>
      <w:r>
        <w:rPr>
          <w:rFonts w:hint="eastAsia"/>
          <w:lang w:val="en-US" w:eastAsia="zh-CN"/>
        </w:rPr>
        <w:t>《桃江县国土空间总体规划（2021—2035年）》等相关标准和规划要求，</w:t>
      </w:r>
      <w:r>
        <w:t>选址需满足以下核心要求：</w:t>
      </w:r>
    </w:p>
    <w:bookmarkEnd w:id="203"/>
    <w:p>
      <w:pPr>
        <w:bidi w:val="0"/>
      </w:pPr>
      <w:r>
        <w:t>地理位置：靠近主干道或货运通道，服务半径建议2000-4000米，以降低运输成本；优先选择县域边缘的交通枢纽附近，确保与主要建筑垃圾产生点（如城区、乡镇）高效连接。</w:t>
      </w:r>
    </w:p>
    <w:p>
      <w:pPr>
        <w:bidi w:val="0"/>
      </w:pPr>
      <w:r>
        <w:t>地质与水文条件：地基承载力需满足转运荷载，地下水位埋深大于2米，防止渗滤液污染地下水；避免活动断裂带或岩溶发育区，确保场地稳定性。</w:t>
      </w:r>
    </w:p>
    <w:p>
      <w:pPr>
        <w:bidi w:val="0"/>
      </w:pPr>
      <w:r>
        <w:t>环境隔离：与敏感区域保持最小500米距离，位于夏季主导风向下风向，减少噪声和异味影响；周边宜种植乔木作为生物隔离带。</w:t>
      </w:r>
    </w:p>
    <w:p>
      <w:pPr>
        <w:bidi w:val="0"/>
      </w:pPr>
      <w:r>
        <w:t>用地规模：按每万吨垃圾转运需600</w:t>
      </w:r>
      <w:r>
        <w:rPr>
          <w:rFonts w:hint="eastAsia"/>
          <w:lang w:val="en-US" w:eastAsia="zh-CN"/>
        </w:rPr>
        <w:t>-</w:t>
      </w:r>
      <w:r>
        <w:t>800平方米估算，40万吨规模需约2.4万-3.2万平方米（36-48亩），含分拣区、暂存区、管理办公区及绿化带；容积率控制在0.2-0.4，建筑密度≤20%，绿地率≥25%。</w:t>
      </w:r>
    </w:p>
    <w:p>
      <w:pPr>
        <w:bidi w:val="0"/>
        <w:rPr>
          <w:b/>
          <w:bCs/>
        </w:rPr>
      </w:pPr>
      <w:r>
        <w:rPr>
          <w:rFonts w:hint="eastAsia"/>
          <w:b/>
          <w:bCs/>
          <w:lang w:val="en-US" w:eastAsia="zh-CN"/>
        </w:rPr>
        <w:t>（3）</w:t>
      </w:r>
      <w:r>
        <w:rPr>
          <w:b/>
          <w:bCs/>
        </w:rPr>
        <w:t>功能分区与设施设计</w:t>
      </w:r>
    </w:p>
    <w:p>
      <w:pPr>
        <w:bidi w:val="0"/>
      </w:pPr>
      <w:r>
        <w:rPr>
          <w:rFonts w:hint="eastAsia"/>
          <w:lang w:val="en-US" w:eastAsia="zh-CN"/>
        </w:rPr>
        <w:t>1）</w:t>
      </w:r>
      <w:r>
        <w:t>核心功能区：</w:t>
      </w:r>
    </w:p>
    <w:p>
      <w:pPr>
        <w:bidi w:val="0"/>
      </w:pPr>
      <w:r>
        <w:t>分拣区：配备自动化分拣设备，按建筑垃圾类型（如废混凝土块、砖瓦、金属）分类处理，提升资源化效率。</w:t>
      </w:r>
    </w:p>
    <w:p>
      <w:pPr>
        <w:bidi w:val="0"/>
      </w:pPr>
      <w:r>
        <w:t>暂存区：设置防尘降尘设施，确保垃圾暂存安全，减少异味扩散；采用封闭式设计，配备喷淋系统抑制扬尘。</w:t>
      </w:r>
    </w:p>
    <w:p>
      <w:pPr>
        <w:bidi w:val="0"/>
      </w:pPr>
      <w:r>
        <w:t>管理办公区：集中监控调度，支持信息化管理，实现全流程跟踪；包括控制室、检测实验室及员工休息区。</w:t>
      </w:r>
    </w:p>
    <w:p>
      <w:pPr>
        <w:bidi w:val="0"/>
      </w:pPr>
      <w:r>
        <w:rPr>
          <w:rFonts w:hint="eastAsia"/>
          <w:lang w:val="en-US" w:eastAsia="zh-CN"/>
        </w:rPr>
        <w:t>2）</w:t>
      </w:r>
      <w:r>
        <w:t>辅助设施：</w:t>
      </w:r>
    </w:p>
    <w:p>
      <w:pPr>
        <w:bidi w:val="0"/>
      </w:pPr>
      <w:r>
        <w:t>道路系统：场内道路宽度≥6米，满足重型车辆双向通行；入口与主干道直接相连，确保运输畅通。</w:t>
      </w:r>
    </w:p>
    <w:p>
      <w:pPr>
        <w:bidi w:val="0"/>
      </w:pPr>
      <w:r>
        <w:t>排水系统：建设截洪沟和雨水收集池，引导地表径流远离填埋区；渗滤液导排系统接入废水处理设施。</w:t>
      </w:r>
    </w:p>
    <w:p>
      <w:pPr>
        <w:bidi w:val="0"/>
      </w:pPr>
      <w:r>
        <w:t>绿化隔离带：沿场地周边种植耐旱植物，形成生态屏障，减少视觉污染。</w:t>
      </w:r>
    </w:p>
    <w:p>
      <w:pPr>
        <w:bidi w:val="0"/>
        <w:rPr>
          <w:b/>
          <w:bCs/>
        </w:rPr>
      </w:pPr>
      <w:r>
        <w:rPr>
          <w:rFonts w:hint="eastAsia"/>
          <w:b/>
          <w:bCs/>
          <w:lang w:val="en-US" w:eastAsia="zh-CN"/>
        </w:rPr>
        <w:t>（4）</w:t>
      </w:r>
      <w:r>
        <w:rPr>
          <w:b/>
          <w:bCs/>
        </w:rPr>
        <w:t>转运模式设计</w:t>
      </w:r>
    </w:p>
    <w:p>
      <w:pPr>
        <w:bidi w:val="0"/>
      </w:pPr>
      <w:r>
        <w:t>直运模式：城区及邻近乡镇采用专用车辆直接运输至转运调配场，减少中转环节；车辆配备GPS定位，实时监控运输路线。</w:t>
      </w:r>
    </w:p>
    <w:p>
      <w:pPr>
        <w:bidi w:val="0"/>
      </w:pPr>
    </w:p>
    <w:p>
      <w:pPr>
        <w:bidi w:val="0"/>
      </w:pPr>
      <w:r>
        <w:t>转运模式：偏远乡镇通过小型中转站集中后转运至核心场，降低运输成本；采用“一车配多箱”技术，提升装载效率。</w:t>
      </w:r>
    </w:p>
    <w:p>
      <w:pPr>
        <w:bidi w:val="0"/>
      </w:pPr>
      <w:r>
        <w:t>信息化管理：建立电子联单系统，实现从产生到转运的全流程跟踪；数据接入智慧管理平台，支持实时调度和异常预警。</w:t>
      </w:r>
    </w:p>
    <w:p>
      <w:pPr>
        <w:bidi w:val="0"/>
      </w:pPr>
      <w:r>
        <w:rPr>
          <w:rFonts w:hint="eastAsia"/>
          <w:lang w:val="en-US" w:eastAsia="zh-CN"/>
        </w:rPr>
        <w:t>（5）</w:t>
      </w:r>
      <w:r>
        <w:t>污染防治与环保措施</w:t>
      </w:r>
    </w:p>
    <w:p>
      <w:pPr>
        <w:bidi w:val="0"/>
      </w:pPr>
      <w:r>
        <w:t>源头控制：推广装配式建筑和绿色施工技术，减少现场垃圾产生；施工阶段强制分类分离，优先就地利用可回收材料。</w:t>
      </w:r>
    </w:p>
    <w:p>
      <w:pPr>
        <w:bidi w:val="0"/>
      </w:pPr>
      <w:r>
        <w:t>运输管理：使用密闭式运输车辆并安装GPS，防止遗撒；配备喷淋降尘设施，抑制运输途中粉尘扩散。</w:t>
      </w:r>
    </w:p>
    <w:p>
      <w:pPr>
        <w:bidi w:val="0"/>
      </w:pPr>
      <w:r>
        <w:t>终端处理：场地内设置防尘网和废水回用系统，确保运营期间废水零排放；填埋气导排设施减少甲烷积聚，降低爆炸风险。</w:t>
      </w:r>
    </w:p>
    <w:p>
      <w:pPr>
        <w:bidi w:val="0"/>
      </w:pPr>
      <w:r>
        <w:t>生态修复：转运调配场封场后实施植被恢复，将废弃场地转化为绿地或公共空间，实现土地复用。</w:t>
      </w:r>
    </w:p>
    <w:p>
      <w:pPr>
        <w:pStyle w:val="4"/>
        <w:bidi w:val="0"/>
        <w:rPr>
          <w:rFonts w:hint="default"/>
          <w:lang w:val="en-US" w:eastAsia="zh-CN"/>
        </w:rPr>
      </w:pPr>
      <w:r>
        <w:rPr>
          <w:rFonts w:hint="eastAsia"/>
          <w:lang w:val="en-US" w:eastAsia="zh-CN"/>
        </w:rPr>
        <w:t>2、建筑垃圾填埋场选址方案</w:t>
      </w:r>
    </w:p>
    <w:p>
      <w:pPr>
        <w:bidi w:val="0"/>
        <w:rPr>
          <w:b/>
          <w:bCs/>
        </w:rPr>
      </w:pPr>
      <w:r>
        <w:rPr>
          <w:rFonts w:hint="eastAsia"/>
          <w:b/>
          <w:bCs/>
          <w:lang w:eastAsia="zh-CN"/>
        </w:rPr>
        <w:t>（</w:t>
      </w:r>
      <w:r>
        <w:rPr>
          <w:rFonts w:hint="eastAsia"/>
          <w:b/>
          <w:bCs/>
          <w:lang w:val="en-US" w:eastAsia="zh-CN"/>
        </w:rPr>
        <w:t>1</w:t>
      </w:r>
      <w:r>
        <w:rPr>
          <w:rFonts w:hint="eastAsia"/>
          <w:b/>
          <w:bCs/>
          <w:lang w:eastAsia="zh-CN"/>
        </w:rPr>
        <w:t>）</w:t>
      </w:r>
      <w:r>
        <w:rPr>
          <w:b/>
          <w:bCs/>
        </w:rPr>
        <w:t>选址目标与基本原则</w:t>
      </w:r>
    </w:p>
    <w:p>
      <w:pPr>
        <w:bidi w:val="0"/>
      </w:pPr>
      <w:bookmarkStart w:id="204" w:name="OLE_LINK76"/>
      <w:r>
        <w:rPr>
          <w:rFonts w:hint="eastAsia"/>
          <w:lang w:val="en-US" w:eastAsia="zh-CN"/>
        </w:rPr>
        <w:t>本选择</w:t>
      </w:r>
      <w:r>
        <w:t>选址旨在为</w:t>
      </w:r>
      <w:r>
        <w:rPr>
          <w:rFonts w:hint="eastAsia"/>
          <w:lang w:val="en-US" w:eastAsia="zh-CN"/>
        </w:rPr>
        <w:t>桃江县</w:t>
      </w:r>
      <w:r>
        <w:t>建筑垃圾提供安全、经济、可持续的无害化处理场所，核心目标包括：</w:t>
      </w:r>
    </w:p>
    <w:p>
      <w:pPr>
        <w:bidi w:val="0"/>
      </w:pPr>
      <w:r>
        <w:t>环境安全：严格避开生态敏感区如水源保护区、自然保护区，确保与居民区、学校等敏感区域保持最小500米卫生距离，减少污染扩散风险。</w:t>
      </w:r>
    </w:p>
    <w:p>
      <w:pPr>
        <w:bidi w:val="0"/>
      </w:pPr>
      <w:r>
        <w:t>地质稳定：选择地质构造稳定区域，</w:t>
      </w:r>
      <w:r>
        <w:rPr>
          <w:rFonts w:hint="eastAsia"/>
        </w:rPr>
        <w:t>优先选择天然洼地或废弃矿坑，利用自然地形降低土方工程量。</w:t>
      </w:r>
      <w:r>
        <w:t>避开滑坡、洪涝、地震断裂带等灾害易发地带，保障场地长期安全。</w:t>
      </w:r>
    </w:p>
    <w:p>
      <w:pPr>
        <w:bidi w:val="0"/>
      </w:pPr>
      <w:r>
        <w:t>经济高效：优先利用荒地或废弃工业用地，降低土地成本；优化运输路线以减少费用，提升运营效率</w:t>
      </w:r>
      <w:r>
        <w:rPr>
          <w:rFonts w:hint="eastAsia"/>
          <w:lang w:eastAsia="zh-CN"/>
        </w:rPr>
        <w:t>，</w:t>
      </w:r>
      <w:r>
        <w:rPr>
          <w:rFonts w:hint="eastAsia"/>
        </w:rPr>
        <w:t>场地入口需与主干道或货运通道直接相连，道路宽度≥6米，满足重型车辆双向通行。</w:t>
      </w:r>
    </w:p>
    <w:p>
      <w:pPr>
        <w:bidi w:val="0"/>
      </w:pPr>
      <w:r>
        <w:t>前瞻规划：预留未来升级空间，如渗滤液处理或生态修复设施，支持县域可持续发展。</w:t>
      </w:r>
    </w:p>
    <w:p>
      <w:pPr>
        <w:bidi w:val="0"/>
      </w:pPr>
      <w:r>
        <w:t>基本原则遵循</w:t>
      </w:r>
      <w:r>
        <w:rPr>
          <w:rFonts w:hint="eastAsia"/>
          <w:lang w:eastAsia="zh-CN"/>
        </w:rPr>
        <w:t>“</w:t>
      </w:r>
      <w:r>
        <w:t>减量化、资源化、无害化</w:t>
      </w:r>
      <w:r>
        <w:rPr>
          <w:rFonts w:hint="eastAsia"/>
          <w:lang w:eastAsia="zh-CN"/>
        </w:rPr>
        <w:t>”</w:t>
      </w:r>
      <w:r>
        <w:t>理念，强调环境保护优先、资源集约利用及分步实施。</w:t>
      </w:r>
    </w:p>
    <w:bookmarkEnd w:id="204"/>
    <w:p>
      <w:pPr>
        <w:bidi w:val="0"/>
        <w:rPr>
          <w:b/>
          <w:bCs/>
        </w:rPr>
      </w:pPr>
      <w:r>
        <w:rPr>
          <w:rFonts w:hint="eastAsia"/>
          <w:b/>
          <w:bCs/>
          <w:lang w:val="en-US" w:eastAsia="zh-CN"/>
        </w:rPr>
        <w:t>（2）</w:t>
      </w:r>
      <w:r>
        <w:rPr>
          <w:b/>
          <w:bCs/>
        </w:rPr>
        <w:t>具体选址要求</w:t>
      </w:r>
    </w:p>
    <w:p>
      <w:pPr>
        <w:bidi w:val="0"/>
      </w:pPr>
      <w:bookmarkStart w:id="205" w:name="OLE_LINK77"/>
      <w:r>
        <w:rPr>
          <w:rFonts w:hint="eastAsia"/>
          <w:lang w:val="en-US" w:eastAsia="zh-CN"/>
        </w:rPr>
        <w:t>根据《建筑垃圾处理技术标准》（</w:t>
      </w:r>
      <w:r>
        <w:rPr>
          <w:rFonts w:hint="default"/>
          <w:lang w:val="en-US" w:eastAsia="zh-CN"/>
        </w:rPr>
        <w:t>CJJ/T134-2019</w:t>
      </w:r>
      <w:r>
        <w:rPr>
          <w:rFonts w:hint="eastAsia"/>
          <w:lang w:val="en-US" w:eastAsia="zh-CN"/>
        </w:rPr>
        <w:t>）、</w:t>
      </w:r>
      <w:r>
        <w:t>《城市环境卫生设施规划标准》</w:t>
      </w:r>
      <w:r>
        <w:rPr>
          <w:rFonts w:hint="eastAsia"/>
          <w:lang w:eastAsia="zh-CN"/>
        </w:rPr>
        <w:t>（</w:t>
      </w:r>
      <w:r>
        <w:t>GB/T 50337</w:t>
      </w:r>
      <w:r>
        <w:rPr>
          <w:rFonts w:hint="eastAsia"/>
          <w:lang w:val="en-US" w:eastAsia="zh-CN"/>
        </w:rPr>
        <w:t>-2018</w:t>
      </w:r>
      <w:r>
        <w:rPr>
          <w:rFonts w:hint="eastAsia"/>
          <w:lang w:eastAsia="zh-CN"/>
        </w:rPr>
        <w:t>）、</w:t>
      </w:r>
      <w:r>
        <w:rPr>
          <w:rFonts w:hint="eastAsia"/>
          <w:lang w:val="en-US" w:eastAsia="zh-CN"/>
        </w:rPr>
        <w:t>《桃江县国土空间总体规划（2021—2035年）》等相关标准和规划要求，</w:t>
      </w:r>
      <w:r>
        <w:t>选址需满足以下核心要求：</w:t>
      </w:r>
    </w:p>
    <w:bookmarkEnd w:id="205"/>
    <w:p>
      <w:pPr>
        <w:bidi w:val="0"/>
      </w:pPr>
      <w:r>
        <w:t>地理位置：靠近主干道或货运通道，服务半径建议2000-4000米，以降低运输成本；优先选择县域边缘的交通枢纽附近，确保物流效率。</w:t>
      </w:r>
    </w:p>
    <w:p>
      <w:pPr>
        <w:bidi w:val="0"/>
      </w:pPr>
      <w:r>
        <w:t>地质与水文条件：地基承载力需满足填埋荷载，地下水位埋深大于2米，防止渗滤液污染地下水；避免活动断裂带或岩溶发育区，确保场地稳定性。</w:t>
      </w:r>
    </w:p>
    <w:p>
      <w:pPr>
        <w:bidi w:val="0"/>
      </w:pPr>
      <w:r>
        <w:t>环境隔离：与敏感区域保持最小500米距离，位于夏季主导风向下风向，减少噪声和异味影响；周边宜设置绿化隔离带，进一步降低环境风险。</w:t>
      </w:r>
    </w:p>
    <w:p>
      <w:pPr>
        <w:bidi w:val="0"/>
      </w:pPr>
      <w:r>
        <w:t>用地规模：按每万吨垃圾需1000-1500平方米估算，100万吨规模需约10万-15万平方米（150-225亩），含填埋库区、防渗系统及辅助设施；容积率控制在0.1-0.3，建筑密度≤15%，绿地率≥30%以协调生态。</w:t>
      </w:r>
    </w:p>
    <w:p>
      <w:pPr>
        <w:bidi w:val="0"/>
        <w:rPr>
          <w:b/>
          <w:bCs/>
        </w:rPr>
      </w:pPr>
      <w:r>
        <w:rPr>
          <w:rFonts w:hint="eastAsia"/>
          <w:b/>
          <w:bCs/>
          <w:lang w:val="en-US" w:eastAsia="zh-CN"/>
        </w:rPr>
        <w:t>（3）</w:t>
      </w:r>
      <w:r>
        <w:rPr>
          <w:b/>
          <w:bCs/>
        </w:rPr>
        <w:t>填埋场设计参数</w:t>
      </w:r>
    </w:p>
    <w:p>
      <w:pPr>
        <w:bidi w:val="0"/>
      </w:pPr>
      <w:r>
        <w:t>库容计算：设计库容需满足100万吨建筑垃圾填埋需求，考虑压实系数后，有效库容应≥120万立方米。</w:t>
      </w:r>
    </w:p>
    <w:p>
      <w:pPr>
        <w:bidi w:val="0"/>
      </w:pPr>
      <w:r>
        <w:t>堆体设计：采用阶梯式分层填埋，每层高度控制在3-5米，确保压实效果；堆体坡度≤1</w:t>
      </w:r>
      <w:r>
        <w:rPr>
          <w:rFonts w:hint="eastAsia"/>
          <w:lang w:eastAsia="zh-CN"/>
        </w:rPr>
        <w:t>：</w:t>
      </w:r>
      <w:r>
        <w:t>3，防止滑坡风险。</w:t>
      </w:r>
    </w:p>
    <w:p>
      <w:pPr>
        <w:bidi w:val="0"/>
      </w:pPr>
      <w:r>
        <w:t>防渗系统：底部铺设复合防渗层（HDPE膜+黏土层），渗透系数≤10⁻¹² cm/s，防止渗滤液渗漏；周边设置截洪沟，减少雨水入渗。</w:t>
      </w:r>
    </w:p>
    <w:p>
      <w:pPr>
        <w:bidi w:val="0"/>
      </w:pPr>
      <w:r>
        <w:t>渗滤液处理：建设渗滤液收集池和处理设施，采用“预处理+生物处理+深度处理”工艺，确保出水水质达标排放或回用。</w:t>
      </w:r>
    </w:p>
    <w:p>
      <w:pPr>
        <w:bidi w:val="0"/>
      </w:pPr>
      <w:r>
        <w:t>填埋气导排：设置竖向导排井和水平导排管，收集填埋气用于发电或燃烧处理，减少温室气体排放。</w:t>
      </w:r>
    </w:p>
    <w:p>
      <w:pPr>
        <w:bidi w:val="0"/>
        <w:rPr>
          <w:b/>
          <w:bCs/>
        </w:rPr>
      </w:pPr>
      <w:r>
        <w:rPr>
          <w:rFonts w:hint="eastAsia"/>
          <w:b/>
          <w:bCs/>
          <w:lang w:val="en-US" w:eastAsia="zh-CN"/>
        </w:rPr>
        <w:t>（4）</w:t>
      </w:r>
      <w:r>
        <w:rPr>
          <w:b/>
          <w:bCs/>
        </w:rPr>
        <w:t>污染防治与环保措施</w:t>
      </w:r>
    </w:p>
    <w:p>
      <w:pPr>
        <w:bidi w:val="0"/>
      </w:pPr>
      <w:r>
        <w:t>为最大限度降低环境影响，实施多层次防护：</w:t>
      </w:r>
    </w:p>
    <w:p>
      <w:pPr>
        <w:bidi w:val="0"/>
      </w:pPr>
      <w:r>
        <w:t>源头控制：推广装配式建筑和绿色施工技术，减少现场垃圾产生；施工阶段强制分类分离，优先就地利用可回收材料。</w:t>
      </w:r>
    </w:p>
    <w:p>
      <w:pPr>
        <w:bidi w:val="0"/>
      </w:pPr>
      <w:r>
        <w:t>运输管理：使用密闭式运输车辆并安装GPS定位，防止遗撒；配备喷淋降尘设施，抑制运输途中粉尘扩散。</w:t>
      </w:r>
    </w:p>
    <w:p>
      <w:pPr>
        <w:bidi w:val="0"/>
      </w:pPr>
      <w:r>
        <w:t>终端处理：场地内设置防渗层、渗滤液收集池及废水回用系统，确保运营期间废水零排放；填埋气导排设施减少甲烷积聚，降低爆炸风险。</w:t>
      </w:r>
    </w:p>
    <w:p>
      <w:pPr>
        <w:bidi w:val="0"/>
      </w:pPr>
      <w:r>
        <w:t>生态修复：填埋场封场后，实施植被恢复工程，将废弃场地转化为绿地或公共空间，实现土地复用；定期监测周边环境，确保长期生态安全。</w:t>
      </w:r>
    </w:p>
    <w:p>
      <w:pPr>
        <w:pStyle w:val="3"/>
        <w:bidi w:val="0"/>
        <w:rPr>
          <w:rFonts w:hint="eastAsia" w:ascii="楷体" w:hAnsi="楷体" w:eastAsia="楷体" w:cs="楷体"/>
          <w:sz w:val="28"/>
          <w:szCs w:val="28"/>
          <w:lang w:val="en-US" w:eastAsia="en-US"/>
        </w:rPr>
      </w:pPr>
      <w:bookmarkStart w:id="206" w:name="_Toc614"/>
      <w:r>
        <w:rPr>
          <w:rFonts w:hint="eastAsia" w:ascii="楷体" w:hAnsi="楷体" w:eastAsia="楷体" w:cs="楷体"/>
          <w:sz w:val="28"/>
          <w:szCs w:val="28"/>
          <w:lang w:val="en-US" w:eastAsia="en-US"/>
        </w:rPr>
        <w:t>（四）建筑垃圾资源化利用</w:t>
      </w:r>
      <w:bookmarkEnd w:id="206"/>
    </w:p>
    <w:p>
      <w:pPr>
        <w:pStyle w:val="4"/>
        <w:bidi w:val="0"/>
        <w:rPr>
          <w:rFonts w:hint="eastAsia"/>
        </w:rPr>
      </w:pPr>
      <w:r>
        <w:rPr>
          <w:rFonts w:hint="eastAsia"/>
          <w:lang w:val="en-US" w:eastAsia="zh-CN"/>
        </w:rPr>
        <w:t>1、</w:t>
      </w:r>
      <w:r>
        <w:rPr>
          <w:rFonts w:hint="eastAsia"/>
        </w:rPr>
        <w:t>益阳方成建筑新材料有限公司</w:t>
      </w:r>
    </w:p>
    <w:p>
      <w:pPr>
        <w:bidi w:val="0"/>
        <w:rPr>
          <w:rFonts w:hint="eastAsia"/>
          <w:b/>
          <w:bCs/>
          <w:lang w:val="en-US" w:eastAsia="zh-CN"/>
        </w:rPr>
      </w:pPr>
      <w:r>
        <w:rPr>
          <w:rFonts w:hint="eastAsia"/>
          <w:b/>
          <w:bCs/>
          <w:lang w:val="en-US" w:eastAsia="zh-CN"/>
        </w:rPr>
        <w:t>（1）项目简介</w:t>
      </w:r>
    </w:p>
    <w:p>
      <w:pPr>
        <w:bidi w:val="0"/>
        <w:rPr>
          <w:rFonts w:hint="eastAsia"/>
        </w:rPr>
      </w:pPr>
      <w:r>
        <w:rPr>
          <w:rFonts w:hint="eastAsia"/>
          <w:lang w:val="en-US" w:eastAsia="zh-CN"/>
        </w:rPr>
        <w:t>公司投资建设的</w:t>
      </w:r>
      <w:r>
        <w:rPr>
          <w:rFonts w:hint="eastAsia"/>
        </w:rPr>
        <w:t>年处理100万吨建筑垃圾</w:t>
      </w:r>
      <w:bookmarkStart w:id="207" w:name="OLE_LINK97"/>
      <w:r>
        <w:rPr>
          <w:rFonts w:hint="eastAsia"/>
          <w:lang w:eastAsia="zh-CN"/>
        </w:rPr>
        <w:t>（</w:t>
      </w:r>
      <w:r>
        <w:rPr>
          <w:rFonts w:hint="eastAsia"/>
        </w:rPr>
        <w:t>固体废料</w:t>
      </w:r>
      <w:r>
        <w:rPr>
          <w:rFonts w:hint="eastAsia"/>
          <w:lang w:eastAsia="zh-CN"/>
        </w:rPr>
        <w:t>）</w:t>
      </w:r>
      <w:bookmarkEnd w:id="207"/>
      <w:r>
        <w:rPr>
          <w:rFonts w:hint="eastAsia"/>
        </w:rPr>
        <w:t>综合处理利用项目</w:t>
      </w:r>
      <w:r>
        <w:rPr>
          <w:rFonts w:hint="eastAsia"/>
          <w:lang w:eastAsia="zh-CN"/>
        </w:rPr>
        <w:t>，</w:t>
      </w:r>
      <w:r>
        <w:rPr>
          <w:rFonts w:hint="eastAsia"/>
        </w:rPr>
        <w:t>建设智能全自动建筑垃圾</w:t>
      </w:r>
      <w:r>
        <w:rPr>
          <w:rFonts w:hint="eastAsia" w:eastAsia="宋体"/>
          <w:lang w:eastAsia="zh-CN"/>
        </w:rPr>
        <w:t>（</w:t>
      </w:r>
      <w:r>
        <w:rPr>
          <w:rFonts w:hint="eastAsia"/>
        </w:rPr>
        <w:t>固体废料</w:t>
      </w:r>
      <w:r>
        <w:rPr>
          <w:rFonts w:hint="eastAsia" w:eastAsia="宋体"/>
          <w:lang w:eastAsia="zh-CN"/>
        </w:rPr>
        <w:t>）</w:t>
      </w:r>
      <w:r>
        <w:rPr>
          <w:rFonts w:hint="eastAsia"/>
        </w:rPr>
        <w:t>无害化处理与再生利用生产线6条，其中智能全自动建筑垃圾</w:t>
      </w:r>
      <w:r>
        <w:rPr>
          <w:rFonts w:hint="eastAsia" w:eastAsia="宋体"/>
          <w:lang w:eastAsia="zh-CN"/>
        </w:rPr>
        <w:t>（</w:t>
      </w:r>
      <w:r>
        <w:rPr>
          <w:rFonts w:hint="eastAsia"/>
        </w:rPr>
        <w:t>固体废料</w:t>
      </w:r>
      <w:r>
        <w:rPr>
          <w:rFonts w:hint="eastAsia" w:eastAsia="宋体"/>
          <w:lang w:eastAsia="zh-CN"/>
        </w:rPr>
        <w:t>）</w:t>
      </w:r>
      <w:r>
        <w:rPr>
          <w:rFonts w:hint="eastAsia"/>
        </w:rPr>
        <w:t>无害化处理与再生利用固定生产线4条、移动生产线2条。年处理建筑垃圾(固体废料)100万吨，年生产各类路面景观砖60万m</w:t>
      </w:r>
      <w:r>
        <w:rPr>
          <w:rFonts w:hint="eastAsia"/>
          <w:vertAlign w:val="superscript"/>
        </w:rPr>
        <w:t>2</w:t>
      </w:r>
      <w:r>
        <w:rPr>
          <w:rFonts w:hint="eastAsia"/>
        </w:rPr>
        <w:t>、干粉砂浆20万吨、稳定层料90万吨。</w:t>
      </w:r>
    </w:p>
    <w:p>
      <w:pPr>
        <w:bidi w:val="0"/>
        <w:rPr>
          <w:rFonts w:hint="eastAsia"/>
          <w:b/>
          <w:bCs/>
        </w:rPr>
      </w:pPr>
      <w:r>
        <w:rPr>
          <w:rFonts w:hint="eastAsia"/>
          <w:b/>
          <w:bCs/>
          <w:lang w:eastAsia="zh-CN"/>
        </w:rPr>
        <w:t>（</w:t>
      </w:r>
      <w:r>
        <w:rPr>
          <w:rFonts w:hint="eastAsia"/>
          <w:b/>
          <w:bCs/>
          <w:lang w:val="en-US" w:eastAsia="zh-CN"/>
        </w:rPr>
        <w:t>2</w:t>
      </w:r>
      <w:r>
        <w:rPr>
          <w:rFonts w:hint="eastAsia"/>
          <w:b/>
          <w:bCs/>
          <w:lang w:eastAsia="zh-CN"/>
        </w:rPr>
        <w:t>）</w:t>
      </w:r>
      <w:r>
        <w:rPr>
          <w:rFonts w:hint="eastAsia"/>
          <w:b/>
          <w:bCs/>
        </w:rPr>
        <w:t>生产工艺</w:t>
      </w:r>
    </w:p>
    <w:p>
      <w:pPr>
        <w:bidi w:val="0"/>
        <w:rPr>
          <w:rFonts w:hint="eastAsia"/>
        </w:rPr>
      </w:pPr>
      <w:r>
        <w:rPr>
          <w:rFonts w:hint="eastAsia"/>
          <w:b/>
          <w:bCs/>
        </w:rPr>
        <w:t>建筑垃圾资源综合利用生产工艺流程</w:t>
      </w:r>
      <w:r>
        <w:rPr>
          <w:rFonts w:hint="eastAsia"/>
          <w:b/>
          <w:bCs/>
          <w:lang w:val="en-US" w:eastAsia="zh-CN"/>
        </w:rPr>
        <w:t>:</w:t>
      </w:r>
      <w:r>
        <w:rPr>
          <w:rFonts w:hint="eastAsia"/>
        </w:rPr>
        <w:t>建筑垃圾(固体废料)→喂料→颚式破碎→轻物质分选→电磁除铁→液压圆锥破碎→塔楼砂站系统→干法工艺或湿法工艺 (过虑系统及污水处理系统) →成品建筑骨料(不同规格、标准)</w:t>
      </w:r>
      <w:r>
        <w:rPr>
          <w:rFonts w:hint="eastAsia"/>
          <w:lang w:eastAsia="zh-CN"/>
        </w:rPr>
        <w:t>。</w:t>
      </w:r>
      <w:r>
        <w:rPr>
          <w:rFonts w:hint="eastAsia"/>
        </w:rPr>
        <w:t>其中百分之七十采用干法工艺，百分之三十（泥性特别重的原材料）采用湿法工艺（过虑系统）。</w:t>
      </w:r>
    </w:p>
    <w:p>
      <w:pPr>
        <w:bidi w:val="0"/>
        <w:rPr>
          <w:rFonts w:hint="eastAsia" w:eastAsia="仿宋"/>
          <w:lang w:eastAsia="zh-CN"/>
        </w:rPr>
      </w:pPr>
      <w:r>
        <w:rPr>
          <w:rFonts w:hint="eastAsia"/>
          <w:b/>
          <w:bCs/>
        </w:rPr>
        <w:t>路面景观砖生产工艺流程</w:t>
      </w:r>
      <w:r>
        <w:rPr>
          <w:rFonts w:hint="eastAsia"/>
          <w:b/>
          <w:bCs/>
          <w:lang w:eastAsia="zh-CN"/>
        </w:rPr>
        <w:t>：</w:t>
      </w:r>
      <w:r>
        <w:rPr>
          <w:rFonts w:hint="eastAsia"/>
        </w:rPr>
        <w:t>建筑骨料（加一定比例的水泥、白水泥、彩色水泥及水）→混合搅拌→压制成型(不同规格、标准) →成品路面景观砖</w:t>
      </w:r>
      <w:r>
        <w:rPr>
          <w:rFonts w:hint="eastAsia"/>
          <w:lang w:eastAsia="zh-CN"/>
        </w:rPr>
        <w:t>。</w:t>
      </w:r>
    </w:p>
    <w:p>
      <w:pPr>
        <w:bidi w:val="0"/>
        <w:rPr>
          <w:rFonts w:hint="eastAsia" w:eastAsia="仿宋"/>
          <w:lang w:eastAsia="zh-CN"/>
        </w:rPr>
      </w:pPr>
      <w:r>
        <w:rPr>
          <w:rFonts w:hint="eastAsia"/>
          <w:b/>
          <w:bCs/>
        </w:rPr>
        <w:t>干粉砂浆生产工艺流程</w:t>
      </w:r>
      <w:r>
        <w:rPr>
          <w:rFonts w:hint="eastAsia"/>
          <w:b/>
          <w:bCs/>
          <w:lang w:eastAsia="zh-CN"/>
        </w:rPr>
        <w:t>：</w:t>
      </w:r>
      <w:r>
        <w:rPr>
          <w:rFonts w:hint="eastAsia"/>
        </w:rPr>
        <w:t>原料配比（建筑骨料、水泥、石膏）→混合搅拌→干粉砂浆(不同规格、标准) →包装（成品）</w:t>
      </w:r>
      <w:r>
        <w:rPr>
          <w:rFonts w:hint="eastAsia"/>
          <w:lang w:eastAsia="zh-CN"/>
        </w:rPr>
        <w:t>。</w:t>
      </w:r>
    </w:p>
    <w:p>
      <w:pPr>
        <w:bidi w:val="0"/>
        <w:rPr>
          <w:rFonts w:hint="eastAsia" w:eastAsia="仿宋"/>
          <w:lang w:eastAsia="zh-CN"/>
        </w:rPr>
      </w:pPr>
      <w:r>
        <w:rPr>
          <w:rFonts w:hint="eastAsia"/>
          <w:b/>
          <w:bCs/>
        </w:rPr>
        <w:t>稳定层料生产工艺流程</w:t>
      </w:r>
      <w:r>
        <w:rPr>
          <w:rFonts w:hint="eastAsia"/>
          <w:b/>
          <w:bCs/>
          <w:lang w:eastAsia="zh-CN"/>
        </w:rPr>
        <w:t>：</w:t>
      </w:r>
      <w:r>
        <w:rPr>
          <w:rFonts w:hint="eastAsia"/>
        </w:rPr>
        <w:t>原料配比（建筑骨料、水泥）→混合搅拌→稳定层料</w:t>
      </w:r>
      <w:r>
        <w:rPr>
          <w:rFonts w:hint="eastAsia"/>
          <w:lang w:eastAsia="zh-CN"/>
        </w:rPr>
        <w:t>。</w:t>
      </w:r>
    </w:p>
    <w:p>
      <w:pPr>
        <w:bidi w:val="0"/>
        <w:rPr>
          <w:rFonts w:hint="default"/>
          <w:b/>
          <w:bCs/>
          <w:lang w:val="en-US" w:eastAsia="zh-CN"/>
        </w:rPr>
      </w:pPr>
      <w:bookmarkStart w:id="208" w:name="OLE_LINK79"/>
      <w:r>
        <w:rPr>
          <w:rFonts w:hint="eastAsia"/>
          <w:b/>
          <w:bCs/>
          <w:lang w:val="en-US" w:eastAsia="zh-CN"/>
        </w:rPr>
        <w:t>（3）设施运行要求</w:t>
      </w:r>
    </w:p>
    <w:bookmarkEnd w:id="208"/>
    <w:p>
      <w:pPr>
        <w:bidi w:val="0"/>
        <w:rPr>
          <w:rFonts w:hint="eastAsia"/>
        </w:rPr>
      </w:pPr>
      <w:r>
        <w:rPr>
          <w:rFonts w:hint="eastAsia"/>
        </w:rPr>
        <w:t>项目年处理建筑垃圾100万吨</w:t>
      </w:r>
      <w:r>
        <w:rPr>
          <w:rFonts w:hint="eastAsia"/>
          <w:lang w:eastAsia="zh-CN"/>
        </w:rPr>
        <w:t>，</w:t>
      </w:r>
      <w:r>
        <w:rPr>
          <w:rFonts w:hint="eastAsia"/>
          <w:lang w:val="en-US" w:eastAsia="zh-CN"/>
        </w:rPr>
        <w:t>项目</w:t>
      </w:r>
      <w:r>
        <w:rPr>
          <w:rFonts w:hint="eastAsia"/>
        </w:rPr>
        <w:t>生产的再生建筑骨料全部用于本项目建筑材料产品的生产，年消耗量约95万吨。</w:t>
      </w:r>
    </w:p>
    <w:p>
      <w:pPr>
        <w:bidi w:val="0"/>
        <w:rPr>
          <w:rFonts w:hint="eastAsia"/>
        </w:rPr>
      </w:pPr>
      <w:r>
        <w:rPr>
          <w:rFonts w:hint="eastAsia"/>
        </w:rPr>
        <w:t>项目根据建筑材料产品生产设计要求，年需细砂154290吨、水泥150890吨、白水泥2079吨、彩色水泥231吨。</w:t>
      </w:r>
    </w:p>
    <w:p>
      <w:pPr>
        <w:bidi w:val="0"/>
      </w:pPr>
      <w:r>
        <w:t>项目采用单电源供电，供电电压为380/220V三相四线制，用电负荷为三级，</w:t>
      </w:r>
      <w:r>
        <w:rPr>
          <w:rFonts w:hint="eastAsia"/>
        </w:rPr>
        <w:t>总装机容量1163.5kw，生产设备总装容量为1043.5kw、照明装容量为120kw，</w:t>
      </w:r>
      <w:r>
        <w:t>全年生产</w:t>
      </w:r>
      <w:r>
        <w:rPr>
          <w:rFonts w:hint="eastAsia"/>
        </w:rPr>
        <w:t>200</w:t>
      </w:r>
      <w:r>
        <w:t>天数</w:t>
      </w:r>
      <w:r>
        <w:rPr>
          <w:rFonts w:hint="eastAsia"/>
        </w:rPr>
        <w:t>，日</w:t>
      </w:r>
      <w:r>
        <w:t>工作时间</w:t>
      </w:r>
      <w:r>
        <w:rPr>
          <w:rFonts w:hint="eastAsia"/>
        </w:rPr>
        <w:t>16小时，功率使用取值0.8，</w:t>
      </w:r>
      <w:r>
        <w:t>项目达产期全年</w:t>
      </w:r>
      <w:r>
        <w:rPr>
          <w:rFonts w:hint="eastAsia"/>
        </w:rPr>
        <w:t>消费</w:t>
      </w:r>
      <w:r>
        <w:t>电</w:t>
      </w:r>
      <w:r>
        <w:rPr>
          <w:rFonts w:hint="eastAsia"/>
        </w:rPr>
        <w:t>量297.87</w:t>
      </w:r>
      <w:r>
        <w:t>万</w:t>
      </w:r>
      <w:r>
        <w:rPr>
          <w:rFonts w:hint="eastAsia"/>
        </w:rPr>
        <w:t>kw.h</w:t>
      </w:r>
      <w:r>
        <w:t>。</w:t>
      </w:r>
    </w:p>
    <w:p>
      <w:pPr>
        <w:bidi w:val="0"/>
        <w:rPr>
          <w:rFonts w:hint="eastAsia"/>
        </w:rPr>
      </w:pPr>
      <w:r>
        <w:t>项目水源</w:t>
      </w:r>
      <w:r>
        <w:rPr>
          <w:rFonts w:hint="eastAsia"/>
        </w:rPr>
        <w:t>采用</w:t>
      </w:r>
      <w:r>
        <w:t>自备深井系统供给，</w:t>
      </w:r>
      <w:r>
        <w:rPr>
          <w:rFonts w:hint="eastAsia"/>
        </w:rPr>
        <w:t>生产工艺环保设备降尘用水按吨单位消费水2.5kg估算，再生建筑材料产品（各类路面景观砖）生产工艺用水量m2/9.24 kg估算，生产用水8045；生活用水按150kg.人/d估算，生活用水900吨，</w:t>
      </w:r>
      <w:r>
        <w:t>全年用水量为</w:t>
      </w:r>
      <w:r>
        <w:rPr>
          <w:rFonts w:hint="eastAsia"/>
        </w:rPr>
        <w:t>8945</w:t>
      </w:r>
      <w:r>
        <w:t>吨</w:t>
      </w:r>
      <w:r>
        <w:rPr>
          <w:rFonts w:hint="eastAsia"/>
        </w:rPr>
        <w:t>。生产工艺中没有污水排放，生活污水按90%估算，年生活污水810吨，</w:t>
      </w:r>
      <w:r>
        <w:t>经污水处理池</w:t>
      </w:r>
      <w:r>
        <w:rPr>
          <w:rFonts w:hint="eastAsia"/>
        </w:rPr>
        <w:t>三级</w:t>
      </w:r>
      <w:r>
        <w:t>处理后用于</w:t>
      </w:r>
      <w:r>
        <w:rPr>
          <w:rFonts w:hint="eastAsia"/>
        </w:rPr>
        <w:t>厂</w:t>
      </w:r>
      <w:r>
        <w:t>区绿化。</w:t>
      </w:r>
    </w:p>
    <w:p>
      <w:pPr>
        <w:bidi w:val="0"/>
      </w:pPr>
      <w:r>
        <w:t>项目</w:t>
      </w:r>
      <w:r>
        <w:rPr>
          <w:rFonts w:hint="eastAsia"/>
        </w:rPr>
        <w:t>设计铲车2台，柴</w:t>
      </w:r>
      <w:r>
        <w:t>油由当地</w:t>
      </w:r>
      <w:r>
        <w:rPr>
          <w:rFonts w:hint="eastAsia"/>
        </w:rPr>
        <w:t>石油公司提供</w:t>
      </w:r>
      <w:r>
        <w:t>，</w:t>
      </w:r>
      <w:r>
        <w:rPr>
          <w:rFonts w:hint="eastAsia"/>
        </w:rPr>
        <w:t>每台设备日消费柴油按30kg估算，</w:t>
      </w:r>
      <w:r>
        <w:t>年</w:t>
      </w:r>
      <w:r>
        <w:rPr>
          <w:rFonts w:hint="eastAsia"/>
        </w:rPr>
        <w:t>耗</w:t>
      </w:r>
      <w:r>
        <w:t>用</w:t>
      </w:r>
      <w:r>
        <w:rPr>
          <w:rFonts w:hint="eastAsia"/>
        </w:rPr>
        <w:t>柴</w:t>
      </w:r>
      <w:r>
        <w:t>油</w:t>
      </w:r>
      <w:r>
        <w:rPr>
          <w:rFonts w:hint="eastAsia"/>
        </w:rPr>
        <w:t>总</w:t>
      </w:r>
      <w:r>
        <w:t>量约</w:t>
      </w:r>
      <w:r>
        <w:rPr>
          <w:rFonts w:hint="eastAsia"/>
        </w:rPr>
        <w:t>12</w:t>
      </w:r>
      <w:r>
        <w:t>吨，能得到充分保证。</w:t>
      </w:r>
    </w:p>
    <w:p>
      <w:pPr>
        <w:pStyle w:val="4"/>
        <w:bidi w:val="0"/>
      </w:pPr>
      <w:r>
        <w:rPr>
          <w:rFonts w:hint="eastAsia"/>
          <w:lang w:val="en-US" w:eastAsia="zh-CN"/>
        </w:rPr>
        <w:t>2、</w:t>
      </w:r>
      <w:r>
        <w:rPr>
          <w:rFonts w:hint="eastAsia"/>
        </w:rPr>
        <w:t>桃江惠强环保建材有限公司</w:t>
      </w:r>
    </w:p>
    <w:p>
      <w:pPr>
        <w:numPr>
          <w:ilvl w:val="0"/>
          <w:numId w:val="0"/>
        </w:numPr>
        <w:bidi w:val="0"/>
        <w:ind w:firstLine="562" w:firstLineChars="200"/>
        <w:rPr>
          <w:rFonts w:hint="eastAsia"/>
          <w:b/>
          <w:bCs/>
          <w:lang w:val="en-US" w:eastAsia="zh-CN"/>
        </w:rPr>
      </w:pPr>
      <w:r>
        <w:rPr>
          <w:rFonts w:hint="eastAsia"/>
          <w:b/>
          <w:bCs/>
          <w:lang w:val="en-US" w:eastAsia="zh-CN"/>
        </w:rPr>
        <w:t>（一）项目简介</w:t>
      </w:r>
    </w:p>
    <w:p>
      <w:pPr>
        <w:numPr>
          <w:ilvl w:val="0"/>
          <w:numId w:val="0"/>
        </w:numPr>
        <w:bidi w:val="0"/>
        <w:ind w:firstLine="560" w:firstLineChars="200"/>
      </w:pPr>
      <w:r>
        <w:rPr>
          <w:rFonts w:hint="eastAsia"/>
          <w:lang w:val="en-US" w:eastAsia="zh-CN"/>
        </w:rPr>
        <w:t>公司投资建设的</w:t>
      </w:r>
      <w:r>
        <w:rPr>
          <w:rFonts w:hint="eastAsia"/>
        </w:rPr>
        <w:t>污泥、淤泥、废弃土无害化处理与再生利用基地建设项目</w:t>
      </w:r>
      <w:r>
        <w:rPr>
          <w:rFonts w:hint="eastAsia"/>
          <w:lang w:eastAsia="zh-CN"/>
        </w:rPr>
        <w:t>，</w:t>
      </w:r>
      <w:r>
        <w:rPr>
          <w:rFonts w:hint="eastAsia"/>
        </w:rPr>
        <w:t>建设智能生产线 2条、数控混合搅拌生产线</w:t>
      </w:r>
      <w:r>
        <w:t xml:space="preserve"> 2</w:t>
      </w:r>
      <w:r>
        <w:rPr>
          <w:rFonts w:hint="eastAsia"/>
        </w:rPr>
        <w:t>条，混合料陈化供料生产线</w:t>
      </w:r>
      <w:r>
        <w:t xml:space="preserve"> 2</w:t>
      </w:r>
      <w:r>
        <w:rPr>
          <w:rFonts w:hint="eastAsia"/>
        </w:rPr>
        <w:t>条，双级真空挤砖生产线</w:t>
      </w:r>
      <w:r>
        <w:t xml:space="preserve"> 2</w:t>
      </w:r>
      <w:r>
        <w:rPr>
          <w:rFonts w:hint="eastAsia"/>
        </w:rPr>
        <w:t>条，机器人自动切码坯生产线</w:t>
      </w:r>
      <w:r>
        <w:t xml:space="preserve"> 2</w:t>
      </w:r>
      <w:r>
        <w:rPr>
          <w:rFonts w:hint="eastAsia"/>
        </w:rPr>
        <w:t>条，隧道窑自动温控</w:t>
      </w:r>
      <w:r>
        <w:t>干燥</w:t>
      </w:r>
      <w:r>
        <w:rPr>
          <w:rFonts w:hint="eastAsia"/>
        </w:rPr>
        <w:t>焙烧生产线</w:t>
      </w:r>
      <w:r>
        <w:t xml:space="preserve"> 2</w:t>
      </w:r>
      <w:r>
        <w:rPr>
          <w:rFonts w:hint="eastAsia"/>
        </w:rPr>
        <w:t>条及自动码砖装车系统。年处理污泥、废弃土、建筑废渣粉尘9.2万吨（其中污泥7.3万吨），</w:t>
      </w:r>
      <w:r>
        <w:t>年</w:t>
      </w:r>
      <w:r>
        <w:rPr>
          <w:rFonts w:hint="eastAsia"/>
        </w:rPr>
        <w:t>生</w:t>
      </w:r>
      <w:r>
        <w:t>产烧结保温</w:t>
      </w:r>
      <w:r>
        <w:rPr>
          <w:rFonts w:hint="eastAsia"/>
        </w:rPr>
        <w:t>空心</w:t>
      </w:r>
      <w:r>
        <w:t>砌块30万</w:t>
      </w:r>
      <w:r>
        <w:rPr>
          <w:rFonts w:hint="eastAsia"/>
        </w:rPr>
        <w:t>m</w:t>
      </w:r>
      <w:r>
        <w:rPr>
          <w:rFonts w:hint="eastAsia"/>
          <w:vertAlign w:val="superscript"/>
        </w:rPr>
        <w:t>3</w:t>
      </w:r>
      <w:r>
        <w:rPr>
          <w:rFonts w:hint="eastAsia"/>
        </w:rPr>
        <w:t>（折合标砖20000万块）</w:t>
      </w:r>
      <w:r>
        <w:t>。</w:t>
      </w:r>
    </w:p>
    <w:p>
      <w:pPr>
        <w:bidi w:val="0"/>
      </w:pPr>
      <w:r>
        <w:rPr>
          <w:rFonts w:hint="eastAsia" w:eastAsia="仿宋"/>
          <w:b/>
          <w:bCs/>
          <w:lang w:eastAsia="zh-CN"/>
        </w:rPr>
        <w:t>（</w:t>
      </w:r>
      <w:r>
        <w:rPr>
          <w:rFonts w:hint="eastAsia" w:ascii="Times New Roman" w:eastAsia="仿宋"/>
          <w:b/>
          <w:bCs/>
          <w:lang w:val="en-US" w:eastAsia="zh-CN"/>
        </w:rPr>
        <w:t>2</w:t>
      </w:r>
      <w:r>
        <w:rPr>
          <w:rFonts w:hint="eastAsia" w:eastAsia="仿宋"/>
          <w:b/>
          <w:bCs/>
          <w:lang w:eastAsia="zh-CN"/>
        </w:rPr>
        <w:t>）</w:t>
      </w:r>
      <w:r>
        <w:rPr>
          <w:rFonts w:hint="eastAsia"/>
          <w:b/>
          <w:bCs/>
        </w:rPr>
        <w:t>生产工艺</w:t>
      </w:r>
    </w:p>
    <w:p>
      <w:pPr>
        <w:bidi w:val="0"/>
      </w:pPr>
      <w:r>
        <w:rPr>
          <w:rFonts w:hint="eastAsia"/>
          <w:lang w:val="en-US" w:eastAsia="zh-CN"/>
        </w:rPr>
        <w:t>项目采用一次码烧的工艺进行生产，其工艺特点是</w:t>
      </w:r>
      <w:r>
        <w:t>原料经挤砖机挤出成型后，经切条、切坯、人工或机械将坯体直接码放到窑车上，进行坯体干燥、焙烧，一次码烧工艺成型的砖坯一般为硬塑或半硬塑成型工艺，成型水分控制在12%～18%的范围。项目产品为</w:t>
      </w:r>
      <w:r>
        <w:rPr>
          <w:rFonts w:hint="eastAsia"/>
        </w:rPr>
        <w:t>保温</w:t>
      </w:r>
      <w:r>
        <w:t>空心砌块，即以</w:t>
      </w:r>
      <w:r>
        <w:rPr>
          <w:rFonts w:hint="eastAsia"/>
        </w:rPr>
        <w:t>污泥、</w:t>
      </w:r>
      <w:r>
        <w:t>建筑废渣粉尘</w:t>
      </w:r>
      <w:r>
        <w:rPr>
          <w:rFonts w:hint="eastAsia"/>
        </w:rPr>
        <w:t>（建筑废弃土）、尾矿渣（页岩尾矿）</w:t>
      </w:r>
      <w:r>
        <w:t>等为原料，通过原料配料、粉碎、筛选搅拌、制砖、烘干、窑烧、卸车等工序生产产品。根据产品生产工艺特点，主要生产系统包括：粉碎工序、搅拌工序、制砖工序、烘干工序、煅烧工序、卸车工序。考虑到项目的社会效益和未来的经济效益，本生产线拟采用机械化、自动化程度较高的一次码烧工艺。</w:t>
      </w:r>
    </w:p>
    <w:p>
      <w:pPr>
        <w:bidi w:val="0"/>
        <w:rPr>
          <w:rFonts w:hint="default"/>
          <w:b/>
          <w:bCs/>
          <w:lang w:val="en-US" w:eastAsia="zh-CN"/>
        </w:rPr>
      </w:pPr>
      <w:r>
        <w:rPr>
          <w:rFonts w:hint="eastAsia" w:ascii="Times New Roman" w:eastAsia="仿宋"/>
          <w:b/>
          <w:bCs/>
          <w:lang w:val="en-US" w:eastAsia="zh-CN"/>
        </w:rPr>
        <w:t>（3）设施运行要求</w:t>
      </w:r>
    </w:p>
    <w:p>
      <w:pPr>
        <w:bidi w:val="0"/>
        <w:rPr>
          <w:rFonts w:hint="eastAsia"/>
        </w:rPr>
      </w:pPr>
      <w:r>
        <w:rPr>
          <w:rFonts w:hint="eastAsia"/>
        </w:rPr>
        <w:t>污泥：项目配入坯料中的污泥为桃江境内污水处理厂产生的污泥，该污泥主要为居民生活和企业排出废水处理后产生的，运至厂区的污泥含水率为80%左右，经过改性压滤干化处理后配入物料中的污泥水分约为40%左右，污泥干基热值为2689.15Kcal/kg。根据原材料配比，项目年需配入污泥量7.3万吨</w:t>
      </w:r>
      <w:r>
        <w:t>，</w:t>
      </w:r>
      <w:r>
        <w:rPr>
          <w:rFonts w:hint="eastAsia"/>
        </w:rPr>
        <w:t>项目地区年产生污泥量达到7.88万吨，</w:t>
      </w:r>
      <w:r>
        <w:t>能得到充分保证</w:t>
      </w:r>
      <w:r>
        <w:rPr>
          <w:rFonts w:hint="eastAsia"/>
        </w:rPr>
        <w:t>。</w:t>
      </w:r>
    </w:p>
    <w:p>
      <w:pPr>
        <w:bidi w:val="0"/>
        <w:rPr>
          <w:rFonts w:hint="eastAsia"/>
        </w:rPr>
      </w:pPr>
      <w:r>
        <w:t>建筑废渣粉尘</w:t>
      </w:r>
      <w:r>
        <w:rPr>
          <w:rFonts w:hint="eastAsia"/>
        </w:rPr>
        <w:t>及废弃土：</w:t>
      </w:r>
      <w:bookmarkStart w:id="209" w:name="OLE_LINK98"/>
      <w:r>
        <w:rPr>
          <w:rFonts w:hint="eastAsia"/>
        </w:rPr>
        <w:t>根据原材料配比，项目年需配入</w:t>
      </w:r>
      <w:r>
        <w:t>建筑废渣粉尘</w:t>
      </w:r>
      <w:r>
        <w:rPr>
          <w:rFonts w:hint="eastAsia"/>
        </w:rPr>
        <w:t>及废弃土量1.90万吨</w:t>
      </w:r>
      <w:r>
        <w:t>，</w:t>
      </w:r>
      <w:r>
        <w:rPr>
          <w:rFonts w:hint="eastAsia"/>
        </w:rPr>
        <w:t>当地城乡建设过程中开挖基础的废弃土及拆迁改造的</w:t>
      </w:r>
      <w:r>
        <w:t>建筑废渣粉尘</w:t>
      </w:r>
      <w:r>
        <w:rPr>
          <w:rFonts w:hint="eastAsia"/>
        </w:rPr>
        <w:t>资源丰富，年产生量预测在500万吨</w:t>
      </w:r>
      <w:bookmarkEnd w:id="209"/>
      <w:r>
        <w:rPr>
          <w:rFonts w:hint="eastAsia"/>
        </w:rPr>
        <w:t>左右，</w:t>
      </w:r>
      <w:r>
        <w:t>能得到充分保证</w:t>
      </w:r>
      <w:r>
        <w:rPr>
          <w:rFonts w:hint="eastAsia"/>
        </w:rPr>
        <w:t>。</w:t>
      </w:r>
    </w:p>
    <w:p>
      <w:pPr>
        <w:bidi w:val="0"/>
        <w:rPr>
          <w:rFonts w:hint="eastAsia"/>
        </w:rPr>
      </w:pPr>
      <w:r>
        <w:rPr>
          <w:rFonts w:hint="eastAsia"/>
        </w:rPr>
        <w:t>尾矿渣</w:t>
      </w:r>
      <w:r>
        <w:rPr>
          <w:rFonts w:hint="eastAsia"/>
          <w:lang w:eastAsia="zh-CN"/>
        </w:rPr>
        <w:t>：</w:t>
      </w:r>
      <w:r>
        <w:rPr>
          <w:rFonts w:hint="eastAsia"/>
        </w:rPr>
        <w:t>项目配入坯料中</w:t>
      </w:r>
      <w:r>
        <w:t>建筑废渣粉尘</w:t>
      </w:r>
      <w:r>
        <w:rPr>
          <w:rFonts w:hint="eastAsia"/>
        </w:rPr>
        <w:t>及尾矿粉，桃江县境内页岩尾矿渣资源量达</w:t>
      </w:r>
      <w:r>
        <w:t>10</w:t>
      </w:r>
      <w:r>
        <w:rPr>
          <w:rFonts w:hint="eastAsia"/>
        </w:rPr>
        <w:t>00余万吨，目前年利用量约100万吨，利用率只有10%。根据项目设计要求年需求量</w:t>
      </w:r>
      <w:r>
        <w:t>1</w:t>
      </w:r>
      <w:r>
        <w:rPr>
          <w:rFonts w:hint="eastAsia"/>
        </w:rPr>
        <w:t>8.30万吨，</w:t>
      </w:r>
      <w:r>
        <w:t>能得到充分保证</w:t>
      </w:r>
      <w:r>
        <w:rPr>
          <w:rFonts w:hint="eastAsia"/>
        </w:rPr>
        <w:t>。</w:t>
      </w:r>
    </w:p>
    <w:p>
      <w:pPr>
        <w:bidi w:val="0"/>
        <w:rPr>
          <w:rFonts w:hint="eastAsia"/>
        </w:rPr>
      </w:pPr>
      <w:r>
        <w:rPr>
          <w:rFonts w:hint="eastAsia"/>
        </w:rPr>
        <w:t>煤：根据项目燃料配比，每万块需0.215吨，项目年需原煤4300吨</w:t>
      </w:r>
      <w:r>
        <w:t>，</w:t>
      </w:r>
      <w:r>
        <w:rPr>
          <w:rFonts w:hint="eastAsia"/>
        </w:rPr>
        <w:t>与省内涟源市相关煤灰生产企业签订了供应合同，</w:t>
      </w:r>
      <w:r>
        <w:t>能得到充分保证</w:t>
      </w:r>
      <w:r>
        <w:rPr>
          <w:rFonts w:hint="eastAsia"/>
        </w:rPr>
        <w:t>。</w:t>
      </w:r>
    </w:p>
    <w:p>
      <w:pPr>
        <w:bidi w:val="0"/>
        <w:rPr>
          <w:rFonts w:hint="eastAsia"/>
        </w:rPr>
      </w:pPr>
      <w:r>
        <w:rPr>
          <w:rFonts w:hint="eastAsia"/>
        </w:rPr>
        <w:t>锯末（生物质）：桃江县为主要林区，境内竹木加工企业较多，产生的锯末也较多，锯末含水率为8%左右，热值大于3900Kcal/kg。根据项目燃料配比，每万块需0.04吨，项目年需锯末800吨；人员生活消费生物质，</w:t>
      </w:r>
      <w:r>
        <w:t>项目</w:t>
      </w:r>
      <w:r>
        <w:rPr>
          <w:rFonts w:hint="eastAsia"/>
        </w:rPr>
        <w:t>设计容纳人员100人，按人均热能消费值2093</w:t>
      </w:r>
      <w:r>
        <w:t xml:space="preserve"> MJ/(人·年)</w:t>
      </w:r>
      <w:r>
        <w:rPr>
          <w:rFonts w:hint="eastAsia"/>
        </w:rPr>
        <w:t>换算成生物质约0.14吨，</w:t>
      </w:r>
      <w:r>
        <w:t>年</w:t>
      </w:r>
      <w:r>
        <w:rPr>
          <w:rFonts w:hint="eastAsia"/>
        </w:rPr>
        <w:t>人员生活消费生物质总</w:t>
      </w:r>
      <w:r>
        <w:t>量约</w:t>
      </w:r>
      <w:r>
        <w:rPr>
          <w:rFonts w:hint="eastAsia"/>
        </w:rPr>
        <w:t>14</w:t>
      </w:r>
      <w:r>
        <w:t>吨，能得到充分保证。</w:t>
      </w:r>
    </w:p>
    <w:p>
      <w:pPr>
        <w:bidi w:val="0"/>
      </w:pPr>
      <w:r>
        <w:rPr>
          <w:rFonts w:hint="eastAsia"/>
        </w:rPr>
        <w:t>电：</w:t>
      </w:r>
      <w:r>
        <w:t>项目采用单电源供电，供电电压为380/220V三相四线制，用电负荷为三级，</w:t>
      </w:r>
      <w:r>
        <w:rPr>
          <w:rFonts w:hint="eastAsia"/>
        </w:rPr>
        <w:t>总</w:t>
      </w:r>
      <w:r>
        <w:t>装机容量</w:t>
      </w:r>
      <w:r>
        <w:rPr>
          <w:rFonts w:hint="eastAsia"/>
        </w:rPr>
        <w:t>2122.8kw</w:t>
      </w:r>
      <w:r>
        <w:t>，</w:t>
      </w:r>
      <w:r>
        <w:rPr>
          <w:rFonts w:hint="eastAsia"/>
        </w:rPr>
        <w:t>其中设备</w:t>
      </w:r>
      <w:r>
        <w:t>装机容量</w:t>
      </w:r>
      <w:r>
        <w:rPr>
          <w:rFonts w:hint="eastAsia"/>
        </w:rPr>
        <w:t>1653.5kw</w:t>
      </w:r>
      <w:r>
        <w:t>，</w:t>
      </w:r>
      <w:r>
        <w:rPr>
          <w:rFonts w:hint="eastAsia"/>
        </w:rPr>
        <w:t>照明</w:t>
      </w:r>
      <w:r>
        <w:t>装机容量</w:t>
      </w:r>
      <w:r>
        <w:rPr>
          <w:rFonts w:hint="eastAsia"/>
        </w:rPr>
        <w:t>469.3kw，</w:t>
      </w:r>
      <w:r>
        <w:t>全年生产</w:t>
      </w:r>
      <w:r>
        <w:rPr>
          <w:rFonts w:hint="eastAsia"/>
        </w:rPr>
        <w:t>330</w:t>
      </w:r>
      <w:r>
        <w:t>天数</w:t>
      </w:r>
      <w:r>
        <w:rPr>
          <w:rFonts w:hint="eastAsia"/>
        </w:rPr>
        <w:t>，日</w:t>
      </w:r>
      <w:r>
        <w:t>工作时间</w:t>
      </w:r>
      <w:r>
        <w:rPr>
          <w:rFonts w:hint="eastAsia"/>
        </w:rPr>
        <w:t>16小时，使用功率取值0.8，</w:t>
      </w:r>
      <w:r>
        <w:t>项目达产期全年</w:t>
      </w:r>
      <w:r>
        <w:rPr>
          <w:rFonts w:hint="eastAsia"/>
        </w:rPr>
        <w:t>消费</w:t>
      </w:r>
      <w:r>
        <w:t>电</w:t>
      </w:r>
      <w:r>
        <w:rPr>
          <w:rFonts w:hint="eastAsia"/>
        </w:rPr>
        <w:t>量896.67</w:t>
      </w:r>
      <w:r>
        <w:t>万</w:t>
      </w:r>
      <w:r>
        <w:rPr>
          <w:rFonts w:hint="eastAsia"/>
        </w:rPr>
        <w:t>kw.h</w:t>
      </w:r>
      <w:r>
        <w:t>，能得到充分保证。</w:t>
      </w:r>
    </w:p>
    <w:p>
      <w:pPr>
        <w:bidi w:val="0"/>
        <w:rPr>
          <w:rFonts w:hint="eastAsia"/>
        </w:rPr>
      </w:pPr>
      <w:r>
        <w:rPr>
          <w:rFonts w:hint="eastAsia"/>
        </w:rPr>
        <w:t>柴油：</w:t>
      </w:r>
      <w:r>
        <w:t>项目</w:t>
      </w:r>
      <w:r>
        <w:rPr>
          <w:rFonts w:hint="eastAsia"/>
        </w:rPr>
        <w:t>设计</w:t>
      </w:r>
      <w:r>
        <w:t>多斗挖土机</w:t>
      </w:r>
      <w:r>
        <w:rPr>
          <w:rFonts w:hint="eastAsia"/>
        </w:rPr>
        <w:t>3台，消费柴</w:t>
      </w:r>
      <w:r>
        <w:t>油由当地</w:t>
      </w:r>
      <w:r>
        <w:rPr>
          <w:rFonts w:hint="eastAsia"/>
        </w:rPr>
        <w:t>石油公司提供</w:t>
      </w:r>
      <w:r>
        <w:t>，</w:t>
      </w:r>
      <w:r>
        <w:rPr>
          <w:rFonts w:hint="eastAsia"/>
        </w:rPr>
        <w:t>每台设备日均消费柴油按66.67kg估算，</w:t>
      </w:r>
      <w:r>
        <w:t>年</w:t>
      </w:r>
      <w:r>
        <w:rPr>
          <w:rFonts w:hint="eastAsia"/>
        </w:rPr>
        <w:t>消费柴</w:t>
      </w:r>
      <w:r>
        <w:t>油</w:t>
      </w:r>
      <w:r>
        <w:rPr>
          <w:rFonts w:hint="eastAsia"/>
        </w:rPr>
        <w:t>总</w:t>
      </w:r>
      <w:r>
        <w:t>量约</w:t>
      </w:r>
      <w:r>
        <w:rPr>
          <w:rFonts w:hint="eastAsia"/>
        </w:rPr>
        <w:t>66</w:t>
      </w:r>
      <w:r>
        <w:t>吨，能得到充分保证。</w:t>
      </w:r>
    </w:p>
    <w:p>
      <w:pPr>
        <w:bidi w:val="0"/>
        <w:rPr>
          <w:rFonts w:hint="eastAsia"/>
        </w:rPr>
      </w:pPr>
      <w:r>
        <w:rPr>
          <w:rFonts w:hint="eastAsia"/>
        </w:rPr>
        <w:t>水：</w:t>
      </w:r>
      <w:r>
        <w:t>项目</w:t>
      </w:r>
      <w:r>
        <w:rPr>
          <w:rFonts w:hint="eastAsia"/>
        </w:rPr>
        <w:t>采用市政供水水源，项目设计生产日用水31.8吨、年生产用水量约10500吨；生活用水按150Kg人/日估算，项目编制员工100人，年生活用水量约4950吨，</w:t>
      </w:r>
      <w:r>
        <w:t>未预见用水</w:t>
      </w:r>
      <w:r>
        <w:rPr>
          <w:rFonts w:hint="eastAsia"/>
        </w:rPr>
        <w:t>量按用水量的10%估算约1545吨，</w:t>
      </w:r>
      <w:r>
        <w:t>全年</w:t>
      </w:r>
      <w:r>
        <w:rPr>
          <w:rFonts w:hint="eastAsia"/>
        </w:rPr>
        <w:t>生产生活</w:t>
      </w:r>
      <w:r>
        <w:t>用水量</w:t>
      </w:r>
      <w:r>
        <w:rPr>
          <w:rFonts w:hint="eastAsia"/>
        </w:rPr>
        <w:t>约16995</w:t>
      </w:r>
      <w:r>
        <w:t>吨</w:t>
      </w:r>
      <w:r>
        <w:rPr>
          <w:rFonts w:hint="eastAsia"/>
        </w:rPr>
        <w:t>。</w:t>
      </w:r>
    </w:p>
    <w:p>
      <w:pPr>
        <w:pStyle w:val="4"/>
        <w:bidi w:val="0"/>
        <w:rPr>
          <w:rFonts w:hint="eastAsia"/>
        </w:rPr>
      </w:pPr>
      <w:r>
        <w:rPr>
          <w:rFonts w:hint="eastAsia"/>
          <w:lang w:val="en-US" w:eastAsia="zh-CN"/>
        </w:rPr>
        <w:t>3、</w:t>
      </w:r>
      <w:r>
        <w:rPr>
          <w:rFonts w:hint="eastAsia"/>
        </w:rPr>
        <w:t>桃江县晓亿建材有限责任公司</w:t>
      </w:r>
    </w:p>
    <w:p>
      <w:pPr>
        <w:bidi w:val="0"/>
        <w:rPr>
          <w:rFonts w:hint="eastAsia"/>
          <w:b/>
          <w:bCs/>
          <w:lang w:val="en-US" w:eastAsia="zh-CN"/>
        </w:rPr>
      </w:pPr>
      <w:r>
        <w:rPr>
          <w:rFonts w:hint="eastAsia"/>
          <w:b/>
          <w:bCs/>
          <w:lang w:eastAsia="zh-CN"/>
        </w:rPr>
        <w:t>（</w:t>
      </w:r>
      <w:r>
        <w:rPr>
          <w:rFonts w:hint="eastAsia"/>
          <w:b/>
          <w:bCs/>
          <w:lang w:val="en-US" w:eastAsia="zh-CN"/>
        </w:rPr>
        <w:t>1</w:t>
      </w:r>
      <w:r>
        <w:rPr>
          <w:rFonts w:hint="eastAsia"/>
          <w:b/>
          <w:bCs/>
          <w:lang w:eastAsia="zh-CN"/>
        </w:rPr>
        <w:t>）</w:t>
      </w:r>
      <w:r>
        <w:rPr>
          <w:rFonts w:hint="eastAsia"/>
          <w:b/>
          <w:bCs/>
          <w:lang w:val="en-US" w:eastAsia="zh-CN"/>
        </w:rPr>
        <w:t>项目简介</w:t>
      </w:r>
    </w:p>
    <w:p>
      <w:pPr>
        <w:bidi w:val="0"/>
      </w:pPr>
      <w:r>
        <w:rPr>
          <w:rFonts w:hint="eastAsia"/>
          <w:lang w:val="en-US" w:eastAsia="zh-CN"/>
        </w:rPr>
        <w:t>项目</w:t>
      </w:r>
      <w:r>
        <w:rPr>
          <w:rFonts w:hint="eastAsia"/>
        </w:rPr>
        <w:t>年处理60万吨建筑垃圾建设项目</w:t>
      </w:r>
      <w:r>
        <w:rPr>
          <w:rFonts w:hint="eastAsia"/>
          <w:lang w:eastAsia="zh-CN"/>
        </w:rPr>
        <w:t>，规划用地面积13334平方米(20亩)，项目分两期建设，</w:t>
      </w:r>
      <w:r>
        <w:rPr>
          <w:rFonts w:hint="eastAsia"/>
          <w:lang w:val="en-US" w:eastAsia="zh-CN"/>
        </w:rPr>
        <w:t>建设</w:t>
      </w:r>
      <w:r>
        <w:rPr>
          <w:rFonts w:hint="eastAsia"/>
          <w:lang w:eastAsia="zh-CN"/>
        </w:rPr>
        <w:t>2条建筑垃圾破碎生产线、2条水稳料生产线</w:t>
      </w:r>
      <w:r>
        <w:rPr>
          <w:rFonts w:hint="eastAsia"/>
          <w:lang w:val="en-US" w:eastAsia="zh-CN"/>
        </w:rPr>
        <w:t>和</w:t>
      </w:r>
      <w:r>
        <w:rPr>
          <w:rFonts w:hint="eastAsia"/>
          <w:lang w:eastAsia="zh-CN"/>
        </w:rPr>
        <w:t>1条环保砖生产线。项目自2023年年初启动，2024年底投产。</w:t>
      </w:r>
      <w:r>
        <w:rPr>
          <w:rFonts w:hint="eastAsia"/>
          <w:lang w:val="en-US" w:eastAsia="zh-CN"/>
        </w:rPr>
        <w:t>年处理建筑垃圾60万吨，</w:t>
      </w:r>
      <w:r>
        <w:rPr>
          <w:rFonts w:hint="default"/>
          <w:lang w:val="en-US" w:eastAsia="zh-CN"/>
        </w:rPr>
        <w:t>生产骨料51万吨、环保砖32万吨、水稳料25万吨。</w:t>
      </w:r>
    </w:p>
    <w:p>
      <w:pPr>
        <w:bidi w:val="0"/>
        <w:rPr>
          <w:rFonts w:hint="default"/>
          <w:b/>
          <w:bCs/>
          <w:lang w:val="en-US" w:eastAsia="zh-CN"/>
        </w:rPr>
      </w:pPr>
      <w:r>
        <w:rPr>
          <w:rFonts w:hint="eastAsia"/>
          <w:b/>
          <w:bCs/>
          <w:lang w:val="en-US" w:eastAsia="zh-CN"/>
        </w:rPr>
        <w:t>（2）</w:t>
      </w:r>
      <w:r>
        <w:rPr>
          <w:rFonts w:hint="eastAsia"/>
          <w:b/>
          <w:bCs/>
          <w:lang w:eastAsia="zh-CN"/>
        </w:rPr>
        <w:t>生产工艺</w:t>
      </w:r>
    </w:p>
    <w:p>
      <w:pPr>
        <w:bidi w:val="0"/>
        <w:rPr>
          <w:rFonts w:hint="eastAsia"/>
          <w:lang w:val="en-US" w:eastAsia="zh-CN"/>
        </w:rPr>
      </w:pPr>
      <w:r>
        <w:rPr>
          <w:rFonts w:hint="eastAsia"/>
          <w:lang w:val="en-US" w:eastAsia="zh-CN"/>
        </w:rPr>
        <w:t>人工筛选：建筑垃圾由运输车辆运入场区，卸料至原料堆场，由人工对原料进行分选，将较大块状的垃圾或金属钢筋等无法用作建筑用砂的废弃建筑材料挑选出来。该工序产生的污染物主要为噪声和固废。</w:t>
      </w:r>
    </w:p>
    <w:p>
      <w:pPr>
        <w:bidi w:val="0"/>
        <w:rPr>
          <w:rFonts w:hint="eastAsia"/>
          <w:lang w:val="en-US" w:eastAsia="zh-CN"/>
        </w:rPr>
      </w:pPr>
      <w:r>
        <w:rPr>
          <w:rFonts w:hint="eastAsia"/>
          <w:lang w:val="en-US" w:eastAsia="zh-CN"/>
        </w:rPr>
        <w:t>给料：建筑垃圾由运输车辆运入场区，卸料至原料堆场，再由装载车卸入进料斗，经振动给料机送入颚式破碎机。该工序产生的污染物主要为噪声和粉尘。</w:t>
      </w:r>
    </w:p>
    <w:p>
      <w:pPr>
        <w:bidi w:val="0"/>
        <w:rPr>
          <w:rFonts w:hint="eastAsia"/>
          <w:lang w:val="en-US" w:eastAsia="zh-CN"/>
        </w:rPr>
      </w:pPr>
      <w:r>
        <w:rPr>
          <w:rFonts w:hint="eastAsia"/>
          <w:lang w:val="en-US" w:eastAsia="zh-CN"/>
        </w:rPr>
        <w:t>鄂破：物料经颚式破碎机进行一次破碎。该工序产生的污染物主要为噪声和粉尘。</w:t>
      </w:r>
    </w:p>
    <w:p>
      <w:pPr>
        <w:bidi w:val="0"/>
        <w:rPr>
          <w:rFonts w:hint="eastAsia"/>
          <w:lang w:val="en-US" w:eastAsia="zh-CN"/>
        </w:rPr>
      </w:pPr>
      <w:r>
        <w:rPr>
          <w:rFonts w:hint="eastAsia"/>
          <w:lang w:val="en-US" w:eastAsia="zh-CN"/>
        </w:rPr>
        <w:t>筛分：经鄂破后的物料送入振动筛一次筛分对物料进行分级，分筛出细砂和粗料。该工序产生的污染物主要为噪声和粉尘。(5)反击破:经振动筛筛分后的粗料送入反击破进行二次破碎二次破碎后形成的砂石经振动筛二次筛分。该工序产生的污染物主要为噪声和粉尘。</w:t>
      </w:r>
    </w:p>
    <w:p>
      <w:pPr>
        <w:bidi w:val="0"/>
        <w:rPr>
          <w:rFonts w:hint="default"/>
          <w:b/>
          <w:bCs/>
          <w:lang w:val="en-US" w:eastAsia="zh-CN"/>
        </w:rPr>
      </w:pPr>
      <w:r>
        <w:rPr>
          <w:rFonts w:hint="eastAsia"/>
          <w:b/>
          <w:bCs/>
          <w:lang w:val="en-US" w:eastAsia="zh-CN"/>
        </w:rPr>
        <w:t>水稳料生产工艺：</w:t>
      </w:r>
    </w:p>
    <w:p>
      <w:pPr>
        <w:bidi w:val="0"/>
        <w:rPr>
          <w:rFonts w:hint="eastAsia"/>
          <w:lang w:val="en-US" w:eastAsia="zh-CN"/>
        </w:rPr>
      </w:pPr>
      <w:r>
        <w:rPr>
          <w:rFonts w:hint="eastAsia"/>
          <w:lang w:val="en-US" w:eastAsia="zh-CN"/>
        </w:rPr>
        <w:t>将原料砂石（碎石、石粉）、外购的水泥和水分别进行计量后送入搅拌机内进行搅拌，计量配送采用电脑控制，从而保证水稳料的质量，之后通过自卸运输车送至建筑工地。原料砂石为厂区现有生产线以建筑废石加工生产的;水泥外购。</w:t>
      </w:r>
    </w:p>
    <w:p>
      <w:pPr>
        <w:bidi w:val="0"/>
        <w:rPr>
          <w:rFonts w:hint="default"/>
          <w:b/>
          <w:bCs/>
          <w:lang w:val="en-US" w:eastAsia="zh-CN"/>
        </w:rPr>
      </w:pPr>
      <w:r>
        <w:rPr>
          <w:rFonts w:hint="eastAsia"/>
          <w:b/>
          <w:bCs/>
          <w:lang w:val="en-US" w:eastAsia="zh-CN"/>
        </w:rPr>
        <w:t>环保砖生产线工艺技术：</w:t>
      </w:r>
    </w:p>
    <w:p>
      <w:pPr>
        <w:bidi w:val="0"/>
        <w:ind w:left="0" w:leftChars="0" w:firstLine="840" w:firstLineChars="300"/>
        <w:rPr>
          <w:rFonts w:hint="eastAsia"/>
          <w:lang w:val="en-US" w:eastAsia="zh-CN"/>
        </w:rPr>
      </w:pPr>
      <w:r>
        <w:rPr>
          <w:rFonts w:hint="eastAsia"/>
          <w:lang w:val="en-US" w:eastAsia="zh-CN"/>
        </w:rPr>
        <w:t>原料砂石为厂区现有生产线以建筑废石加工生产，砂石由配料仓下料后由传送带送至搅拌机入口，砂石下料过程会有粉尘产生，水泥由水泥罐底的螺旋输送机直接输送至搅拌机中，水泥下料过程中基本无粉尘产生（水泥罐的粉尘主要为水泥罐车将水泥用空压机打进水泥罐中时呼吸口产生的）与此同时加水搅拌；</w:t>
      </w:r>
    </w:p>
    <w:p>
      <w:pPr>
        <w:bidi w:val="0"/>
        <w:rPr>
          <w:rFonts w:hint="eastAsia"/>
          <w:lang w:val="en-US" w:eastAsia="zh-CN"/>
        </w:rPr>
      </w:pPr>
      <w:r>
        <w:rPr>
          <w:rFonts w:hint="eastAsia"/>
          <w:lang w:val="en-US" w:eastAsia="zh-CN"/>
        </w:rPr>
        <w:t>搅拌完成的物料送至制砖机压制成型，再将成品砖运送厂区养护堆放区堆放，进行自然养护，未成型的产品回用于生产。</w:t>
      </w:r>
    </w:p>
    <w:p>
      <w:pPr>
        <w:bidi w:val="0"/>
        <w:rPr>
          <w:rFonts w:hint="eastAsia"/>
          <w:b/>
          <w:bCs/>
          <w:lang w:val="en-US" w:eastAsia="zh-CN"/>
        </w:rPr>
      </w:pPr>
      <w:r>
        <w:rPr>
          <w:rFonts w:hint="eastAsia"/>
          <w:b/>
          <w:bCs/>
          <w:lang w:val="en-US" w:eastAsia="zh-CN"/>
        </w:rPr>
        <w:t>（3）设施运行要求</w:t>
      </w:r>
    </w:p>
    <w:p>
      <w:pPr>
        <w:bidi w:val="0"/>
        <w:rPr>
          <w:rFonts w:hint="eastAsia"/>
          <w:lang w:val="en-US" w:eastAsia="zh-CN"/>
        </w:rPr>
      </w:pPr>
      <w:r>
        <w:rPr>
          <w:rFonts w:hint="eastAsia"/>
          <w:lang w:val="en-US" w:eastAsia="zh-CN"/>
        </w:rPr>
        <w:t>项目根据建筑材料产品生产设计要求，年需水泥4.45 万吨:水 2.85 万吨、润滑油 3 吨、絮凝剂 3 吨。</w:t>
      </w:r>
    </w:p>
    <w:p>
      <w:pPr>
        <w:bidi w:val="0"/>
        <w:rPr>
          <w:rFonts w:hint="eastAsia"/>
          <w:lang w:val="en-US" w:eastAsia="zh-CN"/>
        </w:rPr>
      </w:pPr>
      <w:r>
        <w:rPr>
          <w:rFonts w:hint="eastAsia"/>
          <w:lang w:val="en-US" w:eastAsia="zh-CN"/>
        </w:rPr>
        <w:t>电力：项目供电由石牛江镇供电系统供电。采用单电源供电，供电电压为 380/22 三相四线制，用电负荷为三级，总装机容量2329kw，生产设备总装容量为 2280kw、照明装容量为24kw，全年生产280天数，日工作时间8小时，功率使用取值0.8，项目达产期全年消费电量 417.30 万 kw.h。</w:t>
      </w:r>
    </w:p>
    <w:p>
      <w:pPr>
        <w:bidi w:val="0"/>
        <w:rPr>
          <w:rFonts w:hint="eastAsia"/>
          <w:lang w:val="en-US" w:eastAsia="zh-CN"/>
        </w:rPr>
      </w:pPr>
      <w:r>
        <w:rPr>
          <w:rFonts w:hint="eastAsia"/>
          <w:lang w:val="en-US" w:eastAsia="zh-CN"/>
        </w:rPr>
        <w:t>用水：本项目用水约3.74万m</w:t>
      </w:r>
      <w:r>
        <w:rPr>
          <w:rFonts w:hint="eastAsia"/>
          <w:vertAlign w:val="superscript"/>
          <w:lang w:val="en-US" w:eastAsia="zh-CN"/>
        </w:rPr>
        <w:t>3</w:t>
      </w:r>
      <w:r>
        <w:rPr>
          <w:rFonts w:hint="eastAsia"/>
          <w:lang w:val="en-US" w:eastAsia="zh-CN"/>
        </w:rPr>
        <w:t>/a，其中生活用水为 1015m</w:t>
      </w:r>
      <w:r>
        <w:rPr>
          <w:rFonts w:hint="eastAsia"/>
          <w:vertAlign w:val="superscript"/>
          <w:lang w:val="en-US" w:eastAsia="zh-CN"/>
        </w:rPr>
        <w:t>3</w:t>
      </w:r>
      <w:r>
        <w:rPr>
          <w:rFonts w:hint="eastAsia"/>
          <w:lang w:val="en-US" w:eastAsia="zh-CN"/>
        </w:rPr>
        <w:t>/a、生产用水为3.64 万m³/a。</w:t>
      </w:r>
    </w:p>
    <w:p>
      <w:pPr>
        <w:bidi w:val="0"/>
        <w:rPr>
          <w:rFonts w:hint="default"/>
          <w:lang w:val="en-US" w:eastAsia="zh-CN"/>
        </w:rPr>
      </w:pPr>
      <w:r>
        <w:rPr>
          <w:rFonts w:hint="default"/>
          <w:lang w:val="en-US" w:eastAsia="zh-CN"/>
        </w:rPr>
        <w:t>燃油</w:t>
      </w:r>
      <w:r>
        <w:rPr>
          <w:rFonts w:hint="eastAsia"/>
          <w:lang w:val="en-US" w:eastAsia="zh-CN"/>
        </w:rPr>
        <w:t>：</w:t>
      </w:r>
      <w:r>
        <w:rPr>
          <w:rFonts w:hint="default"/>
          <w:lang w:val="en-US" w:eastAsia="zh-CN"/>
        </w:rPr>
        <w:t>项目设计铲车4台，柴油由当地石油公司提供，每台设备日消费柴油按3</w:t>
      </w:r>
      <w:r>
        <w:rPr>
          <w:rFonts w:hint="eastAsia"/>
          <w:lang w:val="en-US" w:eastAsia="zh-CN"/>
        </w:rPr>
        <w:t>3kg</w:t>
      </w:r>
      <w:r>
        <w:rPr>
          <w:rFonts w:hint="default"/>
          <w:lang w:val="en-US" w:eastAsia="zh-CN"/>
        </w:rPr>
        <w:t>估算，年耗用柴油总量约12吨，能得到充分保证。</w:t>
      </w:r>
    </w:p>
    <w:p>
      <w:pPr>
        <w:pStyle w:val="3"/>
        <w:bidi w:val="0"/>
        <w:rPr>
          <w:rFonts w:hint="eastAsia" w:ascii="楷体" w:hAnsi="楷体" w:eastAsia="楷体" w:cs="楷体"/>
          <w:sz w:val="28"/>
          <w:szCs w:val="28"/>
          <w:lang w:val="en-US" w:eastAsia="en-US"/>
        </w:rPr>
      </w:pPr>
      <w:bookmarkStart w:id="210" w:name="_Toc31771"/>
      <w:r>
        <w:rPr>
          <w:rFonts w:hint="eastAsia" w:ascii="楷体" w:hAnsi="楷体" w:eastAsia="楷体" w:cs="楷体"/>
          <w:sz w:val="28"/>
          <w:szCs w:val="28"/>
          <w:lang w:val="en-US" w:eastAsia="en-US"/>
        </w:rPr>
        <w:t>（五）建筑垃圾消纳处置</w:t>
      </w:r>
      <w:bookmarkEnd w:id="210"/>
    </w:p>
    <w:p>
      <w:pPr>
        <w:bidi w:val="0"/>
      </w:pPr>
      <w:r>
        <w:t>针对</w:t>
      </w:r>
      <w:r>
        <w:rPr>
          <w:rFonts w:hint="eastAsia"/>
          <w:lang w:val="en-US" w:eastAsia="zh-CN"/>
        </w:rPr>
        <w:t>桃江县建筑垃圾产生量情况，结合《桃江县国土空间总体规划（2021—2035年）》，在符合</w:t>
      </w:r>
      <w:r>
        <w:t>避开生态敏感区（如水源保护区、自然保护地）和人口密集区</w:t>
      </w:r>
      <w:r>
        <w:rPr>
          <w:rFonts w:hint="eastAsia"/>
          <w:lang w:eastAsia="zh-CN"/>
        </w:rPr>
        <w:t>、</w:t>
      </w:r>
      <w:r>
        <w:t>靠近主干道或货运通道</w:t>
      </w:r>
      <w:r>
        <w:rPr>
          <w:rFonts w:hint="eastAsia"/>
          <w:lang w:eastAsia="zh-CN"/>
        </w:rPr>
        <w:t>、</w:t>
      </w:r>
      <w:r>
        <w:t>优先利用废弃工业用地或低效土地</w:t>
      </w:r>
      <w:r>
        <w:rPr>
          <w:rFonts w:hint="eastAsia"/>
          <w:lang w:val="en-US" w:eastAsia="zh-CN"/>
        </w:rPr>
        <w:t>的条件下，规划新建2个建筑垃圾填埋场</w:t>
      </w:r>
      <w:r>
        <w:t>。</w:t>
      </w:r>
    </w:p>
    <w:p>
      <w:pPr>
        <w:bidi w:val="0"/>
      </w:pPr>
      <w:r>
        <w:rPr>
          <w:rFonts w:hint="eastAsia"/>
        </w:rPr>
        <w:t>鼓励依法依规充分利用采石场、废弃矿坑等现有条件建设建筑垃圾消纳场。有条件的地区可将消纳场与资源化利用项目统筹建设。选址及建设应依法依规，并应符合《建筑垃圾处理技术标准》（</w:t>
      </w:r>
      <w:r>
        <w:t>CJJ/T 134-2019</w:t>
      </w:r>
      <w:r>
        <w:rPr>
          <w:rFonts w:hint="eastAsia"/>
        </w:rPr>
        <w:t>）和《建筑余泥渣土受纳场建设技术规范》（</w:t>
      </w:r>
      <w:r>
        <w:t>DBJ/T 15-118-2016</w:t>
      </w:r>
      <w:r>
        <w:rPr>
          <w:rFonts w:hint="eastAsia"/>
        </w:rPr>
        <w:t>）相关要求。</w:t>
      </w:r>
    </w:p>
    <w:p>
      <w:pPr>
        <w:pStyle w:val="4"/>
        <w:bidi w:val="0"/>
      </w:pPr>
      <w:r>
        <w:rPr>
          <w:rFonts w:hint="eastAsia"/>
          <w:lang w:val="en-US" w:eastAsia="zh-CN"/>
        </w:rPr>
        <w:t>1</w:t>
      </w:r>
      <w:r>
        <w:rPr>
          <w:rFonts w:hint="eastAsia"/>
        </w:rPr>
        <w:t>、建设要求</w:t>
      </w:r>
    </w:p>
    <w:p>
      <w:pPr>
        <w:bidi w:val="0"/>
        <w:rPr>
          <w:lang w:val="en-US" w:eastAsia="zh-CN"/>
        </w:rPr>
      </w:pPr>
      <w:r>
        <w:rPr>
          <w:rFonts w:hint="eastAsia"/>
          <w:lang w:val="en-US" w:eastAsia="zh-CN"/>
        </w:rPr>
        <w:t>（1）消纳场建设应符合当地国土空间规划及其他相关规划。</w:t>
      </w:r>
    </w:p>
    <w:p>
      <w:pPr>
        <w:bidi w:val="0"/>
        <w:rPr>
          <w:lang w:val="en-US" w:eastAsia="zh-CN"/>
        </w:rPr>
      </w:pPr>
      <w:r>
        <w:rPr>
          <w:rFonts w:hint="eastAsia"/>
          <w:lang w:val="en-US" w:eastAsia="zh-CN"/>
        </w:rPr>
        <w:t>（2）消纳场选址时应开展选址调查与监测、环境影响评价、地质灾害危险性评估。</w:t>
      </w:r>
    </w:p>
    <w:p>
      <w:pPr>
        <w:bidi w:val="0"/>
        <w:rPr>
          <w:lang w:val="en-US" w:eastAsia="zh-CN"/>
        </w:rPr>
      </w:pPr>
      <w:r>
        <w:rPr>
          <w:rFonts w:hint="eastAsia"/>
          <w:lang w:val="en-US" w:eastAsia="zh-CN"/>
        </w:rPr>
        <w:t>（3）需分期建设的消纳场，其库容及使用年限应根据填埋量、场址条件等因素综合确定。</w:t>
      </w:r>
    </w:p>
    <w:p>
      <w:pPr>
        <w:bidi w:val="0"/>
        <w:rPr>
          <w:lang w:val="en-US" w:eastAsia="zh-CN"/>
        </w:rPr>
      </w:pPr>
      <w:r>
        <w:rPr>
          <w:rFonts w:hint="eastAsia"/>
          <w:lang w:val="en-US" w:eastAsia="zh-CN"/>
        </w:rPr>
        <w:t>（4）受纳场的总图设计应根据场址所在地区的自然条件，结合生产、运输、环境保护、职业卫生与劳动安全、职工生活，以及电力、通信、给水排水等设施，经多方案综合比较后确定。</w:t>
      </w:r>
    </w:p>
    <w:p>
      <w:pPr>
        <w:bidi w:val="0"/>
        <w:rPr>
          <w:lang w:val="en-US" w:eastAsia="zh-CN"/>
        </w:rPr>
      </w:pPr>
      <w:r>
        <w:rPr>
          <w:rFonts w:hint="eastAsia"/>
          <w:lang w:val="en-US" w:eastAsia="zh-CN"/>
        </w:rPr>
        <w:t>（5）堆填作业过程中，应对各阶段完成的堆体单元进行稳定性评估。</w:t>
      </w:r>
    </w:p>
    <w:p>
      <w:pPr>
        <w:bidi w:val="0"/>
        <w:rPr>
          <w:lang w:val="en-US" w:eastAsia="zh-CN"/>
        </w:rPr>
      </w:pPr>
      <w:r>
        <w:rPr>
          <w:rFonts w:hint="eastAsia"/>
          <w:lang w:val="en-US" w:eastAsia="zh-CN"/>
        </w:rPr>
        <w:t>（6）受纳场建设工程应对主体工程、配套工程的各分项进行验收。</w:t>
      </w:r>
    </w:p>
    <w:p>
      <w:pPr>
        <w:pStyle w:val="4"/>
        <w:bidi w:val="0"/>
      </w:pPr>
      <w:r>
        <w:rPr>
          <w:rFonts w:hint="eastAsia"/>
          <w:lang w:val="en-US" w:eastAsia="zh-CN"/>
        </w:rPr>
        <w:t>2</w:t>
      </w:r>
      <w:r>
        <w:rPr>
          <w:rFonts w:hint="eastAsia"/>
        </w:rPr>
        <w:t>、运营监管</w:t>
      </w:r>
    </w:p>
    <w:p>
      <w:pPr>
        <w:bidi w:val="0"/>
        <w:rPr>
          <w:rFonts w:hint="eastAsia"/>
        </w:rPr>
      </w:pPr>
      <w:r>
        <w:rPr>
          <w:rFonts w:hint="eastAsia"/>
        </w:rPr>
        <w:t>建筑垃圾消纳场应当遵守下列规定：</w:t>
      </w:r>
    </w:p>
    <w:p>
      <w:pPr>
        <w:bidi w:val="0"/>
        <w:rPr>
          <w:rFonts w:hint="eastAsia"/>
        </w:rPr>
      </w:pPr>
      <w:r>
        <w:rPr>
          <w:rFonts w:hint="eastAsia"/>
        </w:rPr>
        <w:t>（</w:t>
      </w:r>
      <w:r>
        <w:t>1</w:t>
      </w:r>
      <w:r>
        <w:rPr>
          <w:rFonts w:hint="eastAsia"/>
        </w:rPr>
        <w:t>）建立规范完整的生产台账，并定期向区级建筑垃圾主管部门报送数据；</w:t>
      </w:r>
    </w:p>
    <w:p>
      <w:pPr>
        <w:bidi w:val="0"/>
        <w:rPr>
          <w:rFonts w:hint="eastAsia"/>
        </w:rPr>
      </w:pPr>
      <w:r>
        <w:rPr>
          <w:rFonts w:hint="eastAsia"/>
        </w:rPr>
        <w:t>（</w:t>
      </w:r>
      <w:r>
        <w:t>2</w:t>
      </w:r>
      <w:r>
        <w:rPr>
          <w:rFonts w:hint="eastAsia"/>
        </w:rPr>
        <w:t>）不得超过经核准的堆放容量；</w:t>
      </w:r>
    </w:p>
    <w:p>
      <w:pPr>
        <w:bidi w:val="0"/>
        <w:rPr>
          <w:rFonts w:hint="eastAsia"/>
        </w:rPr>
      </w:pPr>
      <w:r>
        <w:rPr>
          <w:rFonts w:hint="eastAsia"/>
        </w:rPr>
        <w:t>（</w:t>
      </w:r>
      <w:r>
        <w:t>3</w:t>
      </w:r>
      <w:r>
        <w:rPr>
          <w:rFonts w:hint="eastAsia"/>
        </w:rPr>
        <w:t>）分区、分类堆填，按照有关规定进行作业规划、设计和运营；</w:t>
      </w:r>
    </w:p>
    <w:p>
      <w:pPr>
        <w:bidi w:val="0"/>
        <w:rPr>
          <w:rFonts w:hint="eastAsia"/>
        </w:rPr>
      </w:pPr>
      <w:r>
        <w:rPr>
          <w:rFonts w:hint="eastAsia"/>
        </w:rPr>
        <w:t>（</w:t>
      </w:r>
      <w:r>
        <w:t>4</w:t>
      </w:r>
      <w:r>
        <w:rPr>
          <w:rFonts w:hint="eastAsia"/>
        </w:rPr>
        <w:t>）不得接收生活垃圾、污泥、河道疏浚底泥、工业垃圾和危险废物等；</w:t>
      </w:r>
    </w:p>
    <w:p>
      <w:pPr>
        <w:bidi w:val="0"/>
      </w:pPr>
      <w:r>
        <w:rPr>
          <w:rFonts w:hint="eastAsia"/>
        </w:rPr>
        <w:t>（</w:t>
      </w:r>
      <w:r>
        <w:t>5</w:t>
      </w:r>
      <w:r>
        <w:rPr>
          <w:rFonts w:hint="eastAsia"/>
        </w:rPr>
        <w:t>）建立安全管理制度，采取有效措施保障安全生产，防止失稳滑坡、环境污染、水土流失或者其他危害。法律、法规、规章规定的其他要求。</w:t>
      </w:r>
    </w:p>
    <w:p>
      <w:pPr>
        <w:pStyle w:val="4"/>
        <w:bidi w:val="0"/>
      </w:pPr>
      <w:r>
        <w:rPr>
          <w:rFonts w:hint="eastAsia"/>
          <w:lang w:val="en-US" w:eastAsia="zh-CN"/>
        </w:rPr>
        <w:t>3</w:t>
      </w:r>
      <w:r>
        <w:rPr>
          <w:rFonts w:hint="eastAsia"/>
        </w:rPr>
        <w:t>、建设任务</w:t>
      </w:r>
    </w:p>
    <w:p>
      <w:pPr>
        <w:bidi w:val="0"/>
        <w:rPr>
          <w:lang w:val="en-US" w:eastAsia="zh-CN"/>
        </w:rPr>
      </w:pPr>
      <w:bookmarkStart w:id="211" w:name="OLE_LINK99"/>
      <w:r>
        <w:rPr>
          <w:rFonts w:hint="eastAsia"/>
          <w:lang w:val="en-US" w:eastAsia="zh-CN"/>
        </w:rPr>
        <w:t>建筑垃圾消纳场主要用于填埋经资源化利用厂处理后无法进一步循环利用的建筑垃圾尾料，以及临时存放符合回填方技术标准，但暂无明确去处的工程渣土。根据《环境卫生设施设置标准》（</w:t>
      </w:r>
      <w:r>
        <w:rPr>
          <w:lang w:val="en-US" w:eastAsia="zh-CN"/>
        </w:rPr>
        <w:t>CJJ 27-2012</w:t>
      </w:r>
      <w:r>
        <w:rPr>
          <w:rFonts w:hint="eastAsia"/>
          <w:lang w:val="en-US" w:eastAsia="zh-CN"/>
        </w:rPr>
        <w:t>）要求，建筑垃圾处理设施使用年限不应小于</w:t>
      </w:r>
      <w:r>
        <w:rPr>
          <w:lang w:val="en-US" w:eastAsia="zh-CN"/>
        </w:rPr>
        <w:t>10</w:t>
      </w:r>
      <w:r>
        <w:rPr>
          <w:rFonts w:hint="eastAsia"/>
          <w:lang w:val="en-US" w:eastAsia="zh-CN"/>
        </w:rPr>
        <w:t>年。同时根据</w:t>
      </w:r>
      <w:bookmarkEnd w:id="211"/>
      <w:r>
        <w:rPr>
          <w:rFonts w:hint="eastAsia"/>
          <w:lang w:val="en-US" w:eastAsia="zh-CN"/>
        </w:rPr>
        <w:t>桃江县建筑垃圾防治具体情况，桃江县近期至少应建有一个库容为</w:t>
      </w:r>
      <w:r>
        <w:rPr>
          <w:lang w:val="en-US" w:eastAsia="zh-CN"/>
        </w:rPr>
        <w:t>10</w:t>
      </w:r>
      <w:r>
        <w:rPr>
          <w:rFonts w:hint="eastAsia"/>
          <w:lang w:val="en-US" w:eastAsia="zh-CN"/>
        </w:rPr>
        <w:t>0万立方米的建筑垃圾填埋消纳场，远期综合消纳场剩余库容、工程回填及土地平整实际需求等情况，再新建一座不低于100万吨的建筑垃圾填埋消纳场，</w:t>
      </w:r>
      <w:r>
        <w:rPr>
          <w:rFonts w:hint="eastAsia" w:ascii="Times New Roman" w:eastAsia="仿宋"/>
          <w:lang w:val="en-US" w:eastAsia="zh-CN"/>
        </w:rPr>
        <w:t>并同步优化运输路线，确保全域消纳能力达标。</w:t>
      </w:r>
    </w:p>
    <w:bookmarkEnd w:id="201"/>
    <w:p>
      <w:pPr>
        <w:pStyle w:val="2"/>
        <w:bidi w:val="0"/>
        <w:rPr>
          <w:lang w:eastAsia="en-US"/>
        </w:rPr>
      </w:pPr>
      <w:bookmarkStart w:id="212" w:name="bookmark105"/>
      <w:bookmarkEnd w:id="212"/>
      <w:bookmarkStart w:id="213" w:name="bookmark106"/>
      <w:bookmarkEnd w:id="213"/>
      <w:bookmarkStart w:id="214" w:name="bookmark108"/>
      <w:bookmarkEnd w:id="214"/>
      <w:bookmarkStart w:id="215" w:name="bookmark107"/>
      <w:bookmarkEnd w:id="215"/>
      <w:bookmarkStart w:id="216" w:name="_Toc27968"/>
      <w:r>
        <w:rPr>
          <w:rFonts w:hint="eastAsia"/>
          <w:lang w:val="en-US" w:eastAsia="zh-CN"/>
        </w:rPr>
        <w:t>九、</w:t>
      </w:r>
      <w:r>
        <w:rPr>
          <w:lang w:eastAsia="en-US"/>
        </w:rPr>
        <w:t>监督管理规划</w:t>
      </w:r>
      <w:bookmarkEnd w:id="216"/>
    </w:p>
    <w:p>
      <w:pPr>
        <w:pStyle w:val="3"/>
        <w:bidi w:val="0"/>
        <w:rPr>
          <w:rFonts w:hint="eastAsia" w:ascii="楷体" w:hAnsi="楷体" w:eastAsia="楷体" w:cs="楷体"/>
          <w:snapToGrid w:val="0"/>
          <w:color w:val="000000"/>
          <w:kern w:val="0"/>
          <w:sz w:val="28"/>
          <w:szCs w:val="28"/>
          <w:lang w:eastAsia="en-US"/>
        </w:rPr>
      </w:pPr>
      <w:bookmarkStart w:id="217" w:name="bookmark167"/>
      <w:bookmarkEnd w:id="217"/>
      <w:bookmarkStart w:id="218" w:name="_Toc30582"/>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一</w:t>
      </w:r>
      <w:r>
        <w:rPr>
          <w:rFonts w:hint="eastAsia" w:ascii="楷体" w:hAnsi="楷体" w:eastAsia="楷体" w:cs="楷体"/>
          <w:sz w:val="28"/>
          <w:szCs w:val="28"/>
          <w:lang w:eastAsia="zh-CN"/>
        </w:rPr>
        <w:t>）</w:t>
      </w:r>
      <w:r>
        <w:rPr>
          <w:rFonts w:hint="eastAsia" w:ascii="楷体" w:hAnsi="楷体" w:eastAsia="楷体" w:cs="楷体"/>
          <w:sz w:val="28"/>
          <w:szCs w:val="28"/>
          <w:lang w:eastAsia="en-US"/>
        </w:rPr>
        <w:t>管理制度机制建设</w:t>
      </w:r>
      <w:bookmarkEnd w:id="218"/>
    </w:p>
    <w:p>
      <w:pPr>
        <w:bidi w:val="0"/>
        <w:rPr>
          <w:lang w:eastAsia="en-US"/>
        </w:rPr>
      </w:pPr>
      <w:r>
        <w:rPr>
          <w:lang w:eastAsia="en-US"/>
        </w:rPr>
        <w:t>建筑垃圾集中处理涉及面广、环节多，必须建立多部门协作机制。</w:t>
      </w:r>
      <w:r>
        <w:rPr>
          <w:u w:val="single"/>
          <w:lang w:eastAsia="en-US"/>
        </w:rPr>
        <w:t>市城市管理和综合执法主管部门应当与公安、住房城乡建设、生态环境、交通运输等部门</w:t>
      </w:r>
      <w:r>
        <w:rPr>
          <w:lang w:eastAsia="en-US"/>
        </w:rPr>
        <w:t>建立执法联动工作机制，开展建筑垃圾管理联合执法，及时发现和查处违法违规行为，统筹推进建筑垃圾处理项目建设、日常监管及综合利用。</w:t>
      </w:r>
    </w:p>
    <w:p>
      <w:pPr>
        <w:pStyle w:val="4"/>
        <w:bidi w:val="0"/>
        <w:rPr>
          <w:lang w:eastAsia="en-US"/>
        </w:rPr>
      </w:pPr>
      <w:r>
        <w:rPr>
          <w:lang w:eastAsia="en-US"/>
        </w:rPr>
        <w:t>1、管理制度</w:t>
      </w:r>
    </w:p>
    <w:p>
      <w:pPr>
        <w:bidi w:val="0"/>
        <w:rPr>
          <w:lang w:eastAsia="en-US"/>
        </w:rPr>
      </w:pPr>
      <w:r>
        <w:rPr>
          <w:lang w:eastAsia="en-US"/>
        </w:rPr>
        <w:t>建筑垃圾管理工作实行</w:t>
      </w:r>
      <w:r>
        <w:rPr>
          <w:rFonts w:hint="eastAsia"/>
          <w:lang w:eastAsia="zh-CN"/>
        </w:rPr>
        <w:t>“</w:t>
      </w:r>
      <w:r>
        <w:rPr>
          <w:lang w:eastAsia="en-US"/>
        </w:rPr>
        <w:t>统一领导、属地为主、统筹规划、分级管理</w:t>
      </w:r>
      <w:r>
        <w:rPr>
          <w:rFonts w:hint="eastAsia"/>
          <w:lang w:eastAsia="zh-CN"/>
        </w:rPr>
        <w:t>”</w:t>
      </w:r>
      <w:r>
        <w:rPr>
          <w:lang w:eastAsia="en-US"/>
        </w:rPr>
        <w:t xml:space="preserve"> 的工作机制，建立健全</w:t>
      </w:r>
      <w:r>
        <w:rPr>
          <w:rFonts w:hint="eastAsia"/>
          <w:lang w:val="en-US" w:eastAsia="zh-CN"/>
        </w:rPr>
        <w:t>县</w:t>
      </w:r>
      <w:r>
        <w:rPr>
          <w:lang w:eastAsia="en-US"/>
        </w:rPr>
        <w:t>、乡镇、村（社区）</w:t>
      </w:r>
      <w:r>
        <w:rPr>
          <w:rFonts w:hint="eastAsia"/>
          <w:lang w:val="en-US" w:eastAsia="zh-CN"/>
        </w:rPr>
        <w:t>三</w:t>
      </w:r>
      <w:r>
        <w:rPr>
          <w:lang w:eastAsia="en-US"/>
        </w:rPr>
        <w:t>级建筑垃圾处置管理网络。</w:t>
      </w:r>
    </w:p>
    <w:p>
      <w:pPr>
        <w:bidi w:val="0"/>
        <w:rPr>
          <w:lang w:eastAsia="en-US"/>
        </w:rPr>
      </w:pPr>
      <w:r>
        <w:rPr>
          <w:rFonts w:hint="eastAsia"/>
          <w:u w:val="single"/>
          <w:lang w:val="en-US" w:eastAsia="zh-CN"/>
        </w:rPr>
        <w:t>县</w:t>
      </w:r>
      <w:r>
        <w:rPr>
          <w:u w:val="single"/>
          <w:lang w:eastAsia="en-US"/>
        </w:rPr>
        <w:t>住房和城乡建设</w:t>
      </w:r>
      <w:r>
        <w:rPr>
          <w:rFonts w:hint="eastAsia"/>
          <w:u w:val="single"/>
          <w:lang w:val="en-US" w:eastAsia="zh-CN"/>
        </w:rPr>
        <w:t>、县</w:t>
      </w:r>
      <w:r>
        <w:rPr>
          <w:u w:val="single"/>
          <w:lang w:eastAsia="en-US"/>
        </w:rPr>
        <w:t>城市管理和综合执法部门应当会同</w:t>
      </w:r>
      <w:r>
        <w:rPr>
          <w:rFonts w:hint="eastAsia"/>
          <w:u w:val="single"/>
          <w:lang w:val="en-US" w:eastAsia="zh-CN"/>
        </w:rPr>
        <w:t>县</w:t>
      </w:r>
      <w:r>
        <w:rPr>
          <w:u w:val="single"/>
          <w:lang w:eastAsia="en-US"/>
        </w:rPr>
        <w:t>人民政府</w:t>
      </w:r>
      <w:r>
        <w:rPr>
          <w:lang w:eastAsia="en-US"/>
        </w:rPr>
        <w:t>以及有关部门加强城市建筑垃圾倾倒、运输、中转、消纳、利用等处置活动的综合监管，建立建筑垃圾的考核评价机制，并依法纳入行业监管平台和社会信用体系。</w:t>
      </w:r>
    </w:p>
    <w:p>
      <w:pPr>
        <w:bidi w:val="0"/>
        <w:rPr>
          <w:lang w:eastAsia="en-US"/>
        </w:rPr>
      </w:pPr>
      <w:r>
        <w:rPr>
          <w:lang w:eastAsia="en-US"/>
        </w:rPr>
        <w:t>各乡镇应建立由行政主要领导为组长的建筑垃圾管理工作领导小组，明确本辖区建筑垃圾管理专门机构，统筹辖区内的建筑垃圾管理工作。</w:t>
      </w:r>
    </w:p>
    <w:p>
      <w:pPr>
        <w:bidi w:val="0"/>
        <w:rPr>
          <w:lang w:eastAsia="en-US"/>
        </w:rPr>
      </w:pPr>
      <w:r>
        <w:rPr>
          <w:lang w:eastAsia="en-US"/>
        </w:rPr>
        <w:t>各村（社区）协助和配合乡镇做好本区域的建筑垃圾宣传、巡查和管理工作，引导居民将建筑垃圾袋装化收集，并集中堆放至指定堆放点。对违法行为及时制止，及时向属地乡镇管理部门反映。</w:t>
      </w:r>
    </w:p>
    <w:p>
      <w:pPr>
        <w:pStyle w:val="4"/>
        <w:bidi w:val="0"/>
        <w:rPr>
          <w:lang w:eastAsia="en-US"/>
        </w:rPr>
      </w:pPr>
      <w:r>
        <w:rPr>
          <w:lang w:eastAsia="en-US"/>
        </w:rPr>
        <w:t>2、联合执法制度</w:t>
      </w:r>
    </w:p>
    <w:p>
      <w:pPr>
        <w:bidi w:val="0"/>
        <w:rPr>
          <w:lang w:eastAsia="en-US"/>
        </w:rPr>
      </w:pPr>
      <w:bookmarkStart w:id="219" w:name="OLE_LINK102"/>
      <w:bookmarkStart w:id="220" w:name="OLE_LINK101"/>
      <w:bookmarkStart w:id="221" w:name="OLE_LINK105"/>
      <w:r>
        <w:rPr>
          <w:rFonts w:hint="eastAsia"/>
          <w:u w:val="single"/>
          <w:lang w:val="en-US" w:eastAsia="zh-CN"/>
        </w:rPr>
        <w:t>县</w:t>
      </w:r>
      <w:bookmarkEnd w:id="219"/>
      <w:r>
        <w:rPr>
          <w:u w:val="single"/>
          <w:lang w:eastAsia="en-US"/>
        </w:rPr>
        <w:t>住房和城乡建设</w:t>
      </w:r>
      <w:bookmarkEnd w:id="220"/>
      <w:r>
        <w:rPr>
          <w:u w:val="single"/>
          <w:lang w:eastAsia="en-US"/>
        </w:rPr>
        <w:t>局</w:t>
      </w:r>
      <w:bookmarkEnd w:id="221"/>
      <w:r>
        <w:rPr>
          <w:u w:val="single"/>
          <w:lang w:eastAsia="en-US"/>
        </w:rPr>
        <w:t>、</w:t>
      </w:r>
      <w:r>
        <w:rPr>
          <w:rFonts w:hint="eastAsia"/>
          <w:u w:val="single"/>
          <w:lang w:val="en-US" w:eastAsia="zh-CN"/>
        </w:rPr>
        <w:t>县</w:t>
      </w:r>
      <w:r>
        <w:rPr>
          <w:u w:val="single"/>
          <w:lang w:eastAsia="en-US"/>
        </w:rPr>
        <w:t>城市管理和综合执法局、</w:t>
      </w:r>
      <w:r>
        <w:rPr>
          <w:rFonts w:hint="eastAsia"/>
          <w:u w:val="single"/>
          <w:lang w:val="en-US" w:eastAsia="zh-CN"/>
        </w:rPr>
        <w:t>县</w:t>
      </w:r>
      <w:r>
        <w:rPr>
          <w:u w:val="single"/>
          <w:lang w:eastAsia="en-US"/>
        </w:rPr>
        <w:t>生态环境局、</w:t>
      </w:r>
      <w:r>
        <w:rPr>
          <w:rFonts w:hint="eastAsia"/>
          <w:u w:val="single"/>
          <w:lang w:val="en-US" w:eastAsia="zh-CN"/>
        </w:rPr>
        <w:t>县自然资源局</w:t>
      </w:r>
      <w:r>
        <w:rPr>
          <w:u w:val="single"/>
          <w:lang w:eastAsia="en-US"/>
        </w:rPr>
        <w:t>、</w:t>
      </w:r>
      <w:r>
        <w:rPr>
          <w:rFonts w:hint="eastAsia"/>
          <w:u w:val="single"/>
          <w:lang w:val="en-US" w:eastAsia="zh-CN"/>
        </w:rPr>
        <w:t>县</w:t>
      </w:r>
      <w:r>
        <w:rPr>
          <w:u w:val="single"/>
          <w:lang w:eastAsia="en-US"/>
        </w:rPr>
        <w:t>交通运输局、</w:t>
      </w:r>
      <w:r>
        <w:rPr>
          <w:rFonts w:hint="eastAsia"/>
          <w:u w:val="single"/>
          <w:lang w:val="en-US" w:eastAsia="zh-CN"/>
        </w:rPr>
        <w:t>县</w:t>
      </w:r>
      <w:r>
        <w:rPr>
          <w:u w:val="single"/>
          <w:lang w:eastAsia="en-US"/>
        </w:rPr>
        <w:t>公安局等部门</w:t>
      </w:r>
      <w:r>
        <w:rPr>
          <w:lang w:eastAsia="en-US"/>
        </w:rPr>
        <w:t>应全面落实联勤联动机制，在切实强化日常执法管理的基础上，常态化开展联合执法行动，畅通信息共享、案件移送等渠道。优化办案流程，严厉打击私自排放、违规运输、随意倾倒建筑垃圾等违法违规行为。对违法倾倒建筑垃圾行为，除追究运输单位责任外，同步追究工程建设单位、施工单位和建筑垃圾利用、处置单位相关责任，并依法依规纳入信用管理。</w:t>
      </w:r>
    </w:p>
    <w:p>
      <w:pPr>
        <w:pStyle w:val="4"/>
        <w:bidi w:val="0"/>
        <w:rPr>
          <w:lang w:val="en-US" w:eastAsia="en-US"/>
        </w:rPr>
      </w:pPr>
      <w:r>
        <w:rPr>
          <w:lang w:eastAsia="en-US"/>
        </w:rPr>
        <w:t>3、转移联单制度</w:t>
      </w:r>
    </w:p>
    <w:p>
      <w:pPr>
        <w:bidi w:val="0"/>
        <w:rPr>
          <w:lang w:eastAsia="en-US"/>
        </w:rPr>
      </w:pPr>
      <w:r>
        <w:rPr>
          <w:lang w:eastAsia="en-US"/>
        </w:rPr>
        <w:t>建筑垃圾转移实施联单管理制度，转移联单内容包括排放单位、排放地址、建筑垃圾类别及数量、运输单位、运输工具、驾驶员、行驶路线、运输时间、消纳单位、消纳方式和排放、运输、消纳核准等信息， 自运输车辆离开排放单位时开始运转，到达预定消纳单位时结束。排放单位、运输单位和消纳单位应当分别指定工作人员在各自负责环节进行联单信息核对、确认，各联单确认人是联单管理的直接责任人。转移联单形式推行电子联单信息化管理，因条件等限制不能实施信息化管理的，应当采取纸质联单管理留存备查。</w:t>
      </w:r>
    </w:p>
    <w:p>
      <w:pPr>
        <w:pStyle w:val="4"/>
        <w:bidi w:val="0"/>
        <w:rPr>
          <w:lang w:eastAsia="en-US"/>
        </w:rPr>
      </w:pPr>
      <w:r>
        <w:rPr>
          <w:lang w:eastAsia="en-US"/>
        </w:rPr>
        <w:t>4、建筑垃圾处置核准制度</w:t>
      </w:r>
    </w:p>
    <w:p>
      <w:pPr>
        <w:bidi w:val="0"/>
        <w:rPr>
          <w:lang w:eastAsia="en-US"/>
        </w:rPr>
      </w:pPr>
      <w:r>
        <w:rPr>
          <w:lang w:eastAsia="en-US"/>
        </w:rPr>
        <w:t>从事建筑垃圾处置活动的单位，应当向</w:t>
      </w:r>
      <w:r>
        <w:rPr>
          <w:rFonts w:hint="eastAsia"/>
          <w:u w:val="single"/>
          <w:lang w:val="en-US" w:eastAsia="zh-CN"/>
        </w:rPr>
        <w:t>县</w:t>
      </w:r>
      <w:r>
        <w:rPr>
          <w:u w:val="single"/>
          <w:lang w:eastAsia="en-US"/>
        </w:rPr>
        <w:t>城市管理和综合执法部门</w:t>
      </w:r>
      <w:r>
        <w:rPr>
          <w:lang w:eastAsia="en-US"/>
        </w:rPr>
        <w:t>提出申请，办理建筑垃圾处置，许可包括产生许可、运输许可和处置许可。工程施工单位应编制建筑垃圾处置方案，报</w:t>
      </w:r>
      <w:bookmarkStart w:id="222" w:name="OLE_LINK103"/>
      <w:r>
        <w:rPr>
          <w:rFonts w:hint="eastAsia"/>
          <w:u w:val="single"/>
          <w:lang w:val="en-US" w:eastAsia="zh-CN"/>
        </w:rPr>
        <w:t>县</w:t>
      </w:r>
      <w:bookmarkEnd w:id="222"/>
      <w:r>
        <w:rPr>
          <w:u w:val="single"/>
          <w:lang w:eastAsia="en-US"/>
        </w:rPr>
        <w:t>城市管理和综合执法部门</w:t>
      </w:r>
      <w:r>
        <w:rPr>
          <w:lang w:eastAsia="en-US"/>
        </w:rPr>
        <w:t>备案。</w:t>
      </w:r>
    </w:p>
    <w:p>
      <w:pPr>
        <w:pStyle w:val="4"/>
        <w:bidi w:val="0"/>
        <w:rPr>
          <w:lang w:eastAsia="en-US"/>
        </w:rPr>
      </w:pPr>
      <w:r>
        <w:rPr>
          <w:lang w:eastAsia="en-US"/>
        </w:rPr>
        <w:t>5、市场准入机制</w:t>
      </w:r>
    </w:p>
    <w:p>
      <w:pPr>
        <w:bidi w:val="0"/>
        <w:rPr>
          <w:lang w:eastAsia="en-US"/>
        </w:rPr>
      </w:pPr>
      <w:r>
        <w:rPr>
          <w:lang w:eastAsia="en-US"/>
        </w:rPr>
        <w:t>从事建筑垃圾收运、处理的企业，从企业规模、车辆配置要求、环保要求等多方面划定行业准入门槛。通过资质管控，一方面逐步提高处理企业的资源化利用水平，另一方面逐步提高运输企业的规范性，逐步淘汰不符合要求的企业及运输车辆。</w:t>
      </w:r>
    </w:p>
    <w:p>
      <w:pPr>
        <w:pStyle w:val="4"/>
        <w:bidi w:val="0"/>
        <w:rPr>
          <w:lang w:eastAsia="en-US"/>
        </w:rPr>
      </w:pPr>
      <w:r>
        <w:rPr>
          <w:lang w:eastAsia="en-US"/>
        </w:rPr>
        <w:t>6、运输监督机制</w:t>
      </w:r>
    </w:p>
    <w:p>
      <w:pPr>
        <w:bidi w:val="0"/>
        <w:rPr>
          <w:lang w:eastAsia="en-US"/>
        </w:rPr>
      </w:pPr>
      <w:r>
        <w:rPr>
          <w:lang w:eastAsia="en-US"/>
        </w:rPr>
        <w:t>逐步完善车辆定位系统和视频监视装置，建筑垃圾运输车的年检由</w:t>
      </w:r>
      <w:r>
        <w:rPr>
          <w:rFonts w:hint="eastAsia"/>
          <w:lang w:val="en-US" w:eastAsia="zh-CN"/>
        </w:rPr>
        <w:t>桃江县</w:t>
      </w:r>
      <w:r>
        <w:rPr>
          <w:lang w:eastAsia="en-US"/>
        </w:rPr>
        <w:t>机动车检验机构结合机动车辆安全技术检验（包括新车上牌检验）、营运车辆综合性能检验中相关检验项目进行。运输单位应按核准的路线和时间行驶，至批准的地点处理处置建筑垃圾，运输过程中不得超重、超载、超速。</w:t>
      </w:r>
    </w:p>
    <w:p>
      <w:pPr>
        <w:pStyle w:val="4"/>
        <w:bidi w:val="0"/>
        <w:rPr>
          <w:lang w:eastAsia="zh-CN"/>
        </w:rPr>
      </w:pPr>
      <w:r>
        <w:rPr>
          <w:rFonts w:hint="eastAsia"/>
          <w:lang w:val="en-US" w:eastAsia="zh-CN"/>
        </w:rPr>
        <w:t>7、</w:t>
      </w:r>
      <w:r>
        <w:rPr>
          <w:lang w:eastAsia="zh-CN"/>
        </w:rPr>
        <w:t>生态环境补偿制度</w:t>
      </w:r>
    </w:p>
    <w:p>
      <w:pPr>
        <w:bidi w:val="0"/>
        <w:rPr>
          <w:lang w:eastAsia="zh-CN"/>
        </w:rPr>
      </w:pPr>
      <w:r>
        <w:rPr>
          <w:lang w:eastAsia="zh-CN"/>
        </w:rPr>
        <w:t>按照</w:t>
      </w:r>
      <w:r>
        <w:rPr>
          <w:rFonts w:hint="eastAsia"/>
          <w:lang w:eastAsia="zh-CN"/>
        </w:rPr>
        <w:t>“</w:t>
      </w:r>
      <w:r>
        <w:rPr>
          <w:lang w:eastAsia="zh-CN"/>
        </w:rPr>
        <w:t>谁产生谁治理、谁污染谁付费</w:t>
      </w:r>
      <w:r>
        <w:rPr>
          <w:rFonts w:hint="eastAsia"/>
          <w:lang w:eastAsia="zh-CN"/>
        </w:rPr>
        <w:t>”</w:t>
      </w:r>
      <w:r>
        <w:rPr>
          <w:lang w:eastAsia="zh-CN"/>
        </w:rPr>
        <w:t>的原则探索建立相关制度，引导社会资本参与建筑垃圾专用消纳场地建设和投资，结合市场标准和双方协商确定收费依据，推动建筑垃圾运输和处置市场规范化发展。</w:t>
      </w:r>
    </w:p>
    <w:p>
      <w:pPr>
        <w:pStyle w:val="4"/>
        <w:bidi w:val="0"/>
        <w:rPr>
          <w:lang w:eastAsia="zh-CN"/>
        </w:rPr>
      </w:pPr>
      <w:r>
        <w:rPr>
          <w:rFonts w:hint="eastAsia"/>
          <w:lang w:val="en-US" w:eastAsia="zh-CN"/>
        </w:rPr>
        <w:t>8、</w:t>
      </w:r>
      <w:r>
        <w:rPr>
          <w:lang w:eastAsia="zh-CN"/>
        </w:rPr>
        <w:t>投诉举报制度</w:t>
      </w:r>
    </w:p>
    <w:p>
      <w:pPr>
        <w:bidi w:val="0"/>
        <w:rPr>
          <w:lang w:eastAsia="zh-CN"/>
        </w:rPr>
      </w:pPr>
      <w:r>
        <w:rPr>
          <w:rFonts w:hint="eastAsia" w:ascii="仿宋" w:hAnsi="仿宋" w:eastAsia="仿宋" w:cs="仿宋"/>
          <w:u w:val="single"/>
          <w:lang w:val="en-US" w:eastAsia="zh-CN"/>
        </w:rPr>
        <w:t>县</w:t>
      </w:r>
      <w:r>
        <w:rPr>
          <w:u w:val="single"/>
          <w:lang w:eastAsia="en-US"/>
        </w:rPr>
        <w:t>住房和城乡建设局</w:t>
      </w:r>
      <w:r>
        <w:rPr>
          <w:lang w:eastAsia="zh-CN"/>
        </w:rPr>
        <w:t>建立完善投诉举报制度</w:t>
      </w:r>
      <w:bookmarkStart w:id="223" w:name="OLE_LINK104"/>
      <w:r>
        <w:rPr>
          <w:lang w:eastAsia="zh-CN"/>
        </w:rPr>
        <w:t>，接受公众对非法处置建筑垃圾行为的投诉和举报，</w:t>
      </w:r>
      <w:bookmarkEnd w:id="223"/>
      <w:r>
        <w:rPr>
          <w:lang w:eastAsia="zh-CN"/>
        </w:rPr>
        <w:t>并为投诉人或者举报人保密。对群众举报、媒体曝光、上级部门转办或其他部门移交查处的施工车辆撒漏、乱倒案件等及时调查处理，对责任单位书面责成其限时清理，并及时消除影响和隐患。</w:t>
      </w:r>
    </w:p>
    <w:p>
      <w:pPr>
        <w:pStyle w:val="3"/>
        <w:bidi w:val="0"/>
        <w:rPr>
          <w:rFonts w:hint="eastAsia" w:ascii="楷体" w:hAnsi="楷体" w:eastAsia="楷体" w:cs="楷体"/>
          <w:sz w:val="28"/>
          <w:szCs w:val="28"/>
          <w:lang w:eastAsia="en-US"/>
        </w:rPr>
      </w:pPr>
      <w:bookmarkStart w:id="224" w:name="bookmark109"/>
      <w:bookmarkEnd w:id="224"/>
      <w:bookmarkStart w:id="225" w:name="bookmark110"/>
      <w:bookmarkEnd w:id="225"/>
      <w:bookmarkStart w:id="226" w:name="_Toc5779"/>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二</w:t>
      </w:r>
      <w:r>
        <w:rPr>
          <w:rFonts w:hint="eastAsia" w:ascii="楷体" w:hAnsi="楷体" w:eastAsia="楷体" w:cs="楷体"/>
          <w:sz w:val="28"/>
          <w:szCs w:val="28"/>
          <w:lang w:eastAsia="zh-CN"/>
        </w:rPr>
        <w:t>）</w:t>
      </w:r>
      <w:r>
        <w:rPr>
          <w:rFonts w:hint="eastAsia" w:ascii="楷体" w:hAnsi="楷体" w:eastAsia="楷体" w:cs="楷体"/>
          <w:sz w:val="28"/>
          <w:szCs w:val="28"/>
          <w:lang w:eastAsia="en-US"/>
        </w:rPr>
        <w:t>部门协同监管规划</w:t>
      </w:r>
      <w:bookmarkEnd w:id="226"/>
    </w:p>
    <w:p>
      <w:pPr>
        <w:pStyle w:val="4"/>
        <w:bidi w:val="0"/>
        <w:rPr>
          <w:lang w:eastAsia="en-US"/>
        </w:rPr>
      </w:pPr>
      <w:r>
        <w:rPr>
          <w:rFonts w:hint="eastAsia"/>
          <w:lang w:val="en-US" w:eastAsia="zh-CN"/>
        </w:rPr>
        <w:t>1</w:t>
      </w:r>
      <w:r>
        <w:rPr>
          <w:lang w:eastAsia="en-US"/>
        </w:rPr>
        <w:t>、</w:t>
      </w:r>
      <w:r>
        <w:rPr>
          <w:rFonts w:hint="eastAsia"/>
          <w:lang w:val="en-US" w:eastAsia="zh-CN"/>
        </w:rPr>
        <w:t>县</w:t>
      </w:r>
      <w:r>
        <w:rPr>
          <w:lang w:eastAsia="en-US"/>
        </w:rPr>
        <w:t>住房城乡建设部门</w:t>
      </w:r>
    </w:p>
    <w:p>
      <w:pPr>
        <w:bidi w:val="0"/>
        <w:rPr>
          <w:lang w:eastAsia="en-US"/>
        </w:rPr>
      </w:pPr>
      <w:r>
        <w:rPr>
          <w:lang w:eastAsia="en-US"/>
        </w:rPr>
        <w:t>（1）指导、协调、监督全</w:t>
      </w:r>
      <w:bookmarkStart w:id="227" w:name="OLE_LINK106"/>
      <w:r>
        <w:rPr>
          <w:rFonts w:hint="eastAsia"/>
          <w:lang w:val="en-US" w:eastAsia="zh-CN"/>
        </w:rPr>
        <w:t>县</w:t>
      </w:r>
      <w:bookmarkEnd w:id="227"/>
      <w:r>
        <w:rPr>
          <w:lang w:eastAsia="en-US"/>
        </w:rPr>
        <w:t>城市建筑垃圾管理和资源化利用工作，建立健全协同监管工作机制。</w:t>
      </w:r>
    </w:p>
    <w:p>
      <w:pPr>
        <w:bidi w:val="0"/>
        <w:rPr>
          <w:lang w:eastAsia="en-US"/>
        </w:rPr>
      </w:pPr>
      <w:r>
        <w:rPr>
          <w:lang w:eastAsia="en-US"/>
        </w:rPr>
        <w:t>（</w:t>
      </w:r>
      <w:r>
        <w:rPr>
          <w:rFonts w:hint="eastAsia"/>
          <w:lang w:val="en-US" w:eastAsia="zh-CN"/>
        </w:rPr>
        <w:t>2</w:t>
      </w:r>
      <w:r>
        <w:rPr>
          <w:lang w:eastAsia="en-US"/>
        </w:rPr>
        <w:t>）加强全</w:t>
      </w:r>
      <w:bookmarkStart w:id="228" w:name="OLE_LINK107"/>
      <w:r>
        <w:rPr>
          <w:rFonts w:hint="eastAsia" w:ascii="仿宋" w:hAnsi="仿宋" w:eastAsia="仿宋" w:cs="仿宋"/>
          <w:lang w:val="en-US" w:eastAsia="zh-CN"/>
        </w:rPr>
        <w:t>县</w:t>
      </w:r>
      <w:bookmarkEnd w:id="228"/>
      <w:r>
        <w:rPr>
          <w:lang w:eastAsia="en-US"/>
        </w:rPr>
        <w:t>房屋市政工程建筑垃圾源头管控，督促建设单位将建筑垃圾减量化目标和要求纳入工程设计、施工招标文件和相关合同文本，将建筑垃圾减量化措施费纳入工程概算。</w:t>
      </w:r>
    </w:p>
    <w:p>
      <w:pPr>
        <w:bidi w:val="0"/>
        <w:rPr>
          <w:lang w:eastAsia="en-US"/>
        </w:rPr>
      </w:pPr>
      <w:r>
        <w:rPr>
          <w:lang w:eastAsia="en-US"/>
        </w:rPr>
        <w:t>（</w:t>
      </w:r>
      <w:r>
        <w:rPr>
          <w:rFonts w:hint="eastAsia"/>
          <w:lang w:val="en-US" w:eastAsia="zh-CN"/>
        </w:rPr>
        <w:t>3</w:t>
      </w:r>
      <w:r>
        <w:rPr>
          <w:lang w:eastAsia="en-US"/>
        </w:rPr>
        <w:t>）组织施工图审查机构对施工图设计文件涉及建筑垃圾源头减量内容及相关技术措施进行审查。</w:t>
      </w:r>
    </w:p>
    <w:p>
      <w:pPr>
        <w:bidi w:val="0"/>
        <w:rPr>
          <w:lang w:eastAsia="en-US"/>
        </w:rPr>
      </w:pPr>
      <w:r>
        <w:rPr>
          <w:lang w:eastAsia="en-US"/>
        </w:rPr>
        <w:t>（</w:t>
      </w:r>
      <w:r>
        <w:rPr>
          <w:rFonts w:hint="eastAsia"/>
          <w:lang w:val="en-US" w:eastAsia="zh-CN"/>
        </w:rPr>
        <w:t>4</w:t>
      </w:r>
      <w:r>
        <w:rPr>
          <w:lang w:eastAsia="en-US"/>
        </w:rPr>
        <w:t>）</w:t>
      </w:r>
      <w:bookmarkStart w:id="229" w:name="OLE_LINK108"/>
      <w:r>
        <w:rPr>
          <w:lang w:eastAsia="en-US"/>
        </w:rPr>
        <w:t>将建筑垃圾源头管理落实情况纳入属地项目施工日常监督等内容，对不按图纸进行施工、未落实源头减量措施等行为视情形依法责令限期整改、信用惩戒，及时向</w:t>
      </w:r>
      <w:bookmarkEnd w:id="229"/>
      <w:bookmarkStart w:id="230" w:name="OLE_LINK109"/>
      <w:r>
        <w:rPr>
          <w:rFonts w:hint="eastAsia"/>
          <w:lang w:val="en-US" w:eastAsia="zh-CN"/>
        </w:rPr>
        <w:t>县</w:t>
      </w:r>
      <w:bookmarkEnd w:id="230"/>
      <w:r>
        <w:rPr>
          <w:lang w:eastAsia="en-US"/>
        </w:rPr>
        <w:t>城市管理和综合执法部门移送违法违规线索。</w:t>
      </w:r>
    </w:p>
    <w:p>
      <w:pPr>
        <w:bidi w:val="0"/>
        <w:rPr>
          <w:lang w:eastAsia="en-US"/>
        </w:rPr>
      </w:pPr>
      <w:r>
        <w:rPr>
          <w:lang w:eastAsia="en-US"/>
        </w:rPr>
        <w:t>（</w:t>
      </w:r>
      <w:r>
        <w:rPr>
          <w:rFonts w:hint="eastAsia"/>
          <w:lang w:val="en-US" w:eastAsia="zh-CN"/>
        </w:rPr>
        <w:t>5</w:t>
      </w:r>
      <w:r>
        <w:rPr>
          <w:lang w:eastAsia="en-US"/>
        </w:rPr>
        <w:t>）督促施工单位编制建筑垃圾处理方案，并报市城市管理和综合执法部门备案。督促施工单位建立建筑垃圾排放公示制度，在施工现场显著位置公示建筑垃圾处置核准（产生）证明及建筑垃圾种类、排放量、运输及处置方案等。督促施工单位执行建筑垃圾源头减量限额排放标准，施工现场落实分类收集、分类堆放。督促施工单位配备建筑垃圾计量设备，建立完整规范的建筑垃圾信息化管理台账。</w:t>
      </w:r>
    </w:p>
    <w:p>
      <w:pPr>
        <w:bidi w:val="0"/>
        <w:rPr>
          <w:lang w:eastAsia="en-US"/>
        </w:rPr>
      </w:pPr>
      <w:r>
        <w:rPr>
          <w:lang w:eastAsia="en-US"/>
        </w:rPr>
        <w:t>（</w:t>
      </w:r>
      <w:r>
        <w:rPr>
          <w:rFonts w:hint="eastAsia"/>
          <w:lang w:val="en-US" w:eastAsia="zh-CN"/>
        </w:rPr>
        <w:t>6</w:t>
      </w:r>
      <w:r>
        <w:rPr>
          <w:lang w:eastAsia="en-US"/>
        </w:rPr>
        <w:t>）及时采集和定期发布建筑垃圾再生产品价格信息；将建筑垃圾管理和资源化利用工作落实情况作为文明施工内容纳入建筑施工安全质量标准化考评；将建筑垃圾再生产品使用情况纳入绿色建筑星级评定、绿色施工工地确定、绿色建造项目评定等内容。</w:t>
      </w:r>
    </w:p>
    <w:p>
      <w:pPr>
        <w:bidi w:val="0"/>
        <w:rPr>
          <w:lang w:eastAsia="en-US"/>
        </w:rPr>
      </w:pPr>
      <w:r>
        <w:rPr>
          <w:lang w:eastAsia="en-US"/>
        </w:rPr>
        <w:t>（</w:t>
      </w:r>
      <w:r>
        <w:rPr>
          <w:rFonts w:hint="eastAsia"/>
          <w:lang w:val="en-US" w:eastAsia="zh-CN"/>
        </w:rPr>
        <w:t>7</w:t>
      </w:r>
      <w:r>
        <w:rPr>
          <w:lang w:eastAsia="en-US"/>
        </w:rPr>
        <w:t>）制定出台再生产品强制应用、建筑垃圾再生产品重点推广应用项目清单等配套政策，并会同相关部门监督落实。</w:t>
      </w:r>
    </w:p>
    <w:p>
      <w:pPr>
        <w:bidi w:val="0"/>
        <w:rPr>
          <w:lang w:eastAsia="en-US"/>
        </w:rPr>
      </w:pPr>
      <w:r>
        <w:rPr>
          <w:lang w:eastAsia="en-US"/>
        </w:rPr>
        <w:t>（</w:t>
      </w:r>
      <w:r>
        <w:rPr>
          <w:rFonts w:hint="eastAsia"/>
          <w:lang w:val="en-US" w:eastAsia="zh-CN"/>
        </w:rPr>
        <w:t>8</w:t>
      </w:r>
      <w:r>
        <w:rPr>
          <w:lang w:eastAsia="en-US"/>
        </w:rPr>
        <w:t>）指导建筑垃圾再生产品在房屋市政工程建设领域的应用推广，在国有投资的房屋市政建设项目中优先使用符合技术指标、设计要求的建筑垃圾再生产品。</w:t>
      </w:r>
    </w:p>
    <w:p>
      <w:pPr>
        <w:bidi w:val="0"/>
        <w:rPr>
          <w:lang w:eastAsia="en-US"/>
        </w:rPr>
      </w:pPr>
      <w:r>
        <w:rPr>
          <w:lang w:eastAsia="en-US"/>
        </w:rPr>
        <w:t>（</w:t>
      </w:r>
      <w:r>
        <w:rPr>
          <w:rFonts w:hint="eastAsia"/>
          <w:lang w:val="en-US" w:eastAsia="zh-CN"/>
        </w:rPr>
        <w:t>9</w:t>
      </w:r>
      <w:r>
        <w:rPr>
          <w:lang w:eastAsia="en-US"/>
        </w:rPr>
        <w:t>）加强工程投资额在30万元以上或者装饰装修面积在300平方米以上装饰装修工程的日常监管，并指导申请人完善报建手续，做好装饰装修工程中产生的建筑垃圾的资源化利用。</w:t>
      </w:r>
    </w:p>
    <w:p>
      <w:pPr>
        <w:bidi w:val="0"/>
        <w:rPr>
          <w:lang w:eastAsia="en-US"/>
        </w:rPr>
      </w:pPr>
      <w:r>
        <w:rPr>
          <w:lang w:eastAsia="en-US"/>
        </w:rPr>
        <w:t>（</w:t>
      </w:r>
      <w:r>
        <w:rPr>
          <w:rFonts w:hint="eastAsia"/>
          <w:lang w:val="en-US" w:eastAsia="zh-CN"/>
        </w:rPr>
        <w:t>10</w:t>
      </w:r>
      <w:r>
        <w:rPr>
          <w:lang w:eastAsia="en-US"/>
        </w:rPr>
        <w:t>）指导和督促物业服务企业做好物业小区建筑垃圾分类管理和处置工作，及时向城市管理和综合执法部门移送违法违规线索。</w:t>
      </w:r>
    </w:p>
    <w:p>
      <w:pPr>
        <w:bidi w:val="0"/>
        <w:rPr>
          <w:lang w:eastAsia="en-US"/>
        </w:rPr>
      </w:pPr>
      <w:r>
        <w:rPr>
          <w:lang w:eastAsia="en-US"/>
        </w:rPr>
        <w:t>（</w:t>
      </w:r>
      <w:r>
        <w:rPr>
          <w:rFonts w:hint="eastAsia"/>
          <w:lang w:val="en-US" w:eastAsia="zh-CN"/>
        </w:rPr>
        <w:t>11</w:t>
      </w:r>
      <w:r>
        <w:rPr>
          <w:lang w:eastAsia="en-US"/>
        </w:rPr>
        <w:t>）及时提供建筑垃圾管理相关信息，实现信息互通共享。</w:t>
      </w:r>
    </w:p>
    <w:p>
      <w:pPr>
        <w:pStyle w:val="4"/>
        <w:bidi w:val="0"/>
        <w:rPr>
          <w:lang w:eastAsia="en-US"/>
        </w:rPr>
      </w:pPr>
      <w:r>
        <w:rPr>
          <w:rFonts w:hint="eastAsia"/>
          <w:lang w:val="en-US" w:eastAsia="zh-CN"/>
        </w:rPr>
        <w:t>2</w:t>
      </w:r>
      <w:r>
        <w:rPr>
          <w:lang w:eastAsia="en-US"/>
        </w:rPr>
        <w:t>、</w:t>
      </w:r>
      <w:r>
        <w:rPr>
          <w:rFonts w:hint="eastAsia"/>
          <w:lang w:val="en-US" w:eastAsia="zh-CN"/>
        </w:rPr>
        <w:t>县</w:t>
      </w:r>
      <w:r>
        <w:rPr>
          <w:lang w:eastAsia="en-US"/>
        </w:rPr>
        <w:t>城市管理和综合执法部门</w:t>
      </w:r>
    </w:p>
    <w:p>
      <w:pPr>
        <w:bidi w:val="0"/>
        <w:rPr>
          <w:rFonts w:hint="eastAsia" w:ascii="仿宋" w:hAnsi="仿宋" w:eastAsia="仿宋" w:cs="仿宋"/>
          <w:lang w:eastAsia="en-US"/>
        </w:rPr>
      </w:pPr>
      <w:r>
        <w:rPr>
          <w:lang w:eastAsia="en-US"/>
        </w:rPr>
        <w:t>（</w:t>
      </w:r>
      <w:r>
        <w:rPr>
          <w:rFonts w:hint="eastAsia"/>
          <w:lang w:val="en-US" w:eastAsia="zh-CN"/>
        </w:rPr>
        <w:t>1</w:t>
      </w:r>
      <w:r>
        <w:rPr>
          <w:lang w:eastAsia="en-US"/>
        </w:rPr>
        <w:t>）</w:t>
      </w:r>
      <w:r>
        <w:rPr>
          <w:rFonts w:hint="eastAsia" w:ascii="仿宋" w:hAnsi="仿宋" w:eastAsia="仿宋" w:cs="仿宋"/>
          <w:lang w:eastAsia="en-US"/>
        </w:rPr>
        <w:t>对</w:t>
      </w:r>
      <w:r>
        <w:rPr>
          <w:rFonts w:hint="eastAsia" w:ascii="仿宋" w:hAnsi="仿宋" w:eastAsia="仿宋" w:cs="仿宋"/>
          <w:lang w:val="en-US" w:eastAsia="zh-CN"/>
        </w:rPr>
        <w:t>县</w:t>
      </w:r>
      <w:r>
        <w:rPr>
          <w:rFonts w:hint="eastAsia" w:ascii="仿宋" w:hAnsi="仿宋" w:eastAsia="仿宋" w:cs="仿宋"/>
          <w:lang w:eastAsia="en-US"/>
        </w:rPr>
        <w:t>中心城区建筑垃圾产生、运输、处置等活动进行全过程监管，负责辖区范围内建筑垃圾处置核准许可和行政执法工作，依法查处辖区范围内擅</w:t>
      </w:r>
      <w:bookmarkStart w:id="231" w:name="bookmark168"/>
      <w:bookmarkEnd w:id="231"/>
      <w:r>
        <w:rPr>
          <w:rFonts w:hint="eastAsia" w:ascii="仿宋" w:hAnsi="仿宋" w:eastAsia="仿宋" w:cs="仿宋"/>
          <w:lang w:eastAsia="en-US"/>
        </w:rPr>
        <w:t>自倾倒抛撒、堆放建筑垃圾和违反建筑垃圾处置规定的违法行为。</w:t>
      </w:r>
    </w:p>
    <w:p>
      <w:pPr>
        <w:bidi w:val="0"/>
        <w:rPr>
          <w:lang w:eastAsia="en-US"/>
        </w:rPr>
      </w:pPr>
      <w:r>
        <w:rPr>
          <w:lang w:eastAsia="en-US"/>
        </w:rPr>
        <w:t>（</w:t>
      </w:r>
      <w:r>
        <w:rPr>
          <w:rFonts w:hint="eastAsia"/>
          <w:lang w:val="en-US" w:eastAsia="zh-CN"/>
        </w:rPr>
        <w:t>2</w:t>
      </w:r>
      <w:r>
        <w:rPr>
          <w:lang w:eastAsia="en-US"/>
        </w:rPr>
        <w:t>）会同</w:t>
      </w:r>
      <w:r>
        <w:rPr>
          <w:rFonts w:hint="eastAsia" w:ascii="仿宋" w:hAnsi="仿宋" w:eastAsia="仿宋" w:cs="仿宋"/>
          <w:lang w:val="en-US" w:eastAsia="zh-CN"/>
        </w:rPr>
        <w:t>县</w:t>
      </w:r>
      <w:r>
        <w:rPr>
          <w:lang w:eastAsia="en-US"/>
        </w:rPr>
        <w:t>发展改革、财政、自然资源和规划、生态环境、</w:t>
      </w:r>
      <w:bookmarkStart w:id="232" w:name="OLE_LINK110"/>
      <w:r>
        <w:rPr>
          <w:lang w:eastAsia="en-US"/>
        </w:rPr>
        <w:t>住房城乡建设等部门及相关区人民政府，将建筑垃圾堆填场、综合利用等设施的设置纳入城市市容环境卫生专项规划</w:t>
      </w:r>
      <w:r>
        <w:rPr>
          <w:rFonts w:hint="eastAsia"/>
          <w:lang w:eastAsia="zh-CN"/>
        </w:rPr>
        <w:t>；</w:t>
      </w:r>
      <w:r>
        <w:rPr>
          <w:lang w:eastAsia="en-US"/>
        </w:rPr>
        <w:t>制定建筑垃圾处置设</w:t>
      </w:r>
      <w:bookmarkEnd w:id="232"/>
      <w:r>
        <w:rPr>
          <w:lang w:eastAsia="en-US"/>
        </w:rPr>
        <w:t>施建设运营指南，监督指导建筑垃圾处置单位规范建设运营。</w:t>
      </w:r>
    </w:p>
    <w:p>
      <w:pPr>
        <w:bidi w:val="0"/>
        <w:rPr>
          <w:lang w:eastAsia="en-US"/>
        </w:rPr>
      </w:pPr>
      <w:r>
        <w:rPr>
          <w:lang w:eastAsia="en-US"/>
        </w:rPr>
        <w:t>（</w:t>
      </w:r>
      <w:r>
        <w:rPr>
          <w:rFonts w:hint="eastAsia"/>
          <w:lang w:val="en-US" w:eastAsia="zh-CN"/>
        </w:rPr>
        <w:t>3</w:t>
      </w:r>
      <w:r>
        <w:rPr>
          <w:lang w:eastAsia="en-US"/>
        </w:rPr>
        <w:t>）及时汇总并公布建筑垃圾堆填场以及建筑垃圾综合利用需求等信息，并根据</w:t>
      </w:r>
      <w:r>
        <w:rPr>
          <w:rFonts w:hint="eastAsia"/>
          <w:lang w:val="en-US" w:eastAsia="zh-CN"/>
        </w:rPr>
        <w:t>县</w:t>
      </w:r>
      <w:r>
        <w:rPr>
          <w:lang w:eastAsia="en-US"/>
        </w:rPr>
        <w:t>中心城区建筑垃圾的处置情况，合理安排建设单位、施工单位和建筑垃圾综合利用企业交换利用建筑垃圾。</w:t>
      </w:r>
    </w:p>
    <w:p>
      <w:pPr>
        <w:bidi w:val="0"/>
        <w:rPr>
          <w:lang w:eastAsia="en-US"/>
        </w:rPr>
      </w:pPr>
      <w:r>
        <w:rPr>
          <w:lang w:eastAsia="en-US"/>
        </w:rPr>
        <w:t>（</w:t>
      </w:r>
      <w:r>
        <w:rPr>
          <w:rFonts w:hint="eastAsia"/>
          <w:lang w:val="en-US" w:eastAsia="zh-CN"/>
        </w:rPr>
        <w:t>4</w:t>
      </w:r>
      <w:r>
        <w:rPr>
          <w:lang w:eastAsia="en-US"/>
        </w:rPr>
        <w:t>）建立建筑垃圾信息监督管理平台，将建筑垃圾监督管理工作纳入数字化城市管理系统。</w:t>
      </w:r>
    </w:p>
    <w:p>
      <w:pPr>
        <w:bidi w:val="0"/>
        <w:rPr>
          <w:lang w:eastAsia="en-US"/>
        </w:rPr>
      </w:pPr>
      <w:r>
        <w:rPr>
          <w:lang w:eastAsia="en-US"/>
        </w:rPr>
        <w:t>（</w:t>
      </w:r>
      <w:r>
        <w:rPr>
          <w:rFonts w:hint="eastAsia"/>
          <w:lang w:val="en-US" w:eastAsia="zh-CN"/>
        </w:rPr>
        <w:t>5</w:t>
      </w:r>
      <w:r>
        <w:rPr>
          <w:lang w:eastAsia="en-US"/>
        </w:rPr>
        <w:t>）推行建筑垃圾产生、运输、处置全过程联单管理制度。</w:t>
      </w:r>
    </w:p>
    <w:p>
      <w:pPr>
        <w:bidi w:val="0"/>
        <w:rPr>
          <w:lang w:eastAsia="en-US"/>
        </w:rPr>
      </w:pPr>
      <w:r>
        <w:rPr>
          <w:lang w:eastAsia="en-US"/>
        </w:rPr>
        <w:t>（</w:t>
      </w:r>
      <w:r>
        <w:rPr>
          <w:rFonts w:hint="eastAsia"/>
          <w:lang w:val="en-US" w:eastAsia="zh-CN"/>
        </w:rPr>
        <w:t>6</w:t>
      </w:r>
      <w:r>
        <w:rPr>
          <w:lang w:eastAsia="en-US"/>
        </w:rPr>
        <w:t>）</w:t>
      </w:r>
      <w:r>
        <w:rPr>
          <w:u w:val="single"/>
          <w:lang w:eastAsia="en-US"/>
        </w:rPr>
        <w:t>与公安、住房城乡建设、生态环境、应急、交通运输等部门</w:t>
      </w:r>
      <w:r>
        <w:rPr>
          <w:lang w:eastAsia="en-US"/>
        </w:rPr>
        <w:t>建立执法联动工作机制，开展建筑垃圾管理联合执法。</w:t>
      </w:r>
    </w:p>
    <w:p>
      <w:pPr>
        <w:pStyle w:val="4"/>
        <w:bidi w:val="0"/>
        <w:rPr>
          <w:lang w:eastAsia="en-US"/>
        </w:rPr>
      </w:pPr>
      <w:r>
        <w:rPr>
          <w:lang w:eastAsia="en-US"/>
        </w:rPr>
        <w:t>3、</w:t>
      </w:r>
      <w:r>
        <w:rPr>
          <w:rFonts w:hint="eastAsia"/>
          <w:lang w:val="en-US" w:eastAsia="zh-CN"/>
        </w:rPr>
        <w:t>县</w:t>
      </w:r>
      <w:r>
        <w:rPr>
          <w:lang w:eastAsia="en-US"/>
        </w:rPr>
        <w:t>发展改革部门</w:t>
      </w:r>
    </w:p>
    <w:p>
      <w:pPr>
        <w:bidi w:val="0"/>
        <w:rPr>
          <w:lang w:eastAsia="en-US"/>
        </w:rPr>
      </w:pPr>
      <w:r>
        <w:rPr>
          <w:lang w:eastAsia="en-US"/>
        </w:rPr>
        <w:t>规范建筑垃圾资源化利用项目立项审批，组织符合条件的建筑垃圾资源化利用项目申报国省预算内资金。</w:t>
      </w:r>
    </w:p>
    <w:p>
      <w:pPr>
        <w:pStyle w:val="4"/>
        <w:bidi w:val="0"/>
        <w:rPr>
          <w:lang w:eastAsia="en-US"/>
        </w:rPr>
      </w:pPr>
      <w:r>
        <w:rPr>
          <w:lang w:eastAsia="en-US"/>
        </w:rPr>
        <w:t>4、</w:t>
      </w:r>
      <w:r>
        <w:rPr>
          <w:rFonts w:hint="eastAsia"/>
          <w:lang w:val="en-US" w:eastAsia="zh-CN"/>
        </w:rPr>
        <w:t>县</w:t>
      </w:r>
      <w:r>
        <w:rPr>
          <w:lang w:eastAsia="en-US"/>
        </w:rPr>
        <w:t>科学和技术部门</w:t>
      </w:r>
    </w:p>
    <w:p>
      <w:pPr>
        <w:bidi w:val="0"/>
        <w:rPr>
          <w:lang w:eastAsia="en-US"/>
        </w:rPr>
      </w:pPr>
      <w:r>
        <w:rPr>
          <w:lang w:eastAsia="en-US"/>
        </w:rPr>
        <w:t>支持建筑垃圾资源化利用技术及装备研发。</w:t>
      </w:r>
    </w:p>
    <w:p>
      <w:pPr>
        <w:pStyle w:val="4"/>
        <w:bidi w:val="0"/>
        <w:rPr>
          <w:lang w:eastAsia="en-US"/>
        </w:rPr>
      </w:pPr>
      <w:r>
        <w:rPr>
          <w:lang w:eastAsia="en-US"/>
        </w:rPr>
        <w:t>5、</w:t>
      </w:r>
      <w:r>
        <w:rPr>
          <w:rFonts w:hint="eastAsia"/>
          <w:lang w:val="en-US" w:eastAsia="zh-CN"/>
        </w:rPr>
        <w:t>县</w:t>
      </w:r>
      <w:r>
        <w:rPr>
          <w:lang w:eastAsia="en-US"/>
        </w:rPr>
        <w:t>工业和信息化部门</w:t>
      </w:r>
    </w:p>
    <w:p>
      <w:pPr>
        <w:bidi w:val="0"/>
        <w:rPr>
          <w:lang w:eastAsia="en-US"/>
        </w:rPr>
      </w:pPr>
      <w:r>
        <w:rPr>
          <w:lang w:eastAsia="en-US"/>
        </w:rPr>
        <w:t>组织符合条件的企业申报工业和信息化部《建筑垃圾资源化利用行业规范条件》企业名单，培育行业骨干企业。</w:t>
      </w:r>
    </w:p>
    <w:p>
      <w:pPr>
        <w:pStyle w:val="4"/>
        <w:bidi w:val="0"/>
        <w:rPr>
          <w:lang w:eastAsia="en-US"/>
        </w:rPr>
      </w:pPr>
      <w:r>
        <w:rPr>
          <w:lang w:eastAsia="en-US"/>
        </w:rPr>
        <w:t>6、</w:t>
      </w:r>
      <w:r>
        <w:rPr>
          <w:rFonts w:hint="eastAsia"/>
          <w:lang w:val="en-US" w:eastAsia="zh-CN"/>
        </w:rPr>
        <w:t>县</w:t>
      </w:r>
      <w:r>
        <w:rPr>
          <w:lang w:eastAsia="en-US"/>
        </w:rPr>
        <w:t>公安部门</w:t>
      </w:r>
    </w:p>
    <w:p>
      <w:pPr>
        <w:bidi w:val="0"/>
        <w:rPr>
          <w:lang w:eastAsia="en-US"/>
        </w:rPr>
      </w:pPr>
      <w:r>
        <w:rPr>
          <w:lang w:eastAsia="en-US"/>
        </w:rPr>
        <w:t>加强建筑垃圾运输车辆道路通行管理，依法打击建筑垃圾违法犯罪和黑恶势力；及时提供建筑垃圾管理相关信息，实现信息互通共享。</w:t>
      </w:r>
    </w:p>
    <w:p>
      <w:pPr>
        <w:pStyle w:val="4"/>
        <w:bidi w:val="0"/>
        <w:rPr>
          <w:lang w:eastAsia="en-US"/>
        </w:rPr>
      </w:pPr>
      <w:r>
        <w:rPr>
          <w:lang w:eastAsia="en-US"/>
        </w:rPr>
        <w:t>7、</w:t>
      </w:r>
      <w:r>
        <w:rPr>
          <w:rFonts w:hint="eastAsia"/>
          <w:lang w:val="en-US" w:eastAsia="zh-CN"/>
        </w:rPr>
        <w:t>县</w:t>
      </w:r>
      <w:r>
        <w:rPr>
          <w:lang w:eastAsia="en-US"/>
        </w:rPr>
        <w:t>财政部门</w:t>
      </w:r>
    </w:p>
    <w:p>
      <w:pPr>
        <w:bidi w:val="0"/>
        <w:rPr>
          <w:lang w:val="en-US" w:eastAsia="en-US"/>
        </w:rPr>
      </w:pPr>
      <w:r>
        <w:rPr>
          <w:lang w:eastAsia="en-US"/>
        </w:rPr>
        <w:t>落实财政优惠政策，支持资源化利用企业发展。</w:t>
      </w:r>
    </w:p>
    <w:p>
      <w:pPr>
        <w:pStyle w:val="4"/>
        <w:bidi w:val="0"/>
        <w:rPr>
          <w:lang w:eastAsia="en-US"/>
        </w:rPr>
      </w:pPr>
      <w:r>
        <w:rPr>
          <w:lang w:eastAsia="en-US"/>
        </w:rPr>
        <w:t>8、</w:t>
      </w:r>
      <w:r>
        <w:rPr>
          <w:rFonts w:hint="eastAsia"/>
          <w:lang w:val="en-US" w:eastAsia="zh-CN"/>
        </w:rPr>
        <w:t>县自然资源</w:t>
      </w:r>
      <w:r>
        <w:rPr>
          <w:lang w:eastAsia="en-US"/>
        </w:rPr>
        <w:t>部门</w:t>
      </w:r>
    </w:p>
    <w:p>
      <w:pPr>
        <w:bidi w:val="0"/>
        <w:rPr>
          <w:lang w:eastAsia="en-US"/>
        </w:rPr>
      </w:pPr>
      <w:r>
        <w:rPr>
          <w:lang w:eastAsia="en-US"/>
        </w:rPr>
        <w:t>规范建筑垃圾资源化利用项目的规划、用地手续审批，将建筑垃圾资源化利用场地逐步纳入国土空间规划“一张图 ”监督管理。</w:t>
      </w:r>
    </w:p>
    <w:p>
      <w:pPr>
        <w:pStyle w:val="4"/>
        <w:bidi w:val="0"/>
        <w:rPr>
          <w:lang w:eastAsia="en-US"/>
        </w:rPr>
      </w:pPr>
      <w:r>
        <w:rPr>
          <w:lang w:eastAsia="en-US"/>
        </w:rPr>
        <w:t>9、</w:t>
      </w:r>
      <w:r>
        <w:rPr>
          <w:rFonts w:hint="eastAsia"/>
          <w:lang w:val="en-US" w:eastAsia="zh-CN"/>
        </w:rPr>
        <w:t>县</w:t>
      </w:r>
      <w:r>
        <w:rPr>
          <w:lang w:eastAsia="en-US"/>
        </w:rPr>
        <w:t>生态环境部门</w:t>
      </w:r>
    </w:p>
    <w:p>
      <w:pPr>
        <w:bidi w:val="0"/>
        <w:rPr>
          <w:lang w:eastAsia="en-US"/>
        </w:rPr>
      </w:pPr>
      <w:r>
        <w:rPr>
          <w:lang w:eastAsia="en-US"/>
        </w:rPr>
        <w:t>加强建筑垃圾处置场所环境污染防治的监督管理和行政执法。</w:t>
      </w:r>
    </w:p>
    <w:p>
      <w:pPr>
        <w:pStyle w:val="4"/>
        <w:bidi w:val="0"/>
        <w:rPr>
          <w:lang w:eastAsia="en-US"/>
        </w:rPr>
      </w:pPr>
      <w:r>
        <w:rPr>
          <w:lang w:eastAsia="en-US"/>
        </w:rPr>
        <w:t>10、</w:t>
      </w:r>
      <w:r>
        <w:rPr>
          <w:rFonts w:hint="eastAsia"/>
          <w:lang w:val="en-US" w:eastAsia="zh-CN"/>
        </w:rPr>
        <w:t>县</w:t>
      </w:r>
      <w:r>
        <w:rPr>
          <w:lang w:eastAsia="en-US"/>
        </w:rPr>
        <w:t>交通运输部门</w:t>
      </w:r>
    </w:p>
    <w:p>
      <w:pPr>
        <w:bidi w:val="0"/>
        <w:rPr>
          <w:lang w:eastAsia="en-US"/>
        </w:rPr>
      </w:pPr>
      <w:r>
        <w:rPr>
          <w:lang w:eastAsia="en-US"/>
        </w:rPr>
        <w:t>加强建筑垃圾运输车辆道路通行管理，协助</w:t>
      </w:r>
      <w:r>
        <w:rPr>
          <w:u w:val="single"/>
          <w:lang w:eastAsia="en-US"/>
        </w:rPr>
        <w:t>公安、城管部门依法打击建筑垃圾违法违规运输行为</w:t>
      </w:r>
      <w:r>
        <w:rPr>
          <w:lang w:eastAsia="en-US"/>
        </w:rPr>
        <w:t>，在国有投资的交通建设项目中优先使用符合技术指标、设计要求的建筑垃圾再生产品，及时提供建筑垃圾管理相关信息，实现信息互通共享。</w:t>
      </w:r>
    </w:p>
    <w:p>
      <w:pPr>
        <w:pStyle w:val="4"/>
        <w:bidi w:val="0"/>
        <w:rPr>
          <w:lang w:eastAsia="en-US"/>
        </w:rPr>
      </w:pPr>
      <w:r>
        <w:rPr>
          <w:lang w:eastAsia="en-US"/>
        </w:rPr>
        <w:t>11、</w:t>
      </w:r>
      <w:r>
        <w:rPr>
          <w:rFonts w:hint="eastAsia"/>
          <w:lang w:val="en-US" w:eastAsia="zh-CN"/>
        </w:rPr>
        <w:t>县</w:t>
      </w:r>
      <w:r>
        <w:rPr>
          <w:lang w:eastAsia="en-US"/>
        </w:rPr>
        <w:t>市场监管部门</w:t>
      </w:r>
    </w:p>
    <w:p>
      <w:pPr>
        <w:bidi w:val="0"/>
        <w:rPr>
          <w:lang w:eastAsia="en-US"/>
        </w:rPr>
      </w:pPr>
      <w:r>
        <w:rPr>
          <w:lang w:eastAsia="en-US"/>
        </w:rPr>
        <w:t>加强建筑垃圾再生产品质量监督管理。</w:t>
      </w:r>
    </w:p>
    <w:p>
      <w:pPr>
        <w:pStyle w:val="4"/>
        <w:bidi w:val="0"/>
        <w:rPr>
          <w:lang w:eastAsia="en-US"/>
        </w:rPr>
      </w:pPr>
      <w:r>
        <w:rPr>
          <w:lang w:eastAsia="en-US"/>
        </w:rPr>
        <w:t>12、</w:t>
      </w:r>
      <w:r>
        <w:rPr>
          <w:rFonts w:hint="eastAsia"/>
          <w:lang w:val="en-US" w:eastAsia="zh-CN"/>
        </w:rPr>
        <w:t>县</w:t>
      </w:r>
      <w:r>
        <w:rPr>
          <w:lang w:eastAsia="en-US"/>
        </w:rPr>
        <w:t>税务部门</w:t>
      </w:r>
    </w:p>
    <w:p>
      <w:pPr>
        <w:bidi w:val="0"/>
        <w:rPr>
          <w:lang w:eastAsia="en-US"/>
        </w:rPr>
      </w:pPr>
      <w:r>
        <w:rPr>
          <w:lang w:eastAsia="en-US"/>
        </w:rPr>
        <w:t>对符合现行税收政策规定的利用建筑垃圾生产销售建设用再生骨料、建筑垃圾制作烧结制品、道路材料、建设用回填材料的纳税人落实增值税即征即退政策；对从事再生资源回收并销售的增值税一般纳税人，可选择适用简易计税方法依照3%征收率计算缴纳增值税。</w:t>
      </w:r>
    </w:p>
    <w:p>
      <w:pPr>
        <w:pStyle w:val="4"/>
        <w:bidi w:val="0"/>
        <w:rPr>
          <w:lang w:eastAsia="en-US"/>
        </w:rPr>
      </w:pPr>
      <w:r>
        <w:rPr>
          <w:lang w:eastAsia="en-US"/>
        </w:rPr>
        <w:t>13、</w:t>
      </w:r>
      <w:r>
        <w:rPr>
          <w:rFonts w:hint="eastAsia"/>
          <w:lang w:val="en-US" w:eastAsia="zh-CN"/>
        </w:rPr>
        <w:t>县</w:t>
      </w:r>
      <w:r>
        <w:rPr>
          <w:lang w:eastAsia="en-US"/>
        </w:rPr>
        <w:t>农业农村部门</w:t>
      </w:r>
    </w:p>
    <w:p>
      <w:pPr>
        <w:bidi w:val="0"/>
        <w:rPr>
          <w:lang w:eastAsia="en-US"/>
        </w:rPr>
      </w:pPr>
      <w:r>
        <w:rPr>
          <w:lang w:eastAsia="en-US"/>
        </w:rPr>
        <w:t>负责村民建房建筑垃圾源头管理机制建设并做好指导；负责加强农村基础设施和乡村治理工程项目建筑垃圾处置监管工作；负责指导农村非正规垃圾堆放点的排查和整治工作。</w:t>
      </w:r>
    </w:p>
    <w:p>
      <w:pPr>
        <w:pStyle w:val="4"/>
        <w:bidi w:val="0"/>
        <w:rPr>
          <w:lang w:eastAsia="en-US"/>
        </w:rPr>
      </w:pPr>
      <w:r>
        <w:rPr>
          <w:lang w:eastAsia="en-US"/>
        </w:rPr>
        <w:t>14、各乡镇人民政府</w:t>
      </w:r>
    </w:p>
    <w:p>
      <w:pPr>
        <w:bidi w:val="0"/>
        <w:rPr>
          <w:rFonts w:hint="eastAsia"/>
          <w:lang w:eastAsia="zh-CN"/>
        </w:rPr>
      </w:pPr>
      <w:r>
        <w:rPr>
          <w:rFonts w:hint="eastAsia"/>
          <w:lang w:eastAsia="zh-CN"/>
        </w:rPr>
        <w:t>除中心城区外，各乡镇人民政府</w:t>
      </w:r>
      <w:r>
        <w:rPr>
          <w:rFonts w:hint="eastAsia"/>
          <w:lang w:val="en-US" w:eastAsia="zh-CN"/>
        </w:rPr>
        <w:t>主要负责本辖区建筑垃圾处置日常监管和重大案件线索巡查，协助县级行政执法部门查处重大违法案件和跨乡镇违法案件。</w:t>
      </w:r>
    </w:p>
    <w:p>
      <w:pPr>
        <w:pStyle w:val="4"/>
        <w:bidi w:val="0"/>
        <w:rPr>
          <w:lang w:eastAsia="en-US"/>
        </w:rPr>
      </w:pPr>
      <w:r>
        <w:rPr>
          <w:lang w:eastAsia="en-US"/>
        </w:rPr>
        <w:t>1</w:t>
      </w:r>
      <w:r>
        <w:rPr>
          <w:rFonts w:hint="eastAsia"/>
          <w:lang w:val="en-US" w:eastAsia="zh-CN"/>
        </w:rPr>
        <w:t>5</w:t>
      </w:r>
      <w:r>
        <w:rPr>
          <w:lang w:eastAsia="en-US"/>
        </w:rPr>
        <w:t>、建筑垃圾资源化利用企业</w:t>
      </w:r>
    </w:p>
    <w:p>
      <w:pPr>
        <w:bidi w:val="0"/>
        <w:rPr>
          <w:lang w:eastAsia="en-US"/>
        </w:rPr>
      </w:pPr>
      <w:r>
        <w:rPr>
          <w:lang w:eastAsia="en-US"/>
        </w:rPr>
        <w:t>建筑垃圾资源化利用企业安全生产日常监管按照《中华人民共和国安全生产法》</w:t>
      </w:r>
      <w:r>
        <w:rPr>
          <w:rFonts w:hint="eastAsia"/>
          <w:lang w:eastAsia="zh-CN"/>
        </w:rPr>
        <w:t>、</w:t>
      </w:r>
      <w:r>
        <w:rPr>
          <w:lang w:eastAsia="en-US"/>
        </w:rPr>
        <w:t>《湖南省安全生产条例》等法律法规执行。</w:t>
      </w:r>
    </w:p>
    <w:p>
      <w:pPr>
        <w:pStyle w:val="3"/>
        <w:bidi w:val="0"/>
        <w:rPr>
          <w:rFonts w:hint="eastAsia" w:ascii="楷体" w:hAnsi="楷体" w:eastAsia="楷体" w:cs="楷体"/>
          <w:sz w:val="28"/>
          <w:szCs w:val="28"/>
          <w:lang w:eastAsia="en-US"/>
        </w:rPr>
      </w:pPr>
      <w:bookmarkStart w:id="233" w:name="bookmark111"/>
      <w:bookmarkEnd w:id="233"/>
      <w:bookmarkStart w:id="234" w:name="bookmark112"/>
      <w:bookmarkEnd w:id="234"/>
      <w:bookmarkStart w:id="235" w:name="_Toc15344"/>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三</w:t>
      </w:r>
      <w:r>
        <w:rPr>
          <w:rFonts w:hint="eastAsia" w:ascii="楷体" w:hAnsi="楷体" w:eastAsia="楷体" w:cs="楷体"/>
          <w:sz w:val="28"/>
          <w:szCs w:val="28"/>
          <w:lang w:eastAsia="zh-CN"/>
        </w:rPr>
        <w:t>）</w:t>
      </w:r>
      <w:r>
        <w:rPr>
          <w:rFonts w:hint="eastAsia" w:ascii="楷体" w:hAnsi="楷体" w:eastAsia="楷体" w:cs="楷体"/>
          <w:sz w:val="28"/>
          <w:szCs w:val="28"/>
          <w:lang w:eastAsia="en-US"/>
        </w:rPr>
        <w:t>信息化管理规划</w:t>
      </w:r>
      <w:bookmarkEnd w:id="235"/>
    </w:p>
    <w:p>
      <w:pPr>
        <w:pStyle w:val="4"/>
        <w:bidi w:val="0"/>
        <w:rPr>
          <w:lang w:eastAsia="en-US"/>
        </w:rPr>
      </w:pPr>
      <w:r>
        <w:rPr>
          <w:lang w:eastAsia="en-US"/>
        </w:rPr>
        <w:t>1、建设目标</w:t>
      </w:r>
    </w:p>
    <w:p>
      <w:pPr>
        <w:bidi w:val="0"/>
        <w:rPr>
          <w:lang w:eastAsia="en-US"/>
        </w:rPr>
      </w:pPr>
      <w:r>
        <w:rPr>
          <w:lang w:eastAsia="en-US"/>
        </w:rPr>
        <w:t>为满足建筑垃圾从源头管控到减量调配、运输管理、分类处置、资源化利用、产品交易、终端处置、监控监管等全过程的信息化管理，本次规划提出利用信息化技术，结合电子联单制度，构建建筑垃圾综合管理及循环利用信息共享平台，建立统一的建筑垃圾市级监管平台，实现建筑工地、运输线路、消纳处置场所，“两点一线 ”建筑垃圾全生命周期、全过程监管，实行排放、运输、资源化和消纳处置行为的核准，企业网上申报资料，</w:t>
      </w:r>
      <w:r>
        <w:rPr>
          <w:strike w:val="0"/>
          <w:dstrike w:val="0"/>
          <w:u w:val="single"/>
          <w:lang w:eastAsia="en-US"/>
        </w:rPr>
        <w:t>城市管理和综合执法、住建、生态环境、自然资源等部门在线办公、联审联批</w:t>
      </w:r>
      <w:r>
        <w:rPr>
          <w:lang w:eastAsia="en-US"/>
        </w:rPr>
        <w:t>，提高建筑垃圾精细化管理水平。</w:t>
      </w:r>
    </w:p>
    <w:p>
      <w:pPr>
        <w:pStyle w:val="4"/>
        <w:bidi w:val="0"/>
        <w:rPr>
          <w:lang w:eastAsia="en-US"/>
        </w:rPr>
      </w:pPr>
      <w:r>
        <w:rPr>
          <w:lang w:eastAsia="en-US"/>
        </w:rPr>
        <w:t>2、信息化管理系统规划</w:t>
      </w:r>
    </w:p>
    <w:p>
      <w:pPr>
        <w:bidi w:val="0"/>
        <w:rPr>
          <w:lang w:eastAsia="en-US"/>
        </w:rPr>
      </w:pPr>
      <w:bookmarkStart w:id="236" w:name="OLE_LINK56"/>
      <w:r>
        <w:rPr>
          <w:lang w:eastAsia="en-US"/>
        </w:rPr>
        <w:t>建筑垃圾全过程信息化管理系统需要建立综合管理与循环利用信息共享平台，平台内包含多个不同功能的信息管理子系统，同时平台具有信息收集、信息管理、信息共享等功能，使相关部门、从业企业、相关人员和车辆等能够根据不同的访问权限、等级了解到不同的信息，从而及时且准确地做出相应的行动，这些信息管理子系统包括：建筑垃圾源头信息管理系统、建筑垃圾减量调配信息系统、建筑垃圾分类处置信息管理系统、建筑垃圾运输信息管理系统、建筑垃圾资源化利用信息管理系统和建筑垃圾消纳处置场所信息管理系统。</w:t>
      </w:r>
    </w:p>
    <w:p>
      <w:pPr>
        <w:bidi w:val="0"/>
        <w:rPr>
          <w:lang w:eastAsia="en-US"/>
        </w:rPr>
      </w:pPr>
      <w:r>
        <w:rPr>
          <w:b/>
          <w:bCs/>
          <w:lang w:eastAsia="en-US"/>
        </w:rPr>
        <w:t>（1）建筑垃圾源头信息管理系统。</w:t>
      </w:r>
      <w:r>
        <w:rPr>
          <w:lang w:eastAsia="en-US"/>
        </w:rPr>
        <w:t>从相关部门获取已取得建设工程规划许可证的工地信息，为建筑垃圾消纳许可的办理提供有效依据。主要建设功能包括：实现建筑垃圾分类目录登记、发布、查询、更新、删除等功能，使得各相关部门及相关企业能够进行垃圾分类信息的查询与管理。建设建筑垃圾预测量信息平台，实现建筑垃圾预测量信息的登记、审核、发布、查询、统计等功能，为</w:t>
      </w:r>
      <w:bookmarkEnd w:id="236"/>
      <w:r>
        <w:rPr>
          <w:lang w:eastAsia="en-US"/>
        </w:rPr>
        <w:t>建筑垃圾的运输、消纳管理提供信息支撑。</w:t>
      </w:r>
    </w:p>
    <w:p>
      <w:pPr>
        <w:bidi w:val="0"/>
        <w:rPr>
          <w:lang w:eastAsia="en-US"/>
        </w:rPr>
      </w:pPr>
      <w:r>
        <w:rPr>
          <w:b/>
          <w:bCs/>
          <w:lang w:eastAsia="en-US"/>
        </w:rPr>
        <w:t>（2）建筑垃圾减量调配信息系统。</w:t>
      </w:r>
      <w:r>
        <w:rPr>
          <w:lang w:eastAsia="en-US"/>
        </w:rPr>
        <w:t>施工工地是建筑垃圾产生的源头，同时也可能作为建筑垃圾消纳的场所。通过从相关部门获取已取得建设工程规划许可证的工地信息，可服务于相关企业为其提供工地信息并提出工地对建筑垃圾的需求。主要建设功能包括各个施工工地的基础信息、对不同建筑垃圾需求及建筑垃圾最佳运输线路的登记、查询、更新、删除等功能。</w:t>
      </w:r>
    </w:p>
    <w:p>
      <w:pPr>
        <w:bidi w:val="0"/>
        <w:rPr>
          <w:lang w:eastAsia="en-US"/>
        </w:rPr>
      </w:pPr>
      <w:r>
        <w:rPr>
          <w:b/>
          <w:bCs/>
          <w:lang w:eastAsia="en-US"/>
        </w:rPr>
        <w:t>（3）建筑垃圾分类处置信息管理系统。</w:t>
      </w:r>
      <w:r>
        <w:rPr>
          <w:lang w:eastAsia="en-US"/>
        </w:rPr>
        <w:t>通过记录</w:t>
      </w:r>
      <w:r>
        <w:rPr>
          <w:rFonts w:hint="eastAsia"/>
          <w:lang w:val="en-US" w:eastAsia="zh-CN"/>
        </w:rPr>
        <w:t>县域</w:t>
      </w:r>
      <w:r>
        <w:rPr>
          <w:lang w:eastAsia="en-US"/>
        </w:rPr>
        <w:t>不同种类建筑垃圾总量、各处置场所不同种类建筑垃圾处置量及各工地不同种类建筑垃圾产生量，实现不同种类建筑垃圾处置信息的管理，为相关部门进行中心城区建筑垃圾处置设施规划布局以及进行资源化处置设施建设提供信息支撑，同时对建筑垃圾产生方与运输方、处置方的收费结算等实现有效监管。</w:t>
      </w:r>
    </w:p>
    <w:p>
      <w:pPr>
        <w:bidi w:val="0"/>
        <w:rPr>
          <w:lang w:eastAsia="en-US"/>
        </w:rPr>
      </w:pPr>
      <w:r>
        <w:rPr>
          <w:b/>
          <w:bCs/>
          <w:lang w:eastAsia="en-US"/>
        </w:rPr>
        <w:t>（4）建筑垃圾运输信息管理系统。</w:t>
      </w:r>
      <w:r>
        <w:rPr>
          <w:lang w:eastAsia="en-US"/>
        </w:rPr>
        <w:t>建设建筑垃圾运输企业信息的登记、发布、查询、更新、删除等功能，及时更新录入审批通过的运输单位和运输车辆，使相关部门能够进行合法运输企业信息的管理。在运输建筑垃圾的车辆上安装</w:t>
      </w:r>
      <w:bookmarkStart w:id="237" w:name="bookmark170"/>
      <w:bookmarkEnd w:id="237"/>
      <w:r>
        <w:rPr>
          <w:lang w:eastAsia="en-US"/>
        </w:rPr>
        <w:t>车载智能终端，使车辆信息能及时的被采集、处理、储存，通过监管系统对车辆进行实时监控。推广使用密闭性能好、信息化程度高的运输车辆，并对运输车辆的运输轨迹、密闭运输、处置流向、行驶速度等情况实时监控。</w:t>
      </w:r>
    </w:p>
    <w:p>
      <w:pPr>
        <w:bidi w:val="0"/>
        <w:rPr>
          <w:lang w:eastAsia="en-US"/>
        </w:rPr>
      </w:pPr>
      <w:r>
        <w:rPr>
          <w:b/>
          <w:bCs/>
          <w:lang w:eastAsia="en-US"/>
        </w:rPr>
        <w:t>（5）建筑垃圾资源化利用信息管理系统。</w:t>
      </w:r>
      <w:r>
        <w:rPr>
          <w:lang w:eastAsia="en-US"/>
        </w:rPr>
        <w:t>提供建筑垃圾和再生产品的网上供需交易服务，通过市场调节建筑垃圾排放种类和再生产品种类，促进建筑垃圾资源化利用供需平衡，减少多次搬运造成的环境污染。同时，不断完善建筑垃圾资源化利用各个阶段的标准、规范，通过产生量预测、体量估算等，为规划、设计、施工阶段和建筑垃圾分类处理进行源头减量化提供数字依据，为企业提升生产工艺和装备改造，逐步实现智能化、自动化提供服务。</w:t>
      </w:r>
    </w:p>
    <w:p>
      <w:pPr>
        <w:bidi w:val="0"/>
        <w:rPr>
          <w:lang w:eastAsia="en-US"/>
        </w:rPr>
      </w:pPr>
      <w:r>
        <w:rPr>
          <w:lang w:eastAsia="en-US"/>
        </w:rPr>
        <w:t>（6）建筑垃圾消纳处置场所信息管理系统。公布建筑垃圾消纳处置场所的信息，包括消纳处置类型、位置、处理能力、运输路线等信息，使得各个建筑垃圾运输企业和相关建筑垃圾管理部门可以获取堆填场的所有信息。同时，在建筑垃圾收运处置场所安装视频监控和进出信息记录，实现对建筑垃圾堆填场的动态监控。</w:t>
      </w:r>
    </w:p>
    <w:p>
      <w:pPr>
        <w:pStyle w:val="4"/>
        <w:bidi w:val="0"/>
        <w:rPr>
          <w:lang w:eastAsia="en-US"/>
        </w:rPr>
      </w:pPr>
      <w:r>
        <w:rPr>
          <w:lang w:eastAsia="en-US"/>
        </w:rPr>
        <w:t>3、建筑垃圾全过程信息化管理空间规划</w:t>
      </w:r>
    </w:p>
    <w:p>
      <w:pPr>
        <w:bidi w:val="0"/>
        <w:rPr>
          <w:lang w:eastAsia="en-US"/>
        </w:rPr>
      </w:pPr>
      <w:r>
        <w:rPr>
          <w:lang w:eastAsia="en-US"/>
        </w:rPr>
        <w:t>结合资源化利用场和堆填场的规划布置，建设不同等级和不同功能的信息化管理系统，主要包括：</w:t>
      </w:r>
    </w:p>
    <w:p>
      <w:pPr>
        <w:bidi w:val="0"/>
        <w:rPr>
          <w:lang w:eastAsia="en-US"/>
        </w:rPr>
      </w:pPr>
      <w:r>
        <w:rPr>
          <w:b/>
          <w:bCs/>
          <w:lang w:eastAsia="en-US"/>
        </w:rPr>
        <w:t>（1）</w:t>
      </w:r>
      <w:r>
        <w:rPr>
          <w:rFonts w:hint="eastAsia"/>
          <w:b/>
          <w:bCs/>
          <w:lang w:val="en-US" w:eastAsia="zh-CN"/>
        </w:rPr>
        <w:t>桃江县</w:t>
      </w:r>
      <w:r>
        <w:rPr>
          <w:b/>
          <w:bCs/>
          <w:lang w:eastAsia="en-US"/>
        </w:rPr>
        <w:t>建筑垃圾综合管理信息中心。</w:t>
      </w:r>
      <w:r>
        <w:rPr>
          <w:lang w:eastAsia="en-US"/>
        </w:rPr>
        <w:t>位于桃江县住</w:t>
      </w:r>
      <w:r>
        <w:rPr>
          <w:rFonts w:hint="default"/>
          <w:lang w:eastAsia="en-US"/>
        </w:rPr>
        <w:t>房和城乡建设局</w:t>
      </w:r>
      <w:r>
        <w:rPr>
          <w:lang w:eastAsia="en-US"/>
        </w:rPr>
        <w:t>，负责对中心城区建筑垃圾治理的相关数据进行统计和管理，并上报上一级管理系统，并提供相关信息服务。</w:t>
      </w:r>
    </w:p>
    <w:p>
      <w:pPr>
        <w:bidi w:val="0"/>
        <w:rPr>
          <w:rFonts w:hint="eastAsia" w:ascii="仿宋" w:hAnsi="仿宋" w:eastAsia="仿宋" w:cs="仿宋"/>
          <w:lang w:eastAsia="en-US"/>
        </w:rPr>
      </w:pPr>
      <w:r>
        <w:rPr>
          <w:b/>
          <w:bCs/>
          <w:lang w:eastAsia="en-US"/>
        </w:rPr>
        <w:t>（2）建筑垃圾处置场所监控管理终端：</w:t>
      </w:r>
      <w:r>
        <w:rPr>
          <w:rFonts w:hint="eastAsia" w:ascii="仿宋" w:hAnsi="仿宋" w:eastAsia="仿宋" w:cs="仿宋"/>
        </w:rPr>
        <w:t>益阳方成建筑新材料有限公司</w:t>
      </w:r>
      <w:r>
        <w:rPr>
          <w:rFonts w:hint="eastAsia" w:ascii="仿宋" w:hAnsi="仿宋" w:eastAsia="仿宋" w:cs="仿宋"/>
          <w:lang w:eastAsia="zh-CN"/>
        </w:rPr>
        <w:t>、</w:t>
      </w:r>
      <w:r>
        <w:rPr>
          <w:rFonts w:hint="eastAsia" w:ascii="仿宋" w:hAnsi="仿宋" w:eastAsia="仿宋" w:cs="仿宋"/>
          <w:lang w:val="en-US" w:eastAsia="zh-CN"/>
        </w:rPr>
        <w:t>桃江县晓亿建材有限责任公司、</w:t>
      </w:r>
      <w:r>
        <w:rPr>
          <w:rFonts w:hint="eastAsia" w:ascii="仿宋" w:hAnsi="仿宋" w:eastAsia="仿宋" w:cs="仿宋"/>
        </w:rPr>
        <w:t>桃江惠强环保建材有限公司</w:t>
      </w:r>
      <w:r>
        <w:rPr>
          <w:rFonts w:hint="eastAsia" w:ascii="仿宋" w:hAnsi="仿宋" w:eastAsia="仿宋" w:cs="仿宋"/>
          <w:lang w:val="en-US" w:eastAsia="zh-CN"/>
        </w:rPr>
        <w:t>和新建的填埋场、转运调配场</w:t>
      </w:r>
      <w:r>
        <w:rPr>
          <w:rFonts w:hint="eastAsia" w:ascii="仿宋" w:hAnsi="仿宋" w:eastAsia="仿宋" w:cs="仿宋"/>
          <w:lang w:eastAsia="en-US"/>
        </w:rPr>
        <w:t>设置监控管理终端，对</w:t>
      </w:r>
      <w:r>
        <w:rPr>
          <w:rFonts w:hint="eastAsia" w:ascii="仿宋" w:hAnsi="仿宋" w:cs="仿宋"/>
          <w:lang w:val="en-US" w:eastAsia="zh-CN"/>
        </w:rPr>
        <w:t>场内</w:t>
      </w:r>
      <w:r>
        <w:rPr>
          <w:rFonts w:hint="eastAsia" w:ascii="仿宋" w:hAnsi="仿宋" w:eastAsia="仿宋" w:cs="仿宋"/>
          <w:lang w:eastAsia="en-US"/>
        </w:rPr>
        <w:t>建筑垃圾处置利用情况的相关数据进行统计和管理，并上报上一级管理系统。</w:t>
      </w:r>
    </w:p>
    <w:p>
      <w:pPr>
        <w:bidi w:val="0"/>
        <w:rPr>
          <w:lang w:eastAsia="en-US"/>
        </w:rPr>
      </w:pPr>
      <w:r>
        <w:rPr>
          <w:b/>
          <w:bCs/>
          <w:lang w:eastAsia="en-US"/>
        </w:rPr>
        <w:t>（3）重点监控区域：</w:t>
      </w:r>
      <w:r>
        <w:rPr>
          <w:lang w:eastAsia="en-US"/>
        </w:rPr>
        <w:t>建筑垃圾</w:t>
      </w:r>
      <w:r>
        <w:rPr>
          <w:rFonts w:hint="eastAsia"/>
          <w:lang w:val="en-US" w:eastAsia="zh-CN"/>
        </w:rPr>
        <w:t>填埋</w:t>
      </w:r>
      <w:r>
        <w:rPr>
          <w:lang w:eastAsia="en-US"/>
        </w:rPr>
        <w:t>场、</w:t>
      </w:r>
      <w:r>
        <w:rPr>
          <w:rFonts w:hint="eastAsia"/>
          <w:lang w:val="en-US" w:eastAsia="zh-CN"/>
        </w:rPr>
        <w:t>转运调配场、</w:t>
      </w:r>
      <w:r>
        <w:rPr>
          <w:lang w:eastAsia="en-US"/>
        </w:rPr>
        <w:t>建筑垃圾资源化利用场周边，防止污染或其他事故出现。重点监控路线为中心城区货运车辆禁限行控制区域、建筑垃圾处置严管区等。</w:t>
      </w:r>
    </w:p>
    <w:p>
      <w:pPr>
        <w:pStyle w:val="2"/>
        <w:bidi w:val="0"/>
        <w:rPr>
          <w:lang w:eastAsia="en-US"/>
        </w:rPr>
      </w:pPr>
      <w:bookmarkStart w:id="238" w:name="bookmark113"/>
      <w:bookmarkEnd w:id="238"/>
      <w:bookmarkStart w:id="239" w:name="bookmark114"/>
      <w:bookmarkEnd w:id="239"/>
      <w:bookmarkStart w:id="240" w:name="bookmark116"/>
      <w:bookmarkEnd w:id="240"/>
      <w:bookmarkStart w:id="241" w:name="bookmark115"/>
      <w:bookmarkEnd w:id="241"/>
      <w:bookmarkStart w:id="242" w:name="_Toc20459"/>
      <w:r>
        <w:rPr>
          <w:rFonts w:hint="eastAsia"/>
          <w:lang w:val="en-US" w:eastAsia="zh-CN"/>
        </w:rPr>
        <w:t>十、</w:t>
      </w:r>
      <w:r>
        <w:rPr>
          <w:lang w:eastAsia="en-US"/>
        </w:rPr>
        <w:t>环境保护与安全卫生规划</w:t>
      </w:r>
      <w:bookmarkEnd w:id="242"/>
    </w:p>
    <w:p>
      <w:pPr>
        <w:pStyle w:val="3"/>
        <w:bidi w:val="0"/>
        <w:rPr>
          <w:rFonts w:hint="eastAsia" w:ascii="楷体" w:hAnsi="楷体" w:eastAsia="楷体" w:cs="楷体"/>
          <w:sz w:val="28"/>
          <w:szCs w:val="28"/>
          <w:lang w:eastAsia="en-US"/>
        </w:rPr>
      </w:pPr>
      <w:bookmarkStart w:id="243" w:name="bookmark171"/>
      <w:bookmarkEnd w:id="243"/>
      <w:bookmarkStart w:id="244" w:name="_Toc9016"/>
      <w:r>
        <w:rPr>
          <w:rFonts w:hint="eastAsia" w:ascii="楷体" w:hAnsi="楷体" w:eastAsia="楷体" w:cs="楷体"/>
          <w:sz w:val="28"/>
          <w:szCs w:val="28"/>
          <w:lang w:val="en-US" w:eastAsia="zh-CN"/>
        </w:rPr>
        <w:t>（一）</w:t>
      </w:r>
      <w:r>
        <w:rPr>
          <w:rFonts w:hint="eastAsia" w:ascii="楷体" w:hAnsi="楷体" w:eastAsia="楷体" w:cs="楷体"/>
          <w:sz w:val="28"/>
          <w:szCs w:val="28"/>
          <w:lang w:eastAsia="en-US"/>
        </w:rPr>
        <w:t>建筑垃圾污染环境防控措施</w:t>
      </w:r>
      <w:bookmarkEnd w:id="244"/>
    </w:p>
    <w:p>
      <w:pPr>
        <w:bidi w:val="0"/>
        <w:rPr>
          <w:lang w:eastAsia="en-US"/>
        </w:rPr>
      </w:pPr>
      <w:r>
        <w:rPr>
          <w:lang w:eastAsia="en-US"/>
        </w:rPr>
        <w:t>本次规划编制过程中始终坚持可持续发展的思想，以建筑垃圾“减量化、资源化、无害化 ”为目标，构建建筑垃圾从产生、收运、处理全过程的监管体系，以减少建筑垃圾对环境的影响。</w:t>
      </w:r>
    </w:p>
    <w:p>
      <w:pPr>
        <w:bidi w:val="0"/>
        <w:rPr>
          <w:lang w:eastAsia="en-US"/>
        </w:rPr>
      </w:pPr>
      <w:r>
        <w:rPr>
          <w:lang w:eastAsia="en-US"/>
        </w:rPr>
        <w:t>强化源头管控。在产生阶段，应提早介入各建筑工地及住宅小区，将规范处置建筑垃圾相关政策及重要性宣传到各施工单位，并要求施工工地提前报备建筑垃圾产生及处置情况，确保建筑垃圾去向清晰，有迹可循。</w:t>
      </w:r>
    </w:p>
    <w:p>
      <w:pPr>
        <w:bidi w:val="0"/>
        <w:rPr>
          <w:lang w:eastAsia="en-US"/>
        </w:rPr>
      </w:pPr>
      <w:r>
        <w:rPr>
          <w:lang w:eastAsia="en-US"/>
        </w:rPr>
        <w:t>完善运输监管。要求运输车辆必须严格按照规定路线、密闭等要求行驶，不得丢弃、遗撒、将建筑垃圾运输至未经核准的处置场所擅自处置。在中心城区重要运输路段对过往运输车辆采取不定时、不定点检查，加大对运输车辆“滴洒漏 ”和乱倒建筑垃圾的检查力度和处罚力度。</w:t>
      </w:r>
    </w:p>
    <w:p>
      <w:pPr>
        <w:bidi w:val="0"/>
        <w:rPr>
          <w:lang w:eastAsia="en-US"/>
        </w:rPr>
      </w:pPr>
      <w:r>
        <w:rPr>
          <w:lang w:eastAsia="en-US"/>
        </w:rPr>
        <w:t>加强终端处置监管。加强对城乡结合部、中心城区偏远位置等重点路段乱倒垃圾检查及整治工作，严厉打击私自排放、违规运输、随意倾倒建筑垃圾等违法违规行为，减少偷倒乱倒建筑垃圾的行为发生。加强对建筑垃圾处置场所检查，严禁将生活垃圾或者其他废弃物混入建筑垃圾。</w:t>
      </w:r>
    </w:p>
    <w:p>
      <w:pPr>
        <w:bidi w:val="0"/>
        <w:rPr>
          <w:rFonts w:hint="eastAsia"/>
          <w:lang w:eastAsia="en-US"/>
        </w:rPr>
      </w:pPr>
      <w:r>
        <w:rPr>
          <w:rFonts w:hint="eastAsia"/>
          <w:lang w:eastAsia="en-US"/>
        </w:rPr>
        <w:t>在进行可行性研究的同时，应对建设项目的环境影响作出评价</w:t>
      </w:r>
      <w:r>
        <w:rPr>
          <w:rFonts w:hint="eastAsia"/>
          <w:lang w:eastAsia="zh-CN"/>
        </w:rPr>
        <w:t>；</w:t>
      </w:r>
      <w:r>
        <w:rPr>
          <w:rFonts w:hint="eastAsia"/>
          <w:lang w:eastAsia="en-US"/>
        </w:rPr>
        <w:t>建设项目的环境污染防治设施，应与主体工程同时设计、同时施工、同时投产使用</w:t>
      </w:r>
      <w:r>
        <w:rPr>
          <w:rFonts w:hint="eastAsia"/>
          <w:lang w:eastAsia="zh-CN"/>
        </w:rPr>
        <w:t>；</w:t>
      </w:r>
      <w:r>
        <w:rPr>
          <w:rFonts w:hint="eastAsia"/>
          <w:lang w:eastAsia="en-US"/>
        </w:rPr>
        <w:t>建筑垃圾处理作业过程中产生的各种污染物的防治与排放，应贯彻执行国家现行的环境保护法规和有关标准的规定。建筑垃圾填埋场应进行水、气、土壤及噪声的本底监测和作业监测填埋库区封场后应进行跟踪监测直至填埋体稳定。监测井和采样点的布设、监测项目、频率及分析方法应按现行国家相关标准执行。</w:t>
      </w:r>
    </w:p>
    <w:p>
      <w:pPr>
        <w:pStyle w:val="4"/>
        <w:bidi w:val="0"/>
        <w:rPr>
          <w:rFonts w:hint="eastAsia"/>
          <w:lang w:eastAsia="en-US"/>
        </w:rPr>
      </w:pPr>
      <w:r>
        <w:rPr>
          <w:rFonts w:hint="eastAsia"/>
          <w:lang w:val="en-US" w:eastAsia="zh-CN"/>
        </w:rPr>
        <w:t>1、</w:t>
      </w:r>
      <w:r>
        <w:rPr>
          <w:rFonts w:hint="eastAsia"/>
          <w:lang w:eastAsia="en-US"/>
        </w:rPr>
        <w:t>工程渣土污染防控</w:t>
      </w:r>
    </w:p>
    <w:p>
      <w:pPr>
        <w:bidi w:val="0"/>
        <w:rPr>
          <w:rFonts w:hint="eastAsia"/>
          <w:lang w:eastAsia="en-US"/>
        </w:rPr>
      </w:pPr>
      <w:r>
        <w:rPr>
          <w:rFonts w:hint="eastAsia"/>
          <w:lang w:eastAsia="en-US"/>
        </w:rPr>
        <w:t>工程渣土收集运输污染防控措施施工单位应当在建设工程开工前，将建筑垃圾处理方案报项目所在地的环境卫生主管部门备案。工程渣土消纳设施和场所污染防控，设施和场所投入使用前应编制环境质量监测方案，监测项目应包括环境噪声、大气扬尘污染、地下水水质。</w:t>
      </w:r>
    </w:p>
    <w:p>
      <w:pPr>
        <w:pStyle w:val="4"/>
        <w:bidi w:val="0"/>
        <w:rPr>
          <w:rFonts w:hint="eastAsia"/>
          <w:lang w:eastAsia="en-US"/>
        </w:rPr>
      </w:pPr>
      <w:r>
        <w:rPr>
          <w:rFonts w:hint="eastAsia"/>
          <w:lang w:val="en-US" w:eastAsia="zh-CN"/>
        </w:rPr>
        <w:t>2、</w:t>
      </w:r>
      <w:r>
        <w:rPr>
          <w:rFonts w:hint="eastAsia"/>
          <w:lang w:eastAsia="en-US"/>
        </w:rPr>
        <w:t>工程泥浆污染防控</w:t>
      </w:r>
    </w:p>
    <w:p>
      <w:pPr>
        <w:bidi w:val="0"/>
        <w:rPr>
          <w:rFonts w:hint="eastAsia"/>
          <w:lang w:eastAsia="en-US"/>
        </w:rPr>
      </w:pPr>
      <w:r>
        <w:rPr>
          <w:rFonts w:hint="eastAsia"/>
          <w:lang w:eastAsia="en-US"/>
        </w:rPr>
        <w:t>工程泥浆应通过工程现场设施的泥浆池或密闭容器收集、存放，未经处理的工程泥浆不应就地或随意排放。</w:t>
      </w:r>
    </w:p>
    <w:p>
      <w:pPr>
        <w:pStyle w:val="4"/>
        <w:bidi w:val="0"/>
        <w:rPr>
          <w:rFonts w:hint="eastAsia"/>
          <w:lang w:eastAsia="en-US"/>
        </w:rPr>
      </w:pPr>
      <w:r>
        <w:rPr>
          <w:rFonts w:hint="eastAsia"/>
          <w:lang w:val="en-US" w:eastAsia="zh-CN"/>
        </w:rPr>
        <w:t>3、</w:t>
      </w:r>
      <w:r>
        <w:rPr>
          <w:rFonts w:hint="eastAsia"/>
          <w:lang w:eastAsia="en-US"/>
        </w:rPr>
        <w:t>工程垃圾污染防控措施</w:t>
      </w:r>
    </w:p>
    <w:p>
      <w:pPr>
        <w:bidi w:val="0"/>
        <w:rPr>
          <w:rFonts w:hint="eastAsia"/>
          <w:lang w:eastAsia="en-US"/>
        </w:rPr>
      </w:pPr>
      <w:r>
        <w:rPr>
          <w:rFonts w:hint="eastAsia"/>
          <w:lang w:eastAsia="en-US"/>
        </w:rPr>
        <w:t>施工现场应设置工程垃圾存放点，并应设置分类存放标识牌，应制作围挡设施或封闭建造，并采取防泄漏、防飞扬、消防应急安全等措施。</w:t>
      </w:r>
    </w:p>
    <w:p>
      <w:pPr>
        <w:pStyle w:val="4"/>
        <w:bidi w:val="0"/>
        <w:rPr>
          <w:rFonts w:hint="eastAsia"/>
          <w:lang w:eastAsia="en-US"/>
        </w:rPr>
      </w:pPr>
      <w:r>
        <w:rPr>
          <w:rFonts w:hint="eastAsia"/>
          <w:lang w:val="en-US" w:eastAsia="zh-CN"/>
        </w:rPr>
        <w:t>4、</w:t>
      </w:r>
      <w:r>
        <w:rPr>
          <w:rFonts w:hint="eastAsia"/>
          <w:lang w:eastAsia="en-US"/>
        </w:rPr>
        <w:t>拆除垃圾、装修垃圾污染防控</w:t>
      </w:r>
    </w:p>
    <w:p>
      <w:pPr>
        <w:bidi w:val="0"/>
        <w:rPr>
          <w:lang w:eastAsia="en-US"/>
        </w:rPr>
      </w:pPr>
      <w:r>
        <w:rPr>
          <w:rFonts w:hint="eastAsia"/>
          <w:lang w:eastAsia="en-US"/>
        </w:rPr>
        <w:t>产生装修垃圾的单位和个人应当按照规定将装修垃圾分类袋装或者捆装后投放至指定的装修垃圾集置点，不得与生活垃圾混合投放。拆除垃圾、装修垃圾运输单位应取得建筑垃圾运输核准文件，保持车辆车况良好。接纳处置核准文件确定的建筑垃圾种类，不得接纳非建筑垃圾的其他固体废物。</w:t>
      </w:r>
    </w:p>
    <w:p>
      <w:pPr>
        <w:pStyle w:val="3"/>
        <w:bidi w:val="0"/>
        <w:rPr>
          <w:rFonts w:hint="eastAsia" w:ascii="楷体" w:hAnsi="楷体" w:eastAsia="楷体" w:cs="楷体"/>
          <w:sz w:val="28"/>
          <w:szCs w:val="28"/>
          <w:lang w:eastAsia="en-US"/>
        </w:rPr>
      </w:pPr>
      <w:bookmarkStart w:id="245" w:name="bookmark118"/>
      <w:bookmarkEnd w:id="245"/>
      <w:bookmarkStart w:id="246" w:name="bookmark117"/>
      <w:bookmarkEnd w:id="246"/>
      <w:bookmarkStart w:id="247" w:name="_Toc26946"/>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二</w:t>
      </w:r>
      <w:r>
        <w:rPr>
          <w:rFonts w:hint="eastAsia" w:ascii="楷体" w:hAnsi="楷体" w:eastAsia="楷体" w:cs="楷体"/>
          <w:sz w:val="28"/>
          <w:szCs w:val="28"/>
          <w:lang w:eastAsia="zh-CN"/>
        </w:rPr>
        <w:t>）</w:t>
      </w:r>
      <w:r>
        <w:rPr>
          <w:rFonts w:hint="eastAsia" w:ascii="楷体" w:hAnsi="楷体" w:eastAsia="楷体" w:cs="楷体"/>
          <w:sz w:val="28"/>
          <w:szCs w:val="28"/>
          <w:lang w:eastAsia="en-US"/>
        </w:rPr>
        <w:t>环境保护措施</w:t>
      </w:r>
      <w:bookmarkEnd w:id="247"/>
    </w:p>
    <w:p>
      <w:pPr>
        <w:pStyle w:val="4"/>
        <w:bidi w:val="0"/>
        <w:rPr>
          <w:lang w:eastAsia="en-US"/>
        </w:rPr>
      </w:pPr>
      <w:r>
        <w:rPr>
          <w:lang w:eastAsia="en-US"/>
        </w:rPr>
        <w:t>1、大气环境保护措施</w:t>
      </w:r>
    </w:p>
    <w:p>
      <w:pPr>
        <w:bidi w:val="0"/>
        <w:rPr>
          <w:lang w:eastAsia="en-US"/>
        </w:rPr>
      </w:pPr>
      <w:r>
        <w:rPr>
          <w:lang w:eastAsia="en-US"/>
        </w:rPr>
        <w:t>目前</w:t>
      </w:r>
      <w:r>
        <w:rPr>
          <w:rFonts w:hint="eastAsia"/>
          <w:lang w:val="en-US" w:eastAsia="zh-CN"/>
        </w:rPr>
        <w:t>桃江县</w:t>
      </w:r>
      <w:r>
        <w:rPr>
          <w:lang w:eastAsia="en-US"/>
        </w:rPr>
        <w:t>建筑垃圾在产生、运输、处置三个阶段均容易产生扬尘，对区域内的大气环境造成不同程度污染。大气环境保护主要采取以下防治措施：</w:t>
      </w:r>
    </w:p>
    <w:p>
      <w:pPr>
        <w:bidi w:val="0"/>
        <w:rPr>
          <w:lang w:eastAsia="en-US"/>
        </w:rPr>
      </w:pPr>
      <w:r>
        <w:rPr>
          <w:lang w:eastAsia="en-US"/>
        </w:rPr>
        <w:t>（1）建设单位在工程开工前，需要向建筑垃圾主管部门进行建筑垃圾产生的申报核准。建设单位有责任按照核准的要求，组织施工单位对建筑垃圾进行分类堆放。对于施工过程中产生的建筑垃圾要进行妥善的临时堆放管理，避免随意丢弃影响周边环境。</w:t>
      </w:r>
    </w:p>
    <w:p>
      <w:pPr>
        <w:bidi w:val="0"/>
        <w:rPr>
          <w:lang w:eastAsia="en-US"/>
        </w:rPr>
      </w:pPr>
      <w:r>
        <w:rPr>
          <w:lang w:eastAsia="en-US"/>
        </w:rPr>
        <w:t>（2）施工现场土方作业应采取防止扬尘措施，施工现场应严格落实</w:t>
      </w:r>
      <w:r>
        <w:rPr>
          <w:rFonts w:hint="eastAsia"/>
          <w:lang w:eastAsia="zh-CN"/>
        </w:rPr>
        <w:t>“</w:t>
      </w:r>
      <w:r>
        <w:rPr>
          <w:lang w:eastAsia="en-US"/>
        </w:rPr>
        <w:t>六个百分百</w:t>
      </w:r>
      <w:r>
        <w:rPr>
          <w:rFonts w:hint="eastAsia"/>
          <w:lang w:eastAsia="zh-CN"/>
        </w:rPr>
        <w:t>”</w:t>
      </w:r>
      <w:r>
        <w:rPr>
          <w:lang w:eastAsia="en-US"/>
        </w:rPr>
        <w:t>加</w:t>
      </w:r>
      <w:r>
        <w:rPr>
          <w:rFonts w:hint="eastAsia"/>
          <w:lang w:eastAsia="zh-CN"/>
        </w:rPr>
        <w:t>“</w:t>
      </w:r>
      <w:r>
        <w:rPr>
          <w:lang w:eastAsia="en-US"/>
        </w:rPr>
        <w:t>两个全覆盖</w:t>
      </w:r>
      <w:r>
        <w:rPr>
          <w:rFonts w:hint="eastAsia"/>
          <w:lang w:eastAsia="zh-CN"/>
        </w:rPr>
        <w:t>”</w:t>
      </w:r>
      <w:r>
        <w:rPr>
          <w:lang w:eastAsia="en-US"/>
        </w:rPr>
        <w:t>。土方和建筑垃圾的运输必须采用封闭式运输车辆</w:t>
      </w:r>
      <w:bookmarkStart w:id="248" w:name="bookmark172"/>
      <w:bookmarkEnd w:id="248"/>
      <w:r>
        <w:rPr>
          <w:lang w:eastAsia="en-US"/>
        </w:rPr>
        <w:t>或采取覆盖措施。施工现场出口处应设置车辆冲洗设施，并应对驶出的车辆进行清洗。</w:t>
      </w:r>
    </w:p>
    <w:p>
      <w:pPr>
        <w:bidi w:val="0"/>
        <w:rPr>
          <w:lang w:eastAsia="en-US"/>
        </w:rPr>
      </w:pPr>
      <w:r>
        <w:rPr>
          <w:lang w:eastAsia="en-US"/>
        </w:rPr>
        <w:t>（3）积极应用全封闭智能运输车辆，推进渣土运输车辆改造或更新，</w:t>
      </w:r>
      <w:r>
        <w:rPr>
          <w:rFonts w:hint="eastAsia"/>
          <w:lang w:val="en-US" w:eastAsia="zh-CN"/>
        </w:rPr>
        <w:t>桃江县域内</w:t>
      </w:r>
      <w:r>
        <w:rPr>
          <w:lang w:eastAsia="en-US"/>
        </w:rPr>
        <w:t>所有渣土运输</w:t>
      </w:r>
      <w:bookmarkStart w:id="249" w:name="OLE_LINK112"/>
      <w:r>
        <w:rPr>
          <w:lang w:eastAsia="en-US"/>
        </w:rPr>
        <w:t>车辆应使用全密闭式运输。渣土运输车辆车厢后厢板与厢体间有相应的密封措施，且密封性能良好，当车辆前行、转弯、行经颠簸路面或紧急制动时，不应发生撒漏、扬尘。</w:t>
      </w:r>
    </w:p>
    <w:bookmarkEnd w:id="249"/>
    <w:p>
      <w:pPr>
        <w:bidi w:val="0"/>
        <w:rPr>
          <w:lang w:eastAsia="en-US"/>
        </w:rPr>
      </w:pPr>
      <w:r>
        <w:rPr>
          <w:lang w:eastAsia="en-US"/>
        </w:rPr>
        <w:t>（4）建筑垃圾堆填场在主要出入口宜设置洗车台，外出车辆宜冲洗干净后进入市政道路。 同时，作业场所应采取严格的抑尘措施。易产生扬尘的重点工序可采用雾化洒水降尘措施减少扬尘。</w:t>
      </w:r>
    </w:p>
    <w:p>
      <w:pPr>
        <w:bidi w:val="0"/>
        <w:rPr>
          <w:lang w:eastAsia="en-US"/>
        </w:rPr>
      </w:pPr>
      <w:r>
        <w:rPr>
          <w:lang w:eastAsia="en-US"/>
        </w:rPr>
        <w:t>（5）建筑垃圾资源化利用场厂区中的建筑垃圾原料贮存堆场应保证堆体的安全稳定性，并应采取防尘措施，可根据后续工艺进行预湿；建筑垃圾卸料、上料及处理过程中易产生扬尘的环节应采取抑尘、降尘及除尘措施。车间内应设计集中除尘设施，可采用布袋式除尘加静电除尘组合方式，除尘能力应与粉尘产生量相适应。</w:t>
      </w:r>
    </w:p>
    <w:p>
      <w:pPr>
        <w:pStyle w:val="4"/>
        <w:bidi w:val="0"/>
        <w:rPr>
          <w:lang w:eastAsia="en-US"/>
        </w:rPr>
      </w:pPr>
      <w:r>
        <w:rPr>
          <w:lang w:eastAsia="en-US"/>
        </w:rPr>
        <w:t>2、水环境保护措施</w:t>
      </w:r>
    </w:p>
    <w:p>
      <w:pPr>
        <w:bidi w:val="0"/>
        <w:rPr>
          <w:lang w:eastAsia="en-US"/>
        </w:rPr>
      </w:pPr>
      <w:r>
        <w:rPr>
          <w:lang w:eastAsia="en-US"/>
        </w:rPr>
        <w:t>建筑垃圾堆填场、资源化利用场等在运行过程中，堆填区由于雨水的淋溶、冲刷，以及地表水和地下水的浸泡而渗滤出污水，可能造成场地周边地表水、地下水的污染。水环境保护主要采取以下防治措施：</w:t>
      </w:r>
    </w:p>
    <w:p>
      <w:pPr>
        <w:bidi w:val="0"/>
        <w:rPr>
          <w:lang w:eastAsia="en-US"/>
        </w:rPr>
      </w:pPr>
      <w:r>
        <w:rPr>
          <w:lang w:eastAsia="en-US"/>
        </w:rPr>
        <w:t>（1）做好建筑垃圾堆填场入场垃圾管控，禁止所有工业固废、有毒有害废弃物、生活垃圾等入场或直接填埋。施工污水必须采取有效措施，严禁将污水直接排放，应经适当处置后再排放，避免对附近的水体造成污染。</w:t>
      </w:r>
    </w:p>
    <w:p>
      <w:pPr>
        <w:bidi w:val="0"/>
        <w:rPr>
          <w:lang w:eastAsia="en-US"/>
        </w:rPr>
      </w:pPr>
      <w:r>
        <w:rPr>
          <w:lang w:eastAsia="en-US"/>
        </w:rPr>
        <w:t>（2）建筑垃圾堆填场和资源化利用场选址不应设在地下水集中供水水源地及补给区、洪泛区和泄洪道。</w:t>
      </w:r>
    </w:p>
    <w:p>
      <w:pPr>
        <w:bidi w:val="0"/>
        <w:rPr>
          <w:lang w:eastAsia="en-US"/>
        </w:rPr>
      </w:pPr>
      <w:r>
        <w:rPr>
          <w:lang w:eastAsia="en-US"/>
        </w:rPr>
        <w:t>（3）建筑垃圾堆填场既要防止污水污染地下水，又要防止地下水侵入、浸泡垃圾体而增加污水量，应采取有效措施做好防渗处理，防止污水渗漏对地下水质造成严重污染影响。</w:t>
      </w:r>
    </w:p>
    <w:p>
      <w:pPr>
        <w:bidi w:val="0"/>
        <w:rPr>
          <w:lang w:val="en-US" w:eastAsia="en-US"/>
        </w:rPr>
      </w:pPr>
      <w:r>
        <w:rPr>
          <w:lang w:eastAsia="en-US"/>
        </w:rPr>
        <w:t>（4）建筑垃圾收集点、堆填场、资源化利用场所应设置雨、污分流设施，防止污染周边环境。同时，应建设渗滤液导排系统，确保堆填场、资源化利用场运行期间防渗衬层以上的渗滤液深度不大于30  厘米。</w:t>
      </w:r>
    </w:p>
    <w:p>
      <w:pPr>
        <w:bidi w:val="0"/>
        <w:rPr>
          <w:lang w:eastAsia="en-US"/>
        </w:rPr>
      </w:pPr>
      <w:r>
        <w:rPr>
          <w:lang w:eastAsia="en-US"/>
        </w:rPr>
        <w:t>（5）建筑垃圾堆填场、资源化利用场运行过程中产生的运输车辆清洗废水可经沉淀池、隔油池处理后回用于填埋区、道路洒水抑尘。</w:t>
      </w:r>
    </w:p>
    <w:p>
      <w:pPr>
        <w:pStyle w:val="4"/>
        <w:bidi w:val="0"/>
        <w:rPr>
          <w:lang w:eastAsia="en-US"/>
        </w:rPr>
      </w:pPr>
      <w:bookmarkStart w:id="250" w:name="bookmark173"/>
      <w:bookmarkEnd w:id="250"/>
      <w:r>
        <w:rPr>
          <w:lang w:eastAsia="en-US"/>
        </w:rPr>
        <w:t>3、土壤环境保护措施</w:t>
      </w:r>
    </w:p>
    <w:p>
      <w:pPr>
        <w:bidi w:val="0"/>
        <w:rPr>
          <w:lang w:eastAsia="en-US"/>
        </w:rPr>
      </w:pPr>
      <w:r>
        <w:rPr>
          <w:lang w:eastAsia="en-US"/>
        </w:rPr>
        <w:t>建筑垃圾堆填场、资源化利用场运行过程中，堆填区可能混杂的工业固废、有毒有害废弃物、生活垃圾在雨水下渗后形成的渗滤液可能会对土壤环境产生影响。土壤环境保护主要采取以下防治措施：</w:t>
      </w:r>
    </w:p>
    <w:p>
      <w:pPr>
        <w:bidi w:val="0"/>
        <w:rPr>
          <w:lang w:eastAsia="en-US"/>
        </w:rPr>
      </w:pPr>
      <w:r>
        <w:rPr>
          <w:lang w:eastAsia="en-US"/>
        </w:rPr>
        <w:t>（1）针对建筑垃圾对土壤带来的污染种类，应做好源头控制，实行垃圾分类回收，回收可再利用的资源，禁止所有工业固废、有毒有害废弃物、生活垃圾等入场或直接填埋。积极做好污水导排系统和污水处理设施，严格避免污水流出防渗层之类的污染事故发生，做好消纳区植被覆盖，减轻污染。</w:t>
      </w:r>
    </w:p>
    <w:p>
      <w:pPr>
        <w:bidi w:val="0"/>
        <w:rPr>
          <w:lang w:eastAsia="en-US"/>
        </w:rPr>
      </w:pPr>
      <w:r>
        <w:rPr>
          <w:lang w:eastAsia="en-US"/>
        </w:rPr>
        <w:t>（2）建筑垃圾治理建设项目各类涉及土地利用的规划和可能造成土壤污染的建设项目，应当依法进行环境影响评价。环境影响评价文件应当包括对土壤可能造成的不良影响及应当采取的相应预防措施等内容。</w:t>
      </w:r>
    </w:p>
    <w:p>
      <w:pPr>
        <w:bidi w:val="0"/>
        <w:rPr>
          <w:lang w:eastAsia="en-US"/>
        </w:rPr>
      </w:pPr>
      <w:r>
        <w:rPr>
          <w:lang w:eastAsia="en-US"/>
        </w:rPr>
        <w:t>（3）建立土壤污染隐患排查制度，保证持续有效防止有毒有害物质渗漏、流失、扬散，进行土壤污染状况监测和定期评估，制定、实施自行监测方案，并将监测数据报生态环境主管部门。</w:t>
      </w:r>
    </w:p>
    <w:p>
      <w:pPr>
        <w:bidi w:val="0"/>
        <w:rPr>
          <w:lang w:eastAsia="en-US"/>
        </w:rPr>
      </w:pPr>
      <w:r>
        <w:rPr>
          <w:lang w:eastAsia="en-US"/>
        </w:rPr>
        <w:t>（4）建筑垃圾产生源头，如拆除设施、设备或者建筑物、构筑物的区域，应当采取相应的土壤污染防治措施。</w:t>
      </w:r>
    </w:p>
    <w:p>
      <w:pPr>
        <w:pStyle w:val="4"/>
        <w:bidi w:val="0"/>
        <w:rPr>
          <w:lang w:eastAsia="en-US"/>
        </w:rPr>
      </w:pPr>
      <w:r>
        <w:rPr>
          <w:lang w:eastAsia="en-US"/>
        </w:rPr>
        <w:t>4、声环境保护措施</w:t>
      </w:r>
    </w:p>
    <w:p>
      <w:pPr>
        <w:bidi w:val="0"/>
        <w:rPr>
          <w:lang w:eastAsia="en-US"/>
        </w:rPr>
      </w:pPr>
      <w:r>
        <w:rPr>
          <w:lang w:eastAsia="en-US"/>
        </w:rPr>
        <w:t>建筑垃圾在产生、运输、处置三个阶段均会产生一定的噪声，对区域内的环境造成不同程度的影响。声环境保护主要采取以下防治措施：</w:t>
      </w:r>
    </w:p>
    <w:p>
      <w:pPr>
        <w:bidi w:val="0"/>
        <w:rPr>
          <w:lang w:eastAsia="en-US"/>
        </w:rPr>
      </w:pPr>
      <w:r>
        <w:rPr>
          <w:lang w:eastAsia="en-US"/>
        </w:rPr>
        <w:t>（1）严格控制施工工地在夜间进行产生环境噪声污染的建设施工。因生产工艺要求或者特殊需要必须连续作业，确需进行夜间施工的，必须办理《夜间施工许可证》， 并在工地进出口悬挂，公告附近居民，与居民进行沟通，求得理解和支持。 控制施工场界噪声不超过《建筑施工场界环境噪声排放标准》（GB12523-2011）。</w:t>
      </w:r>
    </w:p>
    <w:p>
      <w:pPr>
        <w:bidi w:val="0"/>
        <w:rPr>
          <w:lang w:eastAsia="en-US"/>
        </w:rPr>
      </w:pPr>
      <w:r>
        <w:rPr>
          <w:lang w:eastAsia="en-US"/>
        </w:rPr>
        <w:t>（2）建筑垃圾收集、运输、处理系统应选取低噪声运输车辆，车辆在车厢开启、关闭、卸料时产生的噪声应符合《建筑垃圾处理技术标准》（CJJ/T 134）相关要求。</w:t>
      </w:r>
    </w:p>
    <w:p>
      <w:pPr>
        <w:bidi w:val="0"/>
        <w:rPr>
          <w:lang w:eastAsia="en-US"/>
        </w:rPr>
      </w:pPr>
      <w:r>
        <w:rPr>
          <w:lang w:eastAsia="en-US"/>
        </w:rPr>
        <w:t>（3）宜通过建立绿化缓冲带、设置噪声屏障或封闭车间控制堆填场和资源化处理场噪声。</w:t>
      </w:r>
    </w:p>
    <w:p>
      <w:pPr>
        <w:bidi w:val="0"/>
        <w:rPr>
          <w:lang w:eastAsia="en-US"/>
        </w:rPr>
      </w:pPr>
      <w:r>
        <w:rPr>
          <w:lang w:eastAsia="en-US"/>
        </w:rPr>
        <w:t>（4）尽量选用低噪音设备，噪声大的建筑垃圾资源化处理车间，宜采取隔声罩、隔声间 或者在车间建筑内墙附加吸声材料等方式降低噪声。</w:t>
      </w:r>
    </w:p>
    <w:p>
      <w:pPr>
        <w:pStyle w:val="4"/>
        <w:bidi w:val="0"/>
        <w:rPr>
          <w:lang w:eastAsia="en-US"/>
        </w:rPr>
      </w:pPr>
      <w:bookmarkStart w:id="251" w:name="bookmark119"/>
      <w:bookmarkEnd w:id="251"/>
      <w:bookmarkStart w:id="252" w:name="bookmark120"/>
      <w:bookmarkEnd w:id="252"/>
      <w:r>
        <w:rPr>
          <w:rFonts w:hint="eastAsia"/>
          <w:lang w:eastAsia="zh-CN"/>
        </w:rPr>
        <w:t>（</w:t>
      </w:r>
      <w:r>
        <w:rPr>
          <w:rFonts w:hint="eastAsia"/>
          <w:lang w:val="en-US" w:eastAsia="zh-CN"/>
        </w:rPr>
        <w:t>三</w:t>
      </w:r>
      <w:r>
        <w:rPr>
          <w:rFonts w:hint="eastAsia"/>
          <w:lang w:eastAsia="zh-CN"/>
        </w:rPr>
        <w:t>）</w:t>
      </w:r>
      <w:r>
        <w:rPr>
          <w:lang w:eastAsia="en-US"/>
        </w:rPr>
        <w:t>生态恢复措施</w:t>
      </w:r>
    </w:p>
    <w:p>
      <w:pPr>
        <w:bidi w:val="0"/>
        <w:rPr>
          <w:lang w:eastAsia="en-US"/>
        </w:rPr>
      </w:pPr>
      <w:r>
        <w:rPr>
          <w:lang w:eastAsia="en-US"/>
        </w:rPr>
        <w:t>对因建筑垃圾堆填等活动受损的生态环境，制定多样的生态恢复措施，包括植被恢复、土地复垦、土壤改良等。</w:t>
      </w:r>
    </w:p>
    <w:p>
      <w:pPr>
        <w:bidi w:val="0"/>
        <w:rPr>
          <w:lang w:eastAsia="en-US"/>
        </w:rPr>
      </w:pPr>
      <w:r>
        <w:rPr>
          <w:rFonts w:hint="eastAsia"/>
          <w:lang w:eastAsia="en-US"/>
        </w:rPr>
        <w:t>建筑垃圾</w:t>
      </w:r>
      <w:r>
        <w:rPr>
          <w:rFonts w:hint="eastAsia"/>
          <w:lang w:val="en-US" w:eastAsia="zh-CN"/>
        </w:rPr>
        <w:t>填埋</w:t>
      </w:r>
      <w:r>
        <w:rPr>
          <w:rFonts w:hint="eastAsia"/>
          <w:lang w:eastAsia="en-US"/>
        </w:rPr>
        <w:t>场封场后，应进行生态修复，将形成以生物多样性低、功能下降为特征的各式各样的退化生态系统，成为一个个难以痊愈的伤口，影响景观，破坏生态。在发达国家，关于建筑垃圾</w:t>
      </w:r>
      <w:r>
        <w:rPr>
          <w:rFonts w:hint="eastAsia"/>
          <w:lang w:val="en-US" w:eastAsia="zh-CN"/>
        </w:rPr>
        <w:t>填埋</w:t>
      </w:r>
      <w:r>
        <w:rPr>
          <w:rFonts w:hint="eastAsia"/>
          <w:lang w:eastAsia="en-US"/>
        </w:rPr>
        <w:t>场封场用地治理及恢复的法律体系正在逐渐形成，但是在发展中国家，对建筑垃圾</w:t>
      </w:r>
      <w:r>
        <w:rPr>
          <w:rFonts w:hint="eastAsia"/>
          <w:lang w:val="en-US" w:eastAsia="zh-CN"/>
        </w:rPr>
        <w:t>填埋</w:t>
      </w:r>
      <w:r>
        <w:rPr>
          <w:rFonts w:hint="eastAsia"/>
          <w:lang w:eastAsia="en-US"/>
        </w:rPr>
        <w:t>场封场用地的治理和恢复还没有得到重视。</w:t>
      </w:r>
    </w:p>
    <w:p>
      <w:pPr>
        <w:pStyle w:val="4"/>
        <w:bidi w:val="0"/>
        <w:rPr>
          <w:lang w:eastAsia="en-US"/>
        </w:rPr>
      </w:pPr>
      <w:r>
        <w:rPr>
          <w:lang w:eastAsia="en-US"/>
        </w:rPr>
        <w:t>1、植被恢复</w:t>
      </w:r>
    </w:p>
    <w:p>
      <w:pPr>
        <w:bidi w:val="0"/>
        <w:rPr>
          <w:lang w:eastAsia="en-US"/>
        </w:rPr>
      </w:pPr>
      <w:r>
        <w:rPr>
          <w:lang w:eastAsia="en-US"/>
        </w:rPr>
        <w:t>优先选择适应性强、耐贫瘠、速生的乡土草本和灌木植物如狗牙根、芒草、胡枝子等，快速覆盖地表，防止水土流失，逐步恢复生态系统的生产力和生物多样性。通过不同树种的搭配和空间布局，为鸟类、小型哺乳动物和昆虫提供栖息地。将恢复区与周边现有的绿地、林地、水系通过生态廊道连接起来，形成完整的生态网络。</w:t>
      </w:r>
    </w:p>
    <w:p>
      <w:pPr>
        <w:pStyle w:val="4"/>
        <w:bidi w:val="0"/>
        <w:rPr>
          <w:lang w:eastAsia="en-US"/>
        </w:rPr>
      </w:pPr>
      <w:r>
        <w:rPr>
          <w:lang w:eastAsia="en-US"/>
        </w:rPr>
        <w:t>2、土地复垦</w:t>
      </w:r>
    </w:p>
    <w:p>
      <w:pPr>
        <w:bidi w:val="0"/>
        <w:rPr>
          <w:lang w:eastAsia="en-US"/>
        </w:rPr>
      </w:pPr>
      <w:r>
        <w:rPr>
          <w:lang w:eastAsia="en-US"/>
        </w:rPr>
        <w:t>根据建筑垃圾堆填前土地类型确定复垦的方向，将受损地块恢复为林地、草地或园地。在复垦前，首先清除有害垃圾和大体积障碍物。同时，对不稳定的陡坡进行削坡处理，通过削坡减载、平整等，以消除地质灾害隐患，形成利于复垦的地形。根据复垦方向和立地条件，科学选择乡土树种和草种。在复垦后一段时间内，对土壤质量、水质、植被成活率与长势、边坡稳定性等进行定期监测。</w:t>
      </w:r>
    </w:p>
    <w:p>
      <w:pPr>
        <w:pStyle w:val="4"/>
        <w:bidi w:val="0"/>
        <w:rPr>
          <w:lang w:eastAsia="en-US"/>
        </w:rPr>
      </w:pPr>
      <w:r>
        <w:rPr>
          <w:lang w:eastAsia="en-US"/>
        </w:rPr>
        <w:t>3、土壤改良</w:t>
      </w:r>
    </w:p>
    <w:p>
      <w:pPr>
        <w:bidi w:val="0"/>
        <w:rPr>
          <w:lang w:eastAsia="en-US"/>
        </w:rPr>
      </w:pPr>
      <w:r>
        <w:rPr>
          <w:lang w:eastAsia="en-US"/>
        </w:rPr>
        <w:t>对板结的土壤进行深翻、掺入碎木屑、回收的砖瓦碎料等，改善透气性和排水性。针对碱性污染（来自混凝土碎块），可添加硫磺粉、腐殖酸等进行中和；对于贫瘠土壤，添加有机肥、堆肥提升肥力。此外，还可通过种植绿肥植物（如紫云英、苜蓿），利用其根系固氮和改良土壤结构。</w:t>
      </w:r>
    </w:p>
    <w:p>
      <w:pPr>
        <w:pStyle w:val="3"/>
        <w:bidi w:val="0"/>
        <w:rPr>
          <w:rFonts w:hint="eastAsia" w:ascii="楷体" w:hAnsi="楷体" w:eastAsia="楷体" w:cs="楷体"/>
          <w:sz w:val="28"/>
          <w:szCs w:val="28"/>
          <w:lang w:eastAsia="en-US"/>
        </w:rPr>
      </w:pPr>
      <w:bookmarkStart w:id="253" w:name="bookmark122"/>
      <w:bookmarkEnd w:id="253"/>
      <w:bookmarkStart w:id="254" w:name="bookmark121"/>
      <w:bookmarkEnd w:id="254"/>
      <w:bookmarkStart w:id="255" w:name="_Toc20033"/>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四</w:t>
      </w:r>
      <w:r>
        <w:rPr>
          <w:rFonts w:hint="eastAsia" w:ascii="楷体" w:hAnsi="楷体" w:eastAsia="楷体" w:cs="楷体"/>
          <w:sz w:val="28"/>
          <w:szCs w:val="28"/>
          <w:lang w:eastAsia="zh-CN"/>
        </w:rPr>
        <w:t>）</w:t>
      </w:r>
      <w:r>
        <w:rPr>
          <w:rFonts w:hint="eastAsia" w:ascii="楷体" w:hAnsi="楷体" w:eastAsia="楷体" w:cs="楷体"/>
          <w:sz w:val="28"/>
          <w:szCs w:val="28"/>
          <w:lang w:eastAsia="en-US"/>
        </w:rPr>
        <w:t>安全卫生措施</w:t>
      </w:r>
      <w:bookmarkEnd w:id="255"/>
    </w:p>
    <w:p>
      <w:pPr>
        <w:bidi w:val="0"/>
        <w:rPr>
          <w:lang w:eastAsia="en-US"/>
        </w:rPr>
      </w:pPr>
      <w:r>
        <w:rPr>
          <w:rFonts w:hint="eastAsia"/>
          <w:lang w:eastAsia="en-US"/>
        </w:rPr>
        <w:t>各类建筑垃圾处置设施的安全控制作业过程的安全卫生管理应符合现行国家标准《生产过程安全卫生要求总则》GB/T12801的有关规定。做好火灾预防工作。保证场区雨污分流彻底。做好各类建筑垃圾处置设施的雷电防护。必须贯彻“安全第一，预防为主”和劳动保护条例的落实，确保职工身体健康。</w:t>
      </w:r>
    </w:p>
    <w:p>
      <w:pPr>
        <w:bidi w:val="0"/>
        <w:rPr>
          <w:lang w:eastAsia="en-US"/>
        </w:rPr>
      </w:pPr>
      <w:r>
        <w:rPr>
          <w:lang w:eastAsia="en-US"/>
        </w:rPr>
        <w:t>应加强建筑垃圾全流程管理，定期组织开展建筑垃圾安全生产排查整治工作，抽查建筑垃圾排放、运输、消纳和资源化利用设施的安全运营管理情况，制定问题台账，及时整改，并持续跟踪。各类建筑垃圾处置设施的安全生产预防控制应符合以下要求：</w:t>
      </w:r>
    </w:p>
    <w:p>
      <w:pPr>
        <w:bidi w:val="0"/>
        <w:rPr>
          <w:lang w:eastAsia="en-US"/>
        </w:rPr>
      </w:pPr>
      <w:r>
        <w:rPr>
          <w:lang w:eastAsia="en-US"/>
        </w:rPr>
        <w:t>（1）建筑垃圾处置作业过程的安全卫生管理应符合现行国家标准《生产过程安全卫生要求总则》（GB/T 12801）的有关规定。</w:t>
      </w:r>
    </w:p>
    <w:p>
      <w:pPr>
        <w:bidi w:val="0"/>
        <w:rPr>
          <w:lang w:eastAsia="en-US"/>
        </w:rPr>
      </w:pPr>
      <w:r>
        <w:rPr>
          <w:lang w:eastAsia="en-US"/>
        </w:rPr>
        <w:t>（2）从事建筑垃圾收集、运输、处理的企业和单位应对作业人员进行劳动安全卫生保护专业培训。</w:t>
      </w:r>
    </w:p>
    <w:p>
      <w:pPr>
        <w:bidi w:val="0"/>
        <w:rPr>
          <w:lang w:eastAsia="en-US"/>
        </w:rPr>
      </w:pPr>
      <w:r>
        <w:rPr>
          <w:lang w:eastAsia="en-US"/>
        </w:rPr>
        <w:t>（3）建筑垃圾处理工程应按规定配置作业机械、劳动工具与职业病防护用品。</w:t>
      </w:r>
    </w:p>
    <w:p>
      <w:pPr>
        <w:bidi w:val="0"/>
        <w:rPr>
          <w:lang w:eastAsia="en-US"/>
        </w:rPr>
      </w:pPr>
      <w:r>
        <w:rPr>
          <w:lang w:eastAsia="en-US"/>
        </w:rPr>
        <w:t>（4）应在建筑垃圾处理工程现场设置劳动防护用品贮存室，定期进行盘库和补充；应定期对使用过的劳动防护用品进行清洗和消毒；应及时更换有破损的劳动防护用品。</w:t>
      </w:r>
    </w:p>
    <w:p>
      <w:pPr>
        <w:bidi w:val="0"/>
        <w:rPr>
          <w:lang w:eastAsia="en-US"/>
        </w:rPr>
      </w:pPr>
      <w:r>
        <w:rPr>
          <w:lang w:eastAsia="en-US"/>
        </w:rPr>
        <w:t>（5）建筑垃圾处理工程应设道路行车指示、安全标志及环境卫生设施标志。</w:t>
      </w:r>
    </w:p>
    <w:p>
      <w:pPr>
        <w:bidi w:val="0"/>
        <w:rPr>
          <w:lang w:eastAsia="en-US"/>
        </w:rPr>
      </w:pPr>
      <w:r>
        <w:rPr>
          <w:lang w:eastAsia="en-US"/>
        </w:rPr>
        <w:t>（6）建筑垃圾收集、运输、处理系统的环境保护与安全卫生除满足以上规定外，尚应符合国家现行相关标准的规定。</w:t>
      </w:r>
    </w:p>
    <w:p>
      <w:pPr>
        <w:bidi w:val="0"/>
        <w:rPr>
          <w:rFonts w:hint="eastAsia"/>
          <w:lang w:eastAsia="en-US"/>
        </w:rPr>
      </w:pPr>
      <w:r>
        <w:rPr>
          <w:lang w:eastAsia="en-US"/>
        </w:rPr>
        <w:t>（7）建筑垃圾堆放、堆填、填埋处置高度和边坡应符合安全稳定要求。建筑垃圾堆放高度高出地坪不宜超过3m。当超过3m时，应进行堆体和地基稳定性验算，保证堆体和地基的稳定安全。当堆放场地附近有挖方工程时，应进行堆体</w:t>
      </w:r>
      <w:r>
        <w:rPr>
          <w:rFonts w:hint="eastAsia"/>
          <w:lang w:eastAsia="en-US"/>
        </w:rPr>
        <w:t>和挖方边坡稳定性验算，保证挖方工程安全。堆填施工边坡坡度不宜大于1</w:t>
      </w:r>
      <w:r>
        <w:rPr>
          <w:rFonts w:hint="eastAsia"/>
          <w:lang w:eastAsia="zh-CN"/>
        </w:rPr>
        <w:t>：</w:t>
      </w:r>
      <w:r>
        <w:rPr>
          <w:rFonts w:hint="eastAsia"/>
          <w:lang w:eastAsia="en-US"/>
        </w:rPr>
        <w:t>2</w:t>
      </w:r>
      <w:r>
        <w:rPr>
          <w:rFonts w:hint="eastAsia"/>
          <w:lang w:eastAsia="zh-CN"/>
        </w:rPr>
        <w:t>，</w:t>
      </w:r>
      <w:r>
        <w:rPr>
          <w:rFonts w:hint="eastAsia"/>
          <w:lang w:eastAsia="en-US"/>
        </w:rPr>
        <w:t>基础压实程度不应小于93%，边坡压实程度不应小于90%。</w:t>
      </w:r>
    </w:p>
    <w:p>
      <w:pPr>
        <w:bidi w:val="0"/>
        <w:rPr>
          <w:rFonts w:hint="eastAsia"/>
          <w:lang w:eastAsia="en-US"/>
        </w:rPr>
      </w:pPr>
      <w:bookmarkStart w:id="256" w:name="OLE_LINK115"/>
      <w:r>
        <w:rPr>
          <w:rFonts w:hint="eastAsia"/>
          <w:lang w:eastAsia="en-US"/>
        </w:rPr>
        <w:t>（8）堆填场应设置排水措施，堆体应进行覆盖，防止雨水及地表水入侵，确保堆体稳定；雨季作业时，应采取措施防止地面水流入堆填点内部，避免边坡塌方。根据场地实际地形地貌情况修筑挡土坝，增加边坡稳定性。</w:t>
      </w:r>
    </w:p>
    <w:p>
      <w:pPr>
        <w:bidi w:val="0"/>
        <w:rPr>
          <w:rFonts w:hint="eastAsia"/>
          <w:lang w:eastAsia="en-US"/>
        </w:rPr>
      </w:pPr>
      <w:r>
        <w:rPr>
          <w:rFonts w:hint="eastAsia"/>
          <w:lang w:eastAsia="en-US"/>
        </w:rPr>
        <w:t>（9）建筑垃圾处理工程现场的劳动卫生应按现行国家标准《工业企业设计卫生标准》（GBZ 1-2010）《生产过程安全卫生要求总则》（GB/T 12801-2008）的有关规定执行，并应结合作业特点采取有利于职业病防治和保护作业人员健康的措施。</w:t>
      </w:r>
    </w:p>
    <w:bookmarkEnd w:id="256"/>
    <w:p>
      <w:pPr>
        <w:pStyle w:val="2"/>
        <w:bidi w:val="0"/>
        <w:rPr>
          <w:rFonts w:hint="eastAsia"/>
        </w:rPr>
      </w:pPr>
      <w:bookmarkStart w:id="257" w:name="_Toc21790"/>
      <w:r>
        <w:rPr>
          <w:rFonts w:hint="eastAsia"/>
          <w:lang w:val="en-US" w:eastAsia="zh-CN"/>
        </w:rPr>
        <w:t>十一、</w:t>
      </w:r>
      <w:r>
        <w:rPr>
          <w:rFonts w:hint="eastAsia"/>
        </w:rPr>
        <w:t>近期建设规划</w:t>
      </w:r>
      <w:bookmarkEnd w:id="257"/>
    </w:p>
    <w:p>
      <w:pPr>
        <w:pStyle w:val="3"/>
        <w:bidi w:val="0"/>
        <w:rPr>
          <w:rFonts w:hint="eastAsia" w:ascii="楷体" w:hAnsi="楷体" w:eastAsia="楷体" w:cs="楷体"/>
          <w:sz w:val="28"/>
          <w:szCs w:val="28"/>
        </w:rPr>
      </w:pPr>
      <w:bookmarkStart w:id="258" w:name="_Toc19820"/>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一</w:t>
      </w:r>
      <w:r>
        <w:rPr>
          <w:rFonts w:hint="eastAsia" w:ascii="楷体" w:hAnsi="楷体" w:eastAsia="楷体" w:cs="楷体"/>
          <w:sz w:val="28"/>
          <w:szCs w:val="28"/>
          <w:lang w:eastAsia="zh-CN"/>
        </w:rPr>
        <w:t>）</w:t>
      </w:r>
      <w:r>
        <w:rPr>
          <w:rFonts w:hint="eastAsia" w:ascii="楷体" w:hAnsi="楷体" w:eastAsia="楷体" w:cs="楷体"/>
          <w:sz w:val="28"/>
          <w:szCs w:val="28"/>
        </w:rPr>
        <w:t>近期建设任务</w:t>
      </w:r>
      <w:bookmarkEnd w:id="258"/>
    </w:p>
    <w:p>
      <w:pPr>
        <w:bidi w:val="0"/>
        <w:rPr>
          <w:rFonts w:hint="eastAsia"/>
        </w:rPr>
      </w:pPr>
      <w:r>
        <w:rPr>
          <w:rFonts w:hint="eastAsia"/>
        </w:rPr>
        <w:t>近期建设内容主要包括建筑垃圾</w:t>
      </w:r>
      <w:bookmarkStart w:id="259" w:name="OLE_LINK114"/>
      <w:r>
        <w:rPr>
          <w:rFonts w:hint="eastAsia"/>
        </w:rPr>
        <w:t>处理</w:t>
      </w:r>
      <w:bookmarkEnd w:id="259"/>
      <w:r>
        <w:rPr>
          <w:rFonts w:hint="eastAsia"/>
        </w:rPr>
        <w:t>设施建设和建筑垃圾信息化管理平台建设，从硬件和软件两个方面提升</w:t>
      </w:r>
      <w:r>
        <w:rPr>
          <w:rFonts w:hint="eastAsia"/>
          <w:lang w:val="en-US" w:eastAsia="zh-CN"/>
        </w:rPr>
        <w:t>桃江县</w:t>
      </w:r>
      <w:r>
        <w:rPr>
          <w:rFonts w:hint="eastAsia"/>
        </w:rPr>
        <w:t>建筑垃圾综合利用水平和处置消纳能力。</w:t>
      </w:r>
    </w:p>
    <w:p>
      <w:pPr>
        <w:pStyle w:val="4"/>
        <w:bidi w:val="0"/>
        <w:rPr>
          <w:rFonts w:hint="eastAsia"/>
        </w:rPr>
      </w:pPr>
      <w:r>
        <w:rPr>
          <w:rFonts w:hint="eastAsia"/>
        </w:rPr>
        <w:t>1、建筑垃圾处理设施建设</w:t>
      </w:r>
    </w:p>
    <w:p>
      <w:pPr>
        <w:bidi w:val="0"/>
        <w:rPr>
          <w:rFonts w:hint="eastAsia"/>
        </w:rPr>
      </w:pPr>
      <w:r>
        <w:rPr>
          <w:rFonts w:ascii="Times New Roman" w:hAnsi="Times New Roman" w:eastAsia="仿宋" w:cs="Times New Roman"/>
          <w:sz w:val="28"/>
          <w:lang w:eastAsia="en-US"/>
        </w:rPr>
        <w:t>近期规划在</w:t>
      </w:r>
      <w:r>
        <w:rPr>
          <w:rFonts w:hint="eastAsia" w:cs="Times New Roman"/>
          <w:sz w:val="28"/>
          <w:lang w:val="en-US" w:eastAsia="zh-CN"/>
        </w:rPr>
        <w:t>鸬鹚渡镇</w:t>
      </w:r>
      <w:r>
        <w:rPr>
          <w:rFonts w:hint="eastAsia" w:ascii="Times New Roman" w:hAnsi="Times New Roman" w:eastAsia="仿宋" w:cs="Times New Roman"/>
          <w:sz w:val="28"/>
          <w:lang w:val="en-US" w:eastAsia="zh-CN"/>
        </w:rPr>
        <w:t>建设一座处理能力不低于</w:t>
      </w:r>
      <w:r>
        <w:rPr>
          <w:rFonts w:hint="eastAsia" w:cs="Times New Roman"/>
          <w:sz w:val="28"/>
          <w:lang w:val="en-US" w:eastAsia="zh-CN"/>
        </w:rPr>
        <w:t>90</w:t>
      </w:r>
      <w:r>
        <w:rPr>
          <w:rFonts w:hint="eastAsia" w:ascii="Times New Roman" w:hAnsi="Times New Roman" w:eastAsia="仿宋" w:cs="Times New Roman"/>
          <w:sz w:val="28"/>
          <w:lang w:val="en-US" w:eastAsia="zh-CN"/>
        </w:rPr>
        <w:t>万吨的建筑垃圾填埋场</w:t>
      </w:r>
      <w:r>
        <w:rPr>
          <w:rFonts w:ascii="Times New Roman" w:hAnsi="Times New Roman" w:eastAsia="仿宋" w:cs="Times New Roman"/>
          <w:sz w:val="28"/>
          <w:lang w:eastAsia="en-US"/>
        </w:rPr>
        <w:t>，</w:t>
      </w:r>
      <w:r>
        <w:rPr>
          <w:rFonts w:hint="eastAsia" w:ascii="Times New Roman" w:hAnsi="Times New Roman" w:eastAsia="仿宋" w:cs="Times New Roman"/>
          <w:sz w:val="28"/>
          <w:lang w:val="en-US" w:eastAsia="zh-CN"/>
        </w:rPr>
        <w:t>在牛田镇和</w:t>
      </w:r>
      <w:bookmarkStart w:id="260" w:name="OLE_LINK118"/>
      <w:r>
        <w:rPr>
          <w:rFonts w:hint="eastAsia" w:cs="Times New Roman"/>
          <w:sz w:val="28"/>
          <w:lang w:val="en-US" w:eastAsia="zh-CN"/>
        </w:rPr>
        <w:t>大栗港</w:t>
      </w:r>
      <w:r>
        <w:rPr>
          <w:rFonts w:hint="eastAsia" w:ascii="Times New Roman" w:hAnsi="Times New Roman" w:eastAsia="仿宋" w:cs="Times New Roman"/>
          <w:sz w:val="28"/>
          <w:lang w:val="en-US" w:eastAsia="zh-CN"/>
        </w:rPr>
        <w:t>镇</w:t>
      </w:r>
      <w:bookmarkEnd w:id="260"/>
      <w:r>
        <w:rPr>
          <w:rFonts w:hint="eastAsia" w:ascii="Times New Roman" w:hAnsi="Times New Roman" w:eastAsia="仿宋" w:cs="Times New Roman"/>
          <w:sz w:val="28"/>
          <w:lang w:val="en-US" w:eastAsia="zh-CN"/>
        </w:rPr>
        <w:t>分别建设一座年处理能力不低于</w:t>
      </w:r>
      <w:r>
        <w:rPr>
          <w:rFonts w:hint="eastAsia" w:cs="Times New Roman"/>
          <w:sz w:val="28"/>
          <w:lang w:val="en-US" w:eastAsia="zh-CN"/>
        </w:rPr>
        <w:t>25</w:t>
      </w:r>
      <w:r>
        <w:rPr>
          <w:rFonts w:hint="eastAsia" w:ascii="Times New Roman" w:hAnsi="Times New Roman" w:eastAsia="仿宋" w:cs="Times New Roman"/>
          <w:sz w:val="28"/>
          <w:lang w:val="en-US" w:eastAsia="zh-CN"/>
        </w:rPr>
        <w:t>万吨的</w:t>
      </w:r>
      <w:bookmarkStart w:id="261" w:name="OLE_LINK117"/>
      <w:r>
        <w:rPr>
          <w:rFonts w:hint="eastAsia" w:ascii="Times New Roman" w:hAnsi="Times New Roman" w:eastAsia="仿宋" w:cs="Times New Roman"/>
          <w:sz w:val="28"/>
          <w:lang w:val="en-US" w:eastAsia="zh-CN"/>
        </w:rPr>
        <w:t>转运调配场</w:t>
      </w:r>
      <w:bookmarkEnd w:id="261"/>
      <w:r>
        <w:rPr>
          <w:rFonts w:hint="eastAsia" w:ascii="Times New Roman" w:hAnsi="Times New Roman" w:eastAsia="仿宋" w:cs="Times New Roman"/>
          <w:sz w:val="28"/>
          <w:lang w:val="en-US" w:eastAsia="zh-CN"/>
        </w:rPr>
        <w:t>。</w:t>
      </w:r>
    </w:p>
    <w:p>
      <w:pPr>
        <w:bidi w:val="0"/>
        <w:rPr>
          <w:rFonts w:hint="eastAsia"/>
        </w:rPr>
      </w:pPr>
      <w:r>
        <w:rPr>
          <w:rFonts w:hint="eastAsia"/>
        </w:rPr>
        <w:t>（1）</w:t>
      </w:r>
      <w:bookmarkStart w:id="262" w:name="OLE_LINK120"/>
      <w:bookmarkStart w:id="263" w:name="OLE_LINK126"/>
      <w:r>
        <w:rPr>
          <w:rFonts w:hint="eastAsia" w:cs="Times New Roman"/>
          <w:sz w:val="28"/>
          <w:lang w:val="en-US" w:eastAsia="zh-CN"/>
        </w:rPr>
        <w:t>鸬鹚渡镇</w:t>
      </w:r>
      <w:r>
        <w:rPr>
          <w:rFonts w:hint="eastAsia"/>
        </w:rPr>
        <w:t>建</w:t>
      </w:r>
      <w:bookmarkEnd w:id="262"/>
      <w:r>
        <w:rPr>
          <w:rFonts w:hint="eastAsia"/>
        </w:rPr>
        <w:t>筑垃圾堆填场</w:t>
      </w:r>
      <w:bookmarkEnd w:id="263"/>
    </w:p>
    <w:p>
      <w:pPr>
        <w:bidi w:val="0"/>
        <w:rPr>
          <w:rFonts w:hint="eastAsia"/>
        </w:rPr>
      </w:pPr>
      <w:r>
        <w:rPr>
          <w:rFonts w:hint="eastAsia"/>
          <w:lang w:val="en-US" w:eastAsia="zh-CN"/>
        </w:rPr>
        <w:t>桃江县</w:t>
      </w:r>
      <w:r>
        <w:rPr>
          <w:rFonts w:hint="eastAsia" w:cs="Times New Roman"/>
          <w:sz w:val="28"/>
          <w:lang w:val="en-US" w:eastAsia="zh-CN"/>
        </w:rPr>
        <w:t>鸬鹚渡镇</w:t>
      </w:r>
      <w:r>
        <w:rPr>
          <w:rFonts w:hint="eastAsia"/>
        </w:rPr>
        <w:t>建筑垃圾堆填场规划用地面积约</w:t>
      </w:r>
      <w:r>
        <w:rPr>
          <w:rFonts w:hint="eastAsia"/>
          <w:lang w:val="en-US" w:eastAsia="zh-CN"/>
        </w:rPr>
        <w:t>50</w:t>
      </w:r>
      <w:r>
        <w:rPr>
          <w:rFonts w:hint="eastAsia"/>
        </w:rPr>
        <w:t>亩。规划可处理建筑垃圾量约</w:t>
      </w:r>
      <w:r>
        <w:rPr>
          <w:rFonts w:hint="eastAsia"/>
          <w:lang w:val="en-US" w:eastAsia="zh-CN"/>
        </w:rPr>
        <w:t>90</w:t>
      </w:r>
      <w:r>
        <w:rPr>
          <w:rFonts w:hint="eastAsia"/>
        </w:rPr>
        <w:t>万吨。主要建设内容包括建筑垃圾堆填处置场地、分拣设施、道路硬化、洗车槽和喷淋设备等配套基础设施等，项目总投资约</w:t>
      </w:r>
      <w:r>
        <w:rPr>
          <w:rFonts w:hint="eastAsia"/>
          <w:lang w:val="en-US" w:eastAsia="zh-CN"/>
        </w:rPr>
        <w:t>2000</w:t>
      </w:r>
      <w:r>
        <w:rPr>
          <w:rFonts w:hint="eastAsia"/>
        </w:rPr>
        <w:t>万元。</w:t>
      </w:r>
    </w:p>
    <w:p>
      <w:pPr>
        <w:bidi w:val="0"/>
        <w:rPr>
          <w:rFonts w:hint="eastAsia" w:ascii="仿宋" w:hAnsi="仿宋" w:eastAsia="仿宋" w:cs="仿宋"/>
          <w:lang w:val="en-US" w:eastAsia="zh-CN"/>
        </w:rPr>
      </w:pPr>
      <w:r>
        <w:rPr>
          <w:rFonts w:hint="eastAsia" w:ascii="仿宋" w:hAnsi="仿宋" w:eastAsia="仿宋" w:cs="仿宋"/>
        </w:rPr>
        <w:t>（2）</w:t>
      </w:r>
      <w:bookmarkStart w:id="264" w:name="OLE_LINK122"/>
      <w:bookmarkStart w:id="265" w:name="OLE_LINK127"/>
      <w:r>
        <w:rPr>
          <w:rFonts w:hint="eastAsia" w:ascii="仿宋" w:hAnsi="仿宋" w:eastAsia="仿宋" w:cs="仿宋"/>
          <w:sz w:val="28"/>
          <w:lang w:val="en-US" w:eastAsia="zh-CN"/>
        </w:rPr>
        <w:t>牛田镇</w:t>
      </w:r>
      <w:r>
        <w:rPr>
          <w:rFonts w:hint="eastAsia" w:ascii="仿宋" w:hAnsi="仿宋" w:eastAsia="仿宋" w:cs="仿宋"/>
        </w:rPr>
        <w:t>建筑垃圾</w:t>
      </w:r>
      <w:bookmarkEnd w:id="264"/>
      <w:bookmarkStart w:id="266" w:name="OLE_LINK119"/>
      <w:bookmarkStart w:id="267" w:name="OLE_LINK123"/>
      <w:r>
        <w:rPr>
          <w:rFonts w:hint="eastAsia" w:ascii="仿宋" w:hAnsi="仿宋" w:eastAsia="仿宋" w:cs="仿宋"/>
          <w:lang w:val="en-US" w:eastAsia="zh-CN"/>
        </w:rPr>
        <w:t>转运调配</w:t>
      </w:r>
      <w:bookmarkEnd w:id="266"/>
      <w:r>
        <w:rPr>
          <w:rFonts w:hint="eastAsia" w:ascii="仿宋" w:hAnsi="仿宋" w:eastAsia="仿宋" w:cs="仿宋"/>
          <w:lang w:val="en-US" w:eastAsia="zh-CN"/>
        </w:rPr>
        <w:t>场</w:t>
      </w:r>
      <w:bookmarkEnd w:id="265"/>
      <w:bookmarkEnd w:id="267"/>
    </w:p>
    <w:p>
      <w:pPr>
        <w:bidi w:val="0"/>
        <w:rPr>
          <w:rFonts w:hint="eastAsia"/>
        </w:rPr>
      </w:pPr>
      <w:r>
        <w:rPr>
          <w:rFonts w:hint="eastAsia" w:ascii="仿宋" w:hAnsi="仿宋" w:eastAsia="仿宋" w:cs="仿宋"/>
          <w:lang w:val="en-US" w:eastAsia="zh-CN"/>
        </w:rPr>
        <w:t>桃江县</w:t>
      </w:r>
      <w:r>
        <w:rPr>
          <w:rFonts w:hint="eastAsia" w:ascii="仿宋" w:hAnsi="仿宋" w:eastAsia="仿宋" w:cs="仿宋"/>
          <w:sz w:val="28"/>
          <w:lang w:val="en-US" w:eastAsia="zh-CN"/>
        </w:rPr>
        <w:t>牛田镇</w:t>
      </w:r>
      <w:r>
        <w:rPr>
          <w:rFonts w:hint="eastAsia" w:ascii="仿宋" w:hAnsi="仿宋" w:eastAsia="仿宋" w:cs="仿宋"/>
        </w:rPr>
        <w:t>建筑垃圾</w:t>
      </w:r>
      <w:r>
        <w:rPr>
          <w:rFonts w:hint="eastAsia" w:ascii="仿宋" w:hAnsi="仿宋" w:eastAsia="仿宋" w:cs="仿宋"/>
          <w:lang w:val="en-US" w:eastAsia="zh-CN"/>
        </w:rPr>
        <w:t>转运调配</w:t>
      </w:r>
      <w:r>
        <w:rPr>
          <w:rFonts w:hint="eastAsia" w:ascii="仿宋" w:hAnsi="仿宋" w:cs="仿宋"/>
          <w:lang w:val="en-US" w:eastAsia="zh-CN"/>
        </w:rPr>
        <w:t>场</w:t>
      </w:r>
      <w:r>
        <w:rPr>
          <w:rFonts w:hint="eastAsia" w:ascii="仿宋" w:hAnsi="仿宋" w:eastAsia="仿宋" w:cs="仿宋"/>
        </w:rPr>
        <w:t>规划用地面积约</w:t>
      </w:r>
      <w:r>
        <w:rPr>
          <w:rFonts w:hint="eastAsia" w:ascii="仿宋" w:hAnsi="仿宋" w:cs="仿宋"/>
          <w:lang w:val="en-US" w:eastAsia="zh-CN"/>
        </w:rPr>
        <w:t>25</w:t>
      </w:r>
      <w:r>
        <w:rPr>
          <w:rFonts w:hint="eastAsia" w:ascii="仿宋" w:hAnsi="仿宋" w:eastAsia="仿宋" w:cs="仿宋"/>
        </w:rPr>
        <w:t>亩。</w:t>
      </w:r>
      <w:bookmarkStart w:id="268" w:name="OLE_LINK125"/>
      <w:r>
        <w:rPr>
          <w:rFonts w:hint="eastAsia" w:ascii="仿宋" w:hAnsi="仿宋" w:eastAsia="仿宋" w:cs="仿宋"/>
        </w:rPr>
        <w:t>规划可处理建筑垃</w:t>
      </w:r>
      <w:r>
        <w:rPr>
          <w:rFonts w:hint="eastAsia"/>
        </w:rPr>
        <w:t>圾量约</w:t>
      </w:r>
      <w:r>
        <w:rPr>
          <w:rFonts w:hint="eastAsia"/>
          <w:lang w:val="en-US" w:eastAsia="zh-CN"/>
        </w:rPr>
        <w:t>30</w:t>
      </w:r>
      <w:r>
        <w:rPr>
          <w:rFonts w:hint="eastAsia"/>
        </w:rPr>
        <w:t>万吨</w:t>
      </w:r>
      <w:r>
        <w:rPr>
          <w:rFonts w:hint="eastAsia"/>
          <w:lang w:val="en-US" w:eastAsia="zh-CN"/>
        </w:rPr>
        <w:t>/年</w:t>
      </w:r>
      <w:r>
        <w:rPr>
          <w:rFonts w:hint="eastAsia"/>
        </w:rPr>
        <w:t>。项目需要在完善环评、地勘、用地报批等手续的基础上，建设垃圾堆填处置场地、分拣设施、道路硬化等配套基础设施等，项目总投资约</w:t>
      </w:r>
      <w:r>
        <w:rPr>
          <w:rFonts w:hint="eastAsia"/>
          <w:lang w:val="en-US" w:eastAsia="zh-CN"/>
        </w:rPr>
        <w:t>1200</w:t>
      </w:r>
      <w:r>
        <w:rPr>
          <w:rFonts w:hint="eastAsia"/>
        </w:rPr>
        <w:t>万元。</w:t>
      </w:r>
    </w:p>
    <w:bookmarkEnd w:id="268"/>
    <w:p>
      <w:pPr>
        <w:bidi w:val="0"/>
        <w:rPr>
          <w:rFonts w:hint="eastAsia"/>
        </w:rPr>
      </w:pPr>
      <w:r>
        <w:rPr>
          <w:rFonts w:hint="eastAsia"/>
        </w:rPr>
        <w:t>（3）</w:t>
      </w:r>
      <w:bookmarkStart w:id="269" w:name="OLE_LINK124"/>
      <w:bookmarkStart w:id="270" w:name="OLE_LINK128"/>
      <w:r>
        <w:rPr>
          <w:rFonts w:hint="eastAsia" w:cs="Times New Roman"/>
          <w:sz w:val="28"/>
          <w:lang w:val="en-US" w:eastAsia="zh-CN"/>
        </w:rPr>
        <w:t>大栗港</w:t>
      </w:r>
      <w:r>
        <w:rPr>
          <w:rFonts w:hint="eastAsia" w:ascii="Times New Roman" w:hAnsi="Times New Roman" w:eastAsia="仿宋" w:cs="Times New Roman"/>
          <w:sz w:val="28"/>
          <w:lang w:val="en-US" w:eastAsia="zh-CN"/>
        </w:rPr>
        <w:t>镇</w:t>
      </w:r>
      <w:r>
        <w:rPr>
          <w:rFonts w:hint="eastAsia"/>
        </w:rPr>
        <w:t>建筑垃圾</w:t>
      </w:r>
      <w:bookmarkEnd w:id="269"/>
      <w:r>
        <w:rPr>
          <w:rFonts w:hint="eastAsia" w:ascii="仿宋" w:hAnsi="仿宋" w:eastAsia="仿宋" w:cs="仿宋"/>
          <w:lang w:val="en-US" w:eastAsia="zh-CN"/>
        </w:rPr>
        <w:t>转运调配场</w:t>
      </w:r>
      <w:bookmarkEnd w:id="270"/>
    </w:p>
    <w:p>
      <w:pPr>
        <w:bidi w:val="0"/>
        <w:rPr>
          <w:rFonts w:hint="eastAsia"/>
        </w:rPr>
      </w:pPr>
      <w:r>
        <w:rPr>
          <w:rFonts w:hint="eastAsia" w:ascii="Times New Roman" w:hAnsi="Times New Roman" w:eastAsia="仿宋" w:cs="Times New Roman"/>
          <w:sz w:val="28"/>
          <w:lang w:val="en-US" w:eastAsia="zh-CN"/>
        </w:rPr>
        <w:t>沾溪镇</w:t>
      </w:r>
      <w:r>
        <w:rPr>
          <w:rFonts w:hint="eastAsia"/>
        </w:rPr>
        <w:t>建筑垃圾</w:t>
      </w:r>
      <w:r>
        <w:rPr>
          <w:rFonts w:hint="eastAsia" w:ascii="仿宋" w:hAnsi="仿宋" w:eastAsia="仿宋" w:cs="仿宋"/>
          <w:lang w:val="en-US" w:eastAsia="zh-CN"/>
        </w:rPr>
        <w:t>转运调配场</w:t>
      </w:r>
      <w:r>
        <w:rPr>
          <w:rFonts w:hint="eastAsia"/>
        </w:rPr>
        <w:t>规划面积约</w:t>
      </w:r>
      <w:r>
        <w:rPr>
          <w:rFonts w:hint="eastAsia"/>
          <w:lang w:val="en-US" w:eastAsia="zh-CN"/>
        </w:rPr>
        <w:t>25</w:t>
      </w:r>
      <w:r>
        <w:rPr>
          <w:rFonts w:hint="eastAsia"/>
        </w:rPr>
        <w:t>亩</w:t>
      </w:r>
      <w:r>
        <w:rPr>
          <w:rFonts w:hint="eastAsia"/>
          <w:lang w:eastAsia="zh-CN"/>
        </w:rPr>
        <w:t>。</w:t>
      </w:r>
      <w:r>
        <w:rPr>
          <w:rFonts w:hint="eastAsia" w:ascii="仿宋" w:hAnsi="仿宋" w:eastAsia="仿宋" w:cs="仿宋"/>
        </w:rPr>
        <w:t>规划可处理建筑垃</w:t>
      </w:r>
      <w:r>
        <w:rPr>
          <w:rFonts w:hint="eastAsia"/>
        </w:rPr>
        <w:t>圾量约</w:t>
      </w:r>
      <w:r>
        <w:rPr>
          <w:rFonts w:hint="eastAsia"/>
          <w:lang w:val="en-US" w:eastAsia="zh-CN"/>
        </w:rPr>
        <w:t>30</w:t>
      </w:r>
      <w:r>
        <w:rPr>
          <w:rFonts w:hint="eastAsia"/>
        </w:rPr>
        <w:t>万吨</w:t>
      </w:r>
      <w:r>
        <w:rPr>
          <w:rFonts w:hint="eastAsia" w:ascii="Times New Roman" w:eastAsia="仿宋"/>
          <w:lang w:val="en-US" w:eastAsia="zh-CN"/>
        </w:rPr>
        <w:t>/年</w:t>
      </w:r>
      <w:r>
        <w:rPr>
          <w:rFonts w:hint="eastAsia"/>
        </w:rPr>
        <w:t>。项目需要在完善环评、地勘、用地报批等手续的基础上，建设垃圾堆填处置场地、分拣设施、道路硬化等配套基础设施等，项目总投资约</w:t>
      </w:r>
      <w:r>
        <w:rPr>
          <w:rFonts w:hint="eastAsia"/>
          <w:lang w:val="en-US" w:eastAsia="zh-CN"/>
        </w:rPr>
        <w:t>1200</w:t>
      </w:r>
      <w:r>
        <w:rPr>
          <w:rFonts w:hint="eastAsia"/>
        </w:rPr>
        <w:t>万元。</w:t>
      </w:r>
    </w:p>
    <w:p>
      <w:pPr>
        <w:pStyle w:val="4"/>
        <w:bidi w:val="0"/>
        <w:rPr>
          <w:rFonts w:hint="eastAsia"/>
        </w:rPr>
      </w:pPr>
      <w:r>
        <w:rPr>
          <w:rFonts w:hint="eastAsia"/>
        </w:rPr>
        <w:t>2、建筑垃圾信息化平台建设</w:t>
      </w:r>
    </w:p>
    <w:p>
      <w:pPr>
        <w:bidi w:val="0"/>
        <w:rPr>
          <w:rFonts w:hint="eastAsia"/>
        </w:rPr>
      </w:pPr>
      <w:r>
        <w:rPr>
          <w:rFonts w:hint="eastAsia"/>
        </w:rPr>
        <w:t>构建</w:t>
      </w:r>
      <w:r>
        <w:rPr>
          <w:rFonts w:hint="eastAsia"/>
          <w:lang w:val="en-US" w:eastAsia="zh-CN"/>
        </w:rPr>
        <w:t>桃江县</w:t>
      </w:r>
      <w:r>
        <w:rPr>
          <w:rFonts w:hint="eastAsia"/>
        </w:rPr>
        <w:t>智慧环卫平台，其中包含中心城区建筑垃圾监管综合服务子平台，并与湖南省建筑垃圾综合服务平台互联对接。落实部门责任，协调好平台运行工作机制。</w:t>
      </w:r>
    </w:p>
    <w:p>
      <w:pPr>
        <w:bidi w:val="0"/>
        <w:rPr>
          <w:rFonts w:hint="eastAsia"/>
        </w:rPr>
      </w:pPr>
      <w:r>
        <w:rPr>
          <w:rFonts w:hint="eastAsia"/>
        </w:rPr>
        <w:t>完成对审批通过的运输单位和运输车辆的信息录入，通过监管系统对运输车辆的运输轨迹、密闭运输、处置流向、行驶速度等情况实时监控。实现渣土运输车定位信息与管理信息的有效结合。完成施工工地、建筑垃圾收运处置场所视频监控和进出信息记录，实现对建筑垃圾处置场所的动态监控。形成建筑垃圾运输车辆从施工工地到建筑垃圾处置场所的全过程监管闭环。主要建设内容包括建筑垃圾综合信息平台建设、运输车辆和建筑垃圾</w:t>
      </w:r>
      <w:bookmarkStart w:id="289" w:name="_GoBack"/>
      <w:bookmarkEnd w:id="289"/>
      <w:r>
        <w:rPr>
          <w:rFonts w:hint="eastAsia"/>
        </w:rPr>
        <w:t>处置场所监控系统建设、环境保护与安全卫生监控系统建设等。</w:t>
      </w:r>
    </w:p>
    <w:p>
      <w:pPr>
        <w:pStyle w:val="3"/>
        <w:bidi w:val="0"/>
        <w:rPr>
          <w:rFonts w:hint="eastAsia" w:ascii="楷体" w:hAnsi="楷体" w:eastAsia="楷体" w:cs="楷体"/>
          <w:sz w:val="28"/>
          <w:szCs w:val="28"/>
        </w:rPr>
      </w:pPr>
      <w:bookmarkStart w:id="271" w:name="_Toc29315"/>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二</w:t>
      </w:r>
      <w:r>
        <w:rPr>
          <w:rFonts w:hint="eastAsia" w:ascii="楷体" w:hAnsi="楷体" w:eastAsia="楷体" w:cs="楷体"/>
          <w:sz w:val="28"/>
          <w:szCs w:val="28"/>
          <w:lang w:eastAsia="zh-CN"/>
        </w:rPr>
        <w:t>）</w:t>
      </w:r>
      <w:r>
        <w:rPr>
          <w:rFonts w:hint="eastAsia" w:ascii="楷体" w:hAnsi="楷体" w:eastAsia="楷体" w:cs="楷体"/>
          <w:sz w:val="28"/>
          <w:szCs w:val="28"/>
        </w:rPr>
        <w:t>投资估算</w:t>
      </w:r>
      <w:bookmarkEnd w:id="271"/>
    </w:p>
    <w:p>
      <w:pPr>
        <w:bidi w:val="0"/>
        <w:rPr>
          <w:rFonts w:hint="eastAsia"/>
        </w:rPr>
      </w:pPr>
      <w:r>
        <w:rPr>
          <w:rFonts w:hint="eastAsia"/>
        </w:rPr>
        <w:t>近期建设内容及投资</w:t>
      </w:r>
      <w:r>
        <w:rPr>
          <w:rFonts w:hint="eastAsia"/>
          <w:lang w:val="en-US" w:eastAsia="zh-CN"/>
        </w:rPr>
        <w:t>估</w:t>
      </w:r>
      <w:r>
        <w:rPr>
          <w:rFonts w:hint="eastAsia"/>
        </w:rPr>
        <w:t>算统计表如表1</w:t>
      </w:r>
      <w:r>
        <w:rPr>
          <w:rFonts w:hint="eastAsia"/>
          <w:lang w:val="en-US" w:eastAsia="zh-CN"/>
        </w:rPr>
        <w:t>1</w:t>
      </w:r>
      <w:r>
        <w:rPr>
          <w:rFonts w:hint="eastAsia"/>
        </w:rPr>
        <w:t>-1所示。</w:t>
      </w:r>
    </w:p>
    <w:p>
      <w:pPr>
        <w:bidi w:val="0"/>
        <w:ind w:left="0" w:leftChars="0" w:firstLine="0" w:firstLineChars="0"/>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表11-1  </w:t>
      </w:r>
      <w:r>
        <w:rPr>
          <w:rFonts w:hint="eastAsia" w:ascii="仿宋" w:hAnsi="仿宋" w:eastAsia="仿宋" w:cs="仿宋"/>
          <w:b/>
          <w:bCs/>
          <w:spacing w:val="8"/>
          <w:sz w:val="28"/>
          <w:szCs w:val="28"/>
        </w:rPr>
        <w:t>近期建设内容及投资估算统计表</w:t>
      </w:r>
    </w:p>
    <w:tbl>
      <w:tblPr>
        <w:tblStyle w:val="25"/>
        <w:tblW w:w="9069" w:type="dxa"/>
        <w:tblInd w:w="-2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9"/>
        <w:gridCol w:w="1991"/>
        <w:gridCol w:w="1827"/>
        <w:gridCol w:w="1391"/>
        <w:gridCol w:w="1063"/>
        <w:gridCol w:w="12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569" w:type="dxa"/>
            <w:vAlign w:val="top"/>
          </w:tcPr>
          <w:p>
            <w:pPr>
              <w:kinsoku w:val="0"/>
              <w:autoSpaceDE w:val="0"/>
              <w:autoSpaceDN w:val="0"/>
              <w:adjustRightInd w:val="0"/>
              <w:snapToGrid w:val="0"/>
              <w:spacing w:before="236"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5"/>
                <w:kern w:val="0"/>
                <w:sz w:val="24"/>
                <w:szCs w:val="24"/>
                <w:lang w:val="en-US" w:eastAsia="en-US" w:bidi="ar-SA"/>
              </w:rPr>
              <w:t>建设类型</w:t>
            </w:r>
          </w:p>
        </w:tc>
        <w:tc>
          <w:tcPr>
            <w:tcW w:w="1991" w:type="dxa"/>
            <w:vAlign w:val="top"/>
          </w:tcPr>
          <w:p>
            <w:pPr>
              <w:kinsoku w:val="0"/>
              <w:autoSpaceDE w:val="0"/>
              <w:autoSpaceDN w:val="0"/>
              <w:adjustRightInd w:val="0"/>
              <w:snapToGrid w:val="0"/>
              <w:spacing w:before="237"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5"/>
                <w:kern w:val="0"/>
                <w:sz w:val="24"/>
                <w:szCs w:val="24"/>
                <w:lang w:val="en-US" w:eastAsia="en-US" w:bidi="ar-SA"/>
              </w:rPr>
              <w:t>项目名称</w:t>
            </w:r>
          </w:p>
        </w:tc>
        <w:tc>
          <w:tcPr>
            <w:tcW w:w="1827" w:type="dxa"/>
            <w:vAlign w:val="center"/>
          </w:tcPr>
          <w:p>
            <w:pPr>
              <w:kinsoku w:val="0"/>
              <w:autoSpaceDE w:val="0"/>
              <w:autoSpaceDN w:val="0"/>
              <w:adjustRightInd w:val="0"/>
              <w:snapToGrid w:val="0"/>
              <w:spacing w:before="82" w:line="274" w:lineRule="auto"/>
              <w:ind w:left="0" w:leftChars="0" w:right="116"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6"/>
                <w:kern w:val="0"/>
                <w:sz w:val="24"/>
                <w:szCs w:val="24"/>
                <w:lang w:val="en-US" w:eastAsia="en-US" w:bidi="ar-SA"/>
              </w:rPr>
              <w:t>用地规模</w:t>
            </w:r>
            <w:r>
              <w:rPr>
                <w:rFonts w:hint="eastAsia" w:ascii="仿宋" w:hAnsi="仿宋" w:eastAsia="仿宋" w:cs="仿宋"/>
                <w:b/>
                <w:bCs/>
                <w:snapToGrid w:val="0"/>
                <w:color w:val="000000"/>
                <w:spacing w:val="-2"/>
                <w:kern w:val="0"/>
                <w:sz w:val="24"/>
                <w:szCs w:val="24"/>
                <w:lang w:val="en-US" w:eastAsia="en-US" w:bidi="ar-SA"/>
              </w:rPr>
              <w:t>（亩）</w:t>
            </w:r>
          </w:p>
        </w:tc>
        <w:tc>
          <w:tcPr>
            <w:tcW w:w="1391" w:type="dxa"/>
            <w:vAlign w:val="center"/>
          </w:tcPr>
          <w:p>
            <w:pPr>
              <w:kinsoku w:val="0"/>
              <w:autoSpaceDE w:val="0"/>
              <w:autoSpaceDN w:val="0"/>
              <w:adjustRightInd w:val="0"/>
              <w:snapToGrid w:val="0"/>
              <w:spacing w:before="81" w:line="229"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2"/>
                <w:kern w:val="0"/>
                <w:sz w:val="24"/>
                <w:szCs w:val="24"/>
                <w:lang w:val="en-US" w:eastAsia="en-US" w:bidi="ar-SA"/>
              </w:rPr>
              <w:t>建设性质</w:t>
            </w:r>
          </w:p>
        </w:tc>
        <w:tc>
          <w:tcPr>
            <w:tcW w:w="1063" w:type="dxa"/>
            <w:vAlign w:val="center"/>
          </w:tcPr>
          <w:p>
            <w:pPr>
              <w:kinsoku w:val="0"/>
              <w:autoSpaceDE w:val="0"/>
              <w:autoSpaceDN w:val="0"/>
              <w:adjustRightInd w:val="0"/>
              <w:snapToGrid w:val="0"/>
              <w:spacing w:before="80"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5"/>
                <w:kern w:val="0"/>
                <w:sz w:val="24"/>
                <w:szCs w:val="24"/>
                <w:lang w:val="en-US" w:eastAsia="en-US" w:bidi="ar-SA"/>
              </w:rPr>
              <w:t>投资规模</w:t>
            </w:r>
          </w:p>
          <w:p>
            <w:pPr>
              <w:kinsoku w:val="0"/>
              <w:autoSpaceDE w:val="0"/>
              <w:autoSpaceDN w:val="0"/>
              <w:adjustRightInd w:val="0"/>
              <w:snapToGrid w:val="0"/>
              <w:spacing w:before="65"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1"/>
                <w:kern w:val="0"/>
                <w:sz w:val="24"/>
                <w:szCs w:val="24"/>
                <w:lang w:val="en-US" w:eastAsia="en-US" w:bidi="ar-SA"/>
              </w:rPr>
              <w:t>（万元）</w:t>
            </w:r>
          </w:p>
        </w:tc>
        <w:tc>
          <w:tcPr>
            <w:tcW w:w="1228" w:type="dxa"/>
            <w:vAlign w:val="center"/>
          </w:tcPr>
          <w:p>
            <w:pPr>
              <w:kinsoku w:val="0"/>
              <w:autoSpaceDE w:val="0"/>
              <w:autoSpaceDN w:val="0"/>
              <w:adjustRightInd w:val="0"/>
              <w:snapToGrid w:val="0"/>
              <w:spacing w:before="81" w:line="229"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napToGrid w:val="0"/>
                <w:color w:val="000000"/>
                <w:spacing w:val="-1"/>
                <w:kern w:val="0"/>
                <w:sz w:val="24"/>
                <w:szCs w:val="24"/>
                <w:lang w:val="en-US" w:eastAsia="en-US" w:bidi="ar-SA"/>
              </w:rPr>
              <w:t>资金</w:t>
            </w:r>
            <w:r>
              <w:rPr>
                <w:rFonts w:hint="eastAsia" w:ascii="仿宋" w:hAnsi="仿宋" w:eastAsia="仿宋" w:cs="仿宋"/>
                <w:b/>
                <w:bCs/>
                <w:snapToGrid w:val="0"/>
                <w:color w:val="000000"/>
                <w:spacing w:val="3"/>
                <w:kern w:val="0"/>
                <w:sz w:val="24"/>
                <w:szCs w:val="24"/>
                <w:lang w:val="en-US" w:eastAsia="en-US" w:bidi="ar-SA"/>
              </w:rPr>
              <w:t>来源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569" w:type="dxa"/>
            <w:vMerge w:val="restart"/>
            <w:vAlign w:val="center"/>
          </w:tcPr>
          <w:p>
            <w:pPr>
              <w:kinsoku w:val="0"/>
              <w:autoSpaceDE w:val="0"/>
              <w:autoSpaceDN w:val="0"/>
              <w:adjustRightInd w:val="0"/>
              <w:snapToGrid w:val="0"/>
              <w:spacing w:before="65" w:line="290" w:lineRule="auto"/>
              <w:ind w:left="0" w:leftChars="0" w:right="155"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7"/>
                <w:kern w:val="0"/>
                <w:sz w:val="24"/>
                <w:szCs w:val="24"/>
                <w:lang w:val="en-US" w:eastAsia="en-US" w:bidi="ar-SA"/>
              </w:rPr>
              <w:t>建筑垃圾处理设施建设</w:t>
            </w:r>
          </w:p>
        </w:tc>
        <w:tc>
          <w:tcPr>
            <w:tcW w:w="1991" w:type="dxa"/>
            <w:vAlign w:val="center"/>
          </w:tcPr>
          <w:p>
            <w:pPr>
              <w:kinsoku w:val="0"/>
              <w:autoSpaceDE w:val="0"/>
              <w:autoSpaceDN w:val="0"/>
              <w:adjustRightInd w:val="0"/>
              <w:snapToGrid w:val="0"/>
              <w:spacing w:before="150" w:line="290" w:lineRule="auto"/>
              <w:ind w:left="0" w:leftChars="0" w:right="121"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cs="Times New Roman"/>
                <w:sz w:val="24"/>
                <w:szCs w:val="24"/>
                <w:lang w:val="en-US" w:eastAsia="zh-CN"/>
              </w:rPr>
              <w:t>鸬鹚渡镇</w:t>
            </w:r>
            <w:r>
              <w:rPr>
                <w:rFonts w:hint="eastAsia"/>
                <w:sz w:val="24"/>
                <w:szCs w:val="24"/>
              </w:rPr>
              <w:t>建筑垃圾堆填场</w:t>
            </w:r>
          </w:p>
        </w:tc>
        <w:tc>
          <w:tcPr>
            <w:tcW w:w="1827" w:type="dxa"/>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8"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2"/>
                <w:kern w:val="0"/>
                <w:position w:val="1"/>
                <w:sz w:val="24"/>
                <w:szCs w:val="24"/>
                <w:lang w:val="en-US" w:eastAsia="zh-CN" w:bidi="ar-SA"/>
              </w:rPr>
              <w:t>90</w:t>
            </w:r>
          </w:p>
        </w:tc>
        <w:tc>
          <w:tcPr>
            <w:tcW w:w="1391" w:type="dxa"/>
            <w:vAlign w:val="center"/>
          </w:tcPr>
          <w:p>
            <w:pPr>
              <w:kinsoku w:val="0"/>
              <w:autoSpaceDE w:val="0"/>
              <w:autoSpaceDN w:val="0"/>
              <w:adjustRightInd w:val="0"/>
              <w:snapToGrid w:val="0"/>
              <w:spacing w:before="95" w:line="230" w:lineRule="auto"/>
              <w:ind w:left="0" w:leftChars="0" w:firstLine="0" w:firstLineChars="0"/>
              <w:jc w:val="center"/>
              <w:textAlignment w:val="baseline"/>
              <w:rPr>
                <w:rFonts w:hint="eastAsia" w:ascii="仿宋" w:hAnsi="仿宋" w:eastAsia="仿宋" w:cs="仿宋"/>
                <w:snapToGrid w:val="0"/>
                <w:color w:val="000000"/>
                <w:spacing w:val="4"/>
                <w:kern w:val="0"/>
                <w:sz w:val="24"/>
                <w:szCs w:val="24"/>
                <w:lang w:val="en-US" w:eastAsia="en-US" w:bidi="ar-SA"/>
              </w:rPr>
            </w:pPr>
            <w:bookmarkStart w:id="272" w:name="OLE_LINK129"/>
            <w:r>
              <w:rPr>
                <w:rFonts w:hint="eastAsia" w:ascii="仿宋" w:hAnsi="仿宋" w:eastAsia="仿宋" w:cs="仿宋"/>
                <w:snapToGrid w:val="0"/>
                <w:color w:val="000000"/>
                <w:spacing w:val="4"/>
                <w:kern w:val="0"/>
                <w:sz w:val="24"/>
                <w:szCs w:val="24"/>
                <w:lang w:val="en-US" w:eastAsia="en-US" w:bidi="ar-SA"/>
              </w:rPr>
              <w:t>规划新建</w:t>
            </w:r>
            <w:bookmarkEnd w:id="272"/>
          </w:p>
        </w:tc>
        <w:tc>
          <w:tcPr>
            <w:tcW w:w="1063" w:type="dxa"/>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9"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1"/>
                <w:kern w:val="0"/>
                <w:position w:val="1"/>
                <w:sz w:val="24"/>
                <w:szCs w:val="24"/>
                <w:lang w:val="en-US" w:eastAsia="zh-CN" w:bidi="ar-SA"/>
              </w:rPr>
              <w:t>2000</w:t>
            </w:r>
          </w:p>
        </w:tc>
        <w:tc>
          <w:tcPr>
            <w:tcW w:w="1228" w:type="dxa"/>
            <w:vMerge w:val="restart"/>
            <w:vAlign w:val="center"/>
          </w:tcPr>
          <w:p>
            <w:pPr>
              <w:kinsoku w:val="0"/>
              <w:autoSpaceDE w:val="0"/>
              <w:autoSpaceDN w:val="0"/>
              <w:adjustRightInd w:val="0"/>
              <w:snapToGrid w:val="0"/>
              <w:spacing w:before="65" w:line="228" w:lineRule="auto"/>
              <w:ind w:left="0" w:leftChars="0" w:firstLine="0" w:firstLineChars="0"/>
              <w:jc w:val="both"/>
              <w:textAlignment w:val="baseline"/>
              <w:rPr>
                <w:rFonts w:hint="eastAsia" w:ascii="仿宋" w:hAnsi="仿宋" w:cs="仿宋"/>
                <w:snapToGrid w:val="0"/>
                <w:color w:val="000000"/>
                <w:spacing w:val="6"/>
                <w:kern w:val="0"/>
                <w:sz w:val="24"/>
                <w:szCs w:val="24"/>
                <w:lang w:val="en-US" w:eastAsia="zh-CN" w:bidi="ar-SA"/>
              </w:rPr>
            </w:pPr>
            <w:bookmarkStart w:id="273" w:name="OLE_LINK130"/>
            <w:r>
              <w:rPr>
                <w:rFonts w:hint="eastAsia" w:ascii="仿宋" w:hAnsi="仿宋" w:cs="仿宋"/>
                <w:snapToGrid w:val="0"/>
                <w:color w:val="000000"/>
                <w:spacing w:val="6"/>
                <w:kern w:val="0"/>
                <w:sz w:val="24"/>
                <w:szCs w:val="24"/>
                <w:lang w:val="en-US" w:eastAsia="zh-CN" w:bidi="ar-SA"/>
              </w:rPr>
              <w:t>向上争资</w:t>
            </w:r>
          </w:p>
          <w:p>
            <w:pPr>
              <w:kinsoku w:val="0"/>
              <w:autoSpaceDE w:val="0"/>
              <w:autoSpaceDN w:val="0"/>
              <w:adjustRightInd w:val="0"/>
              <w:snapToGrid w:val="0"/>
              <w:spacing w:before="65" w:line="228" w:lineRule="auto"/>
              <w:ind w:left="0" w:leftChars="0" w:firstLine="0" w:firstLineChars="0"/>
              <w:jc w:val="both"/>
              <w:textAlignment w:val="baseline"/>
              <w:rPr>
                <w:rFonts w:hint="eastAsia" w:ascii="仿宋" w:hAnsi="仿宋" w:cs="仿宋"/>
                <w:snapToGrid w:val="0"/>
                <w:color w:val="000000"/>
                <w:spacing w:val="6"/>
                <w:kern w:val="0"/>
                <w:sz w:val="24"/>
                <w:szCs w:val="24"/>
                <w:lang w:val="en-US" w:eastAsia="zh-CN" w:bidi="ar-SA"/>
              </w:rPr>
            </w:pPr>
            <w:r>
              <w:rPr>
                <w:rFonts w:hint="eastAsia" w:ascii="仿宋" w:hAnsi="仿宋" w:cs="仿宋"/>
                <w:snapToGrid w:val="0"/>
                <w:color w:val="000000"/>
                <w:spacing w:val="6"/>
                <w:kern w:val="0"/>
                <w:sz w:val="24"/>
                <w:szCs w:val="24"/>
                <w:lang w:val="en-US" w:eastAsia="zh-CN" w:bidi="ar-SA"/>
              </w:rPr>
              <w:t>政府投资</w:t>
            </w:r>
            <w:bookmarkEnd w:id="273"/>
          </w:p>
          <w:p>
            <w:pPr>
              <w:kinsoku w:val="0"/>
              <w:autoSpaceDE w:val="0"/>
              <w:autoSpaceDN w:val="0"/>
              <w:adjustRightInd w:val="0"/>
              <w:snapToGrid w:val="0"/>
              <w:spacing w:before="65" w:line="228" w:lineRule="auto"/>
              <w:ind w:left="0" w:leftChars="0" w:firstLine="0" w:firstLineChars="0"/>
              <w:jc w:val="both"/>
              <w:textAlignment w:val="baseline"/>
              <w:rPr>
                <w:rFonts w:hint="eastAsia" w:ascii="仿宋" w:hAnsi="仿宋" w:cs="仿宋"/>
                <w:snapToGrid w:val="0"/>
                <w:color w:val="000000"/>
                <w:spacing w:val="6"/>
                <w:kern w:val="0"/>
                <w:sz w:val="24"/>
                <w:szCs w:val="24"/>
                <w:lang w:val="en-US" w:eastAsia="zh-CN" w:bidi="ar-SA"/>
              </w:rPr>
            </w:pPr>
            <w:r>
              <w:rPr>
                <w:rFonts w:hint="eastAsia" w:ascii="仿宋" w:hAnsi="仿宋" w:cs="仿宋"/>
                <w:snapToGrid w:val="0"/>
                <w:color w:val="000000"/>
                <w:spacing w:val="6"/>
                <w:kern w:val="0"/>
                <w:sz w:val="24"/>
                <w:szCs w:val="24"/>
                <w:lang w:val="en-US" w:eastAsia="zh-CN" w:bidi="ar-SA"/>
              </w:rPr>
              <w:t>社会资本</w:t>
            </w:r>
          </w:p>
          <w:p>
            <w:pPr>
              <w:kinsoku w:val="0"/>
              <w:autoSpaceDE w:val="0"/>
              <w:autoSpaceDN w:val="0"/>
              <w:adjustRightInd w:val="0"/>
              <w:snapToGrid w:val="0"/>
              <w:spacing w:before="65" w:line="228" w:lineRule="auto"/>
              <w:ind w:left="0" w:leftChars="0" w:firstLine="0" w:firstLineChars="0"/>
              <w:jc w:val="both"/>
              <w:textAlignment w:val="baseline"/>
              <w:rPr>
                <w:rFonts w:hint="default" w:ascii="仿宋" w:hAnsi="仿宋" w:cs="仿宋"/>
                <w:snapToGrid w:val="0"/>
                <w:color w:val="000000"/>
                <w:spacing w:val="6"/>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69"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仿宋" w:hAnsi="仿宋" w:eastAsia="仿宋" w:cs="仿宋"/>
                <w:snapToGrid w:val="0"/>
                <w:color w:val="000000"/>
                <w:kern w:val="0"/>
                <w:sz w:val="24"/>
                <w:szCs w:val="24"/>
                <w:lang w:eastAsia="en-US"/>
              </w:rPr>
            </w:pPr>
          </w:p>
        </w:tc>
        <w:tc>
          <w:tcPr>
            <w:tcW w:w="1991" w:type="dxa"/>
            <w:vAlign w:val="center"/>
          </w:tcPr>
          <w:p>
            <w:pPr>
              <w:kinsoku w:val="0"/>
              <w:autoSpaceDE w:val="0"/>
              <w:autoSpaceDN w:val="0"/>
              <w:adjustRightInd w:val="0"/>
              <w:snapToGrid w:val="0"/>
              <w:spacing w:before="95" w:line="280" w:lineRule="auto"/>
              <w:ind w:left="0" w:leftChars="0" w:right="333"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lang w:val="en-US" w:eastAsia="zh-CN"/>
              </w:rPr>
              <w:t>牛田镇</w:t>
            </w:r>
            <w:r>
              <w:rPr>
                <w:rFonts w:hint="eastAsia" w:ascii="仿宋" w:hAnsi="仿宋" w:eastAsia="仿宋" w:cs="仿宋"/>
                <w:sz w:val="24"/>
                <w:szCs w:val="24"/>
              </w:rPr>
              <w:t>建筑垃圾</w:t>
            </w:r>
            <w:r>
              <w:rPr>
                <w:rFonts w:hint="eastAsia" w:ascii="仿宋" w:hAnsi="仿宋" w:eastAsia="仿宋" w:cs="仿宋"/>
                <w:sz w:val="24"/>
                <w:szCs w:val="24"/>
                <w:lang w:val="en-US" w:eastAsia="zh-CN"/>
              </w:rPr>
              <w:t>转运调配场</w:t>
            </w:r>
          </w:p>
        </w:tc>
        <w:tc>
          <w:tcPr>
            <w:tcW w:w="1827" w:type="dxa"/>
            <w:vAlign w:val="center"/>
          </w:tcPr>
          <w:p>
            <w:pPr>
              <w:kinsoku w:val="0"/>
              <w:autoSpaceDE w:val="0"/>
              <w:autoSpaceDN w:val="0"/>
              <w:adjustRightInd w:val="0"/>
              <w:snapToGrid w:val="0"/>
              <w:spacing w:before="251" w:line="267"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2"/>
                <w:kern w:val="0"/>
                <w:position w:val="1"/>
                <w:sz w:val="24"/>
                <w:szCs w:val="24"/>
                <w:lang w:val="en-US" w:eastAsia="zh-CN" w:bidi="ar-SA"/>
              </w:rPr>
              <w:t>25</w:t>
            </w:r>
          </w:p>
        </w:tc>
        <w:tc>
          <w:tcPr>
            <w:tcW w:w="1391" w:type="dxa"/>
            <w:vAlign w:val="center"/>
          </w:tcPr>
          <w:p>
            <w:pPr>
              <w:kinsoku w:val="0"/>
              <w:autoSpaceDE w:val="0"/>
              <w:autoSpaceDN w:val="0"/>
              <w:adjustRightInd w:val="0"/>
              <w:snapToGrid w:val="0"/>
              <w:spacing w:before="95" w:line="230" w:lineRule="auto"/>
              <w:ind w:left="0" w:leftChars="0" w:firstLine="0" w:firstLineChars="0"/>
              <w:jc w:val="center"/>
              <w:textAlignment w:val="baseline"/>
              <w:rPr>
                <w:rFonts w:hint="eastAsia" w:ascii="仿宋" w:hAnsi="仿宋" w:eastAsia="仿宋" w:cs="仿宋"/>
                <w:snapToGrid w:val="0"/>
                <w:color w:val="000000"/>
                <w:spacing w:val="4"/>
                <w:kern w:val="0"/>
                <w:sz w:val="24"/>
                <w:szCs w:val="24"/>
                <w:lang w:val="en-US" w:eastAsia="en-US" w:bidi="ar-SA"/>
              </w:rPr>
            </w:pPr>
            <w:r>
              <w:rPr>
                <w:rFonts w:hint="eastAsia" w:ascii="仿宋" w:hAnsi="仿宋" w:eastAsia="仿宋" w:cs="仿宋"/>
                <w:snapToGrid w:val="0"/>
                <w:color w:val="000000"/>
                <w:spacing w:val="4"/>
                <w:kern w:val="0"/>
                <w:sz w:val="24"/>
                <w:szCs w:val="24"/>
                <w:lang w:val="en-US" w:eastAsia="en-US" w:bidi="ar-SA"/>
              </w:rPr>
              <w:t>规划新建</w:t>
            </w:r>
          </w:p>
        </w:tc>
        <w:tc>
          <w:tcPr>
            <w:tcW w:w="1063" w:type="dxa"/>
            <w:vAlign w:val="center"/>
          </w:tcPr>
          <w:p>
            <w:pPr>
              <w:kinsoku w:val="0"/>
              <w:autoSpaceDE w:val="0"/>
              <w:autoSpaceDN w:val="0"/>
              <w:adjustRightInd w:val="0"/>
              <w:snapToGrid w:val="0"/>
              <w:spacing w:before="251" w:line="268"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1"/>
                <w:kern w:val="0"/>
                <w:position w:val="1"/>
                <w:sz w:val="24"/>
                <w:szCs w:val="24"/>
                <w:lang w:val="en-US" w:eastAsia="zh-CN" w:bidi="ar-SA"/>
              </w:rPr>
              <w:t>1200</w:t>
            </w:r>
          </w:p>
        </w:tc>
        <w:tc>
          <w:tcPr>
            <w:tcW w:w="1228" w:type="dxa"/>
            <w:vMerge w:val="continue"/>
            <w:vAlign w:val="center"/>
          </w:tcPr>
          <w:p>
            <w:pPr>
              <w:kinsoku w:val="0"/>
              <w:autoSpaceDE w:val="0"/>
              <w:autoSpaceDN w:val="0"/>
              <w:adjustRightInd w:val="0"/>
              <w:snapToGrid w:val="0"/>
              <w:spacing w:before="65" w:line="228" w:lineRule="auto"/>
              <w:ind w:left="0" w:leftChars="0" w:firstLine="0" w:firstLineChars="0"/>
              <w:jc w:val="both"/>
              <w:textAlignment w:val="baseline"/>
              <w:rPr>
                <w:rFonts w:hint="eastAsia" w:ascii="仿宋" w:hAnsi="仿宋" w:eastAsia="仿宋" w:cs="仿宋"/>
                <w:snapToGrid w:val="0"/>
                <w:color w:val="000000"/>
                <w:kern w:val="0"/>
                <w:sz w:val="24"/>
                <w:szCs w:val="24"/>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1569" w:type="dxa"/>
            <w:vMerge w:val="continue"/>
            <w:tcBorders>
              <w:bottom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仿宋" w:hAnsi="仿宋" w:eastAsia="仿宋" w:cs="仿宋"/>
                <w:snapToGrid w:val="0"/>
                <w:color w:val="000000"/>
                <w:kern w:val="0"/>
                <w:sz w:val="24"/>
                <w:szCs w:val="24"/>
                <w:lang w:eastAsia="en-US"/>
              </w:rPr>
            </w:pPr>
          </w:p>
        </w:tc>
        <w:tc>
          <w:tcPr>
            <w:tcW w:w="1991" w:type="dxa"/>
            <w:vAlign w:val="center"/>
          </w:tcPr>
          <w:p>
            <w:pPr>
              <w:kinsoku w:val="0"/>
              <w:autoSpaceDE w:val="0"/>
              <w:autoSpaceDN w:val="0"/>
              <w:adjustRightInd w:val="0"/>
              <w:snapToGrid w:val="0"/>
              <w:spacing w:before="128" w:line="290" w:lineRule="auto"/>
              <w:ind w:left="0" w:leftChars="0" w:right="121"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cs="Times New Roman"/>
                <w:sz w:val="24"/>
                <w:szCs w:val="24"/>
                <w:lang w:val="en-US" w:eastAsia="zh-CN"/>
              </w:rPr>
              <w:t>大栗港</w:t>
            </w:r>
            <w:r>
              <w:rPr>
                <w:rFonts w:hint="eastAsia" w:ascii="Times New Roman" w:hAnsi="Times New Roman" w:eastAsia="仿宋" w:cs="Times New Roman"/>
                <w:sz w:val="24"/>
                <w:szCs w:val="24"/>
                <w:lang w:val="en-US" w:eastAsia="zh-CN"/>
              </w:rPr>
              <w:t>镇</w:t>
            </w:r>
            <w:r>
              <w:rPr>
                <w:rFonts w:hint="eastAsia"/>
                <w:sz w:val="24"/>
                <w:szCs w:val="24"/>
              </w:rPr>
              <w:t>建筑垃圾</w:t>
            </w:r>
            <w:r>
              <w:rPr>
                <w:rFonts w:hint="eastAsia" w:ascii="仿宋" w:hAnsi="仿宋" w:eastAsia="仿宋" w:cs="仿宋"/>
                <w:sz w:val="24"/>
                <w:szCs w:val="24"/>
                <w:lang w:val="en-US" w:eastAsia="zh-CN"/>
              </w:rPr>
              <w:t>转运调配场</w:t>
            </w:r>
          </w:p>
        </w:tc>
        <w:tc>
          <w:tcPr>
            <w:tcW w:w="1827" w:type="dxa"/>
            <w:vAlign w:val="center"/>
          </w:tcPr>
          <w:p>
            <w:pPr>
              <w:kinsoku w:val="0"/>
              <w:autoSpaceDE w:val="0"/>
              <w:autoSpaceDN w:val="0"/>
              <w:adjustRightInd w:val="0"/>
              <w:snapToGrid w:val="0"/>
              <w:spacing w:before="285" w:line="268"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2"/>
                <w:kern w:val="0"/>
                <w:position w:val="1"/>
                <w:sz w:val="24"/>
                <w:szCs w:val="24"/>
                <w:lang w:val="en-US" w:eastAsia="zh-CN" w:bidi="ar-SA"/>
              </w:rPr>
              <w:t>25</w:t>
            </w:r>
          </w:p>
        </w:tc>
        <w:tc>
          <w:tcPr>
            <w:tcW w:w="1391" w:type="dxa"/>
            <w:vAlign w:val="center"/>
          </w:tcPr>
          <w:p>
            <w:pPr>
              <w:kinsoku w:val="0"/>
              <w:autoSpaceDE w:val="0"/>
              <w:autoSpaceDN w:val="0"/>
              <w:adjustRightInd w:val="0"/>
              <w:snapToGrid w:val="0"/>
              <w:spacing w:before="95" w:line="230" w:lineRule="auto"/>
              <w:ind w:left="0" w:leftChars="0" w:firstLine="0" w:firstLineChars="0"/>
              <w:jc w:val="center"/>
              <w:textAlignment w:val="baseline"/>
              <w:rPr>
                <w:rFonts w:hint="eastAsia" w:ascii="仿宋" w:hAnsi="仿宋" w:eastAsia="仿宋" w:cs="仿宋"/>
                <w:snapToGrid w:val="0"/>
                <w:color w:val="000000"/>
                <w:spacing w:val="4"/>
                <w:kern w:val="0"/>
                <w:sz w:val="24"/>
                <w:szCs w:val="24"/>
                <w:lang w:val="en-US" w:eastAsia="en-US" w:bidi="ar-SA"/>
              </w:rPr>
            </w:pPr>
            <w:r>
              <w:rPr>
                <w:rFonts w:hint="eastAsia" w:ascii="仿宋" w:hAnsi="仿宋" w:eastAsia="仿宋" w:cs="仿宋"/>
                <w:snapToGrid w:val="0"/>
                <w:color w:val="000000"/>
                <w:spacing w:val="4"/>
                <w:kern w:val="0"/>
                <w:sz w:val="24"/>
                <w:szCs w:val="24"/>
                <w:lang w:val="en-US" w:eastAsia="en-US" w:bidi="ar-SA"/>
              </w:rPr>
              <w:t>规划新建</w:t>
            </w:r>
          </w:p>
        </w:tc>
        <w:tc>
          <w:tcPr>
            <w:tcW w:w="1063" w:type="dxa"/>
            <w:vAlign w:val="center"/>
          </w:tcPr>
          <w:p>
            <w:pPr>
              <w:kinsoku w:val="0"/>
              <w:autoSpaceDE w:val="0"/>
              <w:autoSpaceDN w:val="0"/>
              <w:adjustRightInd w:val="0"/>
              <w:snapToGrid w:val="0"/>
              <w:spacing w:before="285" w:line="268"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2"/>
                <w:kern w:val="0"/>
                <w:position w:val="1"/>
                <w:sz w:val="24"/>
                <w:szCs w:val="24"/>
                <w:lang w:val="en-US" w:eastAsia="zh-CN" w:bidi="ar-SA"/>
              </w:rPr>
              <w:t>1200</w:t>
            </w:r>
          </w:p>
        </w:tc>
        <w:tc>
          <w:tcPr>
            <w:tcW w:w="1228" w:type="dxa"/>
            <w:vMerge w:val="continue"/>
            <w:vAlign w:val="center"/>
          </w:tcPr>
          <w:p>
            <w:pPr>
              <w:kinsoku w:val="0"/>
              <w:autoSpaceDE w:val="0"/>
              <w:autoSpaceDN w:val="0"/>
              <w:adjustRightInd w:val="0"/>
              <w:snapToGrid w:val="0"/>
              <w:spacing w:before="65" w:line="228" w:lineRule="auto"/>
              <w:ind w:left="0" w:leftChars="0" w:firstLine="0" w:firstLineChars="0"/>
              <w:jc w:val="both"/>
              <w:textAlignment w:val="baseline"/>
              <w:rPr>
                <w:rFonts w:hint="eastAsia" w:ascii="仿宋" w:hAnsi="仿宋" w:cs="仿宋"/>
                <w:snapToGrid w:val="0"/>
                <w:color w:val="000000"/>
                <w:spacing w:val="6"/>
                <w:kern w:val="0"/>
                <w:sz w:val="24"/>
                <w:szCs w:val="24"/>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69" w:type="dxa"/>
            <w:tcBorders>
              <w:top w:val="single" w:color="auto" w:sz="4" w:space="0"/>
            </w:tcBorders>
            <w:vAlign w:val="center"/>
          </w:tcPr>
          <w:p>
            <w:pPr>
              <w:kinsoku w:val="0"/>
              <w:autoSpaceDE w:val="0"/>
              <w:autoSpaceDN w:val="0"/>
              <w:adjustRightInd w:val="0"/>
              <w:snapToGrid w:val="0"/>
              <w:spacing w:before="55" w:line="228"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7"/>
                <w:kern w:val="0"/>
                <w:sz w:val="24"/>
                <w:szCs w:val="24"/>
                <w:lang w:val="en-US" w:eastAsia="en-US" w:bidi="ar-SA"/>
              </w:rPr>
              <w:t>建筑垃圾信</w:t>
            </w:r>
            <w:r>
              <w:rPr>
                <w:rFonts w:hint="eastAsia" w:ascii="仿宋" w:hAnsi="仿宋" w:eastAsia="仿宋" w:cs="仿宋"/>
                <w:snapToGrid w:val="0"/>
                <w:color w:val="000000"/>
                <w:spacing w:val="6"/>
                <w:kern w:val="0"/>
                <w:sz w:val="24"/>
                <w:szCs w:val="24"/>
                <w:lang w:val="en-US" w:eastAsia="en-US" w:bidi="ar-SA"/>
              </w:rPr>
              <w:t>息化平台建</w:t>
            </w:r>
            <w:r>
              <w:rPr>
                <w:rFonts w:hint="eastAsia" w:ascii="仿宋" w:hAnsi="仿宋" w:eastAsia="仿宋" w:cs="仿宋"/>
                <w:snapToGrid w:val="0"/>
                <w:color w:val="000000"/>
                <w:kern w:val="0"/>
                <w:sz w:val="24"/>
                <w:szCs w:val="24"/>
                <w:lang w:val="en-US" w:eastAsia="en-US" w:bidi="ar-SA"/>
              </w:rPr>
              <w:t>设</w:t>
            </w:r>
          </w:p>
        </w:tc>
        <w:tc>
          <w:tcPr>
            <w:tcW w:w="1991" w:type="dxa"/>
            <w:vAlign w:val="center"/>
          </w:tcPr>
          <w:p>
            <w:pPr>
              <w:kinsoku w:val="0"/>
              <w:autoSpaceDE w:val="0"/>
              <w:autoSpaceDN w:val="0"/>
              <w:adjustRightInd w:val="0"/>
              <w:snapToGrid w:val="0"/>
              <w:spacing w:before="211" w:line="290" w:lineRule="auto"/>
              <w:ind w:left="0" w:leftChars="0" w:right="121"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cs="仿宋"/>
                <w:snapToGrid w:val="0"/>
                <w:color w:val="000000"/>
                <w:spacing w:val="8"/>
                <w:kern w:val="0"/>
                <w:sz w:val="24"/>
                <w:szCs w:val="24"/>
                <w:lang w:val="en-US" w:eastAsia="zh-CN" w:bidi="ar-SA"/>
              </w:rPr>
              <w:t>桃江县</w:t>
            </w:r>
            <w:r>
              <w:rPr>
                <w:rFonts w:hint="eastAsia" w:ascii="仿宋" w:hAnsi="仿宋" w:eastAsia="仿宋" w:cs="仿宋"/>
                <w:snapToGrid w:val="0"/>
                <w:color w:val="000000"/>
                <w:spacing w:val="8"/>
                <w:kern w:val="0"/>
                <w:sz w:val="24"/>
                <w:szCs w:val="24"/>
                <w:lang w:val="en-US" w:eastAsia="en-US" w:bidi="ar-SA"/>
              </w:rPr>
              <w:t>智慧环卫平台建设项目</w:t>
            </w:r>
          </w:p>
        </w:tc>
        <w:tc>
          <w:tcPr>
            <w:tcW w:w="1827" w:type="dxa"/>
            <w:vAlign w:val="center"/>
          </w:tcPr>
          <w:p>
            <w:pPr>
              <w:kinsoku w:val="0"/>
              <w:autoSpaceDE w:val="0"/>
              <w:autoSpaceDN w:val="0"/>
              <w:adjustRightInd w:val="0"/>
              <w:snapToGrid w:val="0"/>
              <w:spacing w:before="65" w:line="136" w:lineRule="exact"/>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5"/>
                <w:kern w:val="0"/>
                <w:position w:val="-3"/>
                <w:sz w:val="24"/>
                <w:szCs w:val="24"/>
                <w:lang w:val="en-US" w:eastAsia="en-US" w:bidi="ar-SA"/>
              </w:rPr>
              <w:t>——</w:t>
            </w:r>
          </w:p>
        </w:tc>
        <w:tc>
          <w:tcPr>
            <w:tcW w:w="1391" w:type="dxa"/>
            <w:vAlign w:val="center"/>
          </w:tcPr>
          <w:p>
            <w:pPr>
              <w:kinsoku w:val="0"/>
              <w:autoSpaceDE w:val="0"/>
              <w:autoSpaceDN w:val="0"/>
              <w:adjustRightInd w:val="0"/>
              <w:snapToGrid w:val="0"/>
              <w:spacing w:before="65" w:line="136" w:lineRule="exact"/>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5"/>
                <w:kern w:val="0"/>
                <w:position w:val="-3"/>
                <w:sz w:val="24"/>
                <w:szCs w:val="24"/>
                <w:lang w:val="en-US" w:eastAsia="en-US" w:bidi="ar-SA"/>
              </w:rPr>
              <w:t>——</w:t>
            </w:r>
          </w:p>
        </w:tc>
        <w:tc>
          <w:tcPr>
            <w:tcW w:w="1063" w:type="dxa"/>
            <w:vAlign w:val="center"/>
          </w:tcPr>
          <w:p>
            <w:pPr>
              <w:widowControl/>
              <w:kinsoku w:val="0"/>
              <w:autoSpaceDE w:val="0"/>
              <w:autoSpaceDN w:val="0"/>
              <w:adjustRightInd w:val="0"/>
              <w:snapToGrid w:val="0"/>
              <w:spacing w:line="301"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268"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1"/>
                <w:kern w:val="0"/>
                <w:position w:val="1"/>
                <w:sz w:val="24"/>
                <w:szCs w:val="24"/>
                <w:lang w:val="en-US" w:eastAsia="zh-CN" w:bidi="ar-SA"/>
              </w:rPr>
              <w:t>200</w:t>
            </w:r>
          </w:p>
        </w:tc>
        <w:tc>
          <w:tcPr>
            <w:tcW w:w="1228" w:type="dxa"/>
            <w:vMerge w:val="continue"/>
            <w:vAlign w:val="center"/>
          </w:tcPr>
          <w:p>
            <w:pPr>
              <w:kinsoku w:val="0"/>
              <w:autoSpaceDE w:val="0"/>
              <w:autoSpaceDN w:val="0"/>
              <w:adjustRightInd w:val="0"/>
              <w:snapToGrid w:val="0"/>
              <w:spacing w:before="65" w:line="228" w:lineRule="auto"/>
              <w:ind w:left="0" w:leftChars="0" w:firstLine="0" w:firstLineChars="0"/>
              <w:jc w:val="both"/>
              <w:textAlignment w:val="baseline"/>
              <w:rPr>
                <w:rFonts w:hint="default" w:ascii="仿宋" w:hAnsi="仿宋" w:cs="仿宋"/>
                <w:snapToGrid w:val="0"/>
                <w:color w:val="000000"/>
                <w:spacing w:val="6"/>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1569" w:type="dxa"/>
            <w:vAlign w:val="center"/>
          </w:tcPr>
          <w:p>
            <w:pPr>
              <w:kinsoku w:val="0"/>
              <w:autoSpaceDE w:val="0"/>
              <w:autoSpaceDN w:val="0"/>
              <w:adjustRightInd w:val="0"/>
              <w:snapToGrid w:val="0"/>
              <w:spacing w:before="236" w:line="229" w:lineRule="auto"/>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2"/>
                <w:kern w:val="0"/>
                <w:sz w:val="24"/>
                <w:szCs w:val="24"/>
                <w:lang w:val="en-US" w:eastAsia="en-US" w:bidi="ar-SA"/>
              </w:rPr>
              <w:t>总计</w:t>
            </w:r>
          </w:p>
        </w:tc>
        <w:tc>
          <w:tcPr>
            <w:tcW w:w="1991" w:type="dxa"/>
            <w:vAlign w:val="center"/>
          </w:tcPr>
          <w:p>
            <w:pPr>
              <w:widowControl/>
              <w:kinsoku w:val="0"/>
              <w:autoSpaceDE w:val="0"/>
              <w:autoSpaceDN w:val="0"/>
              <w:adjustRightInd w:val="0"/>
              <w:snapToGrid w:val="0"/>
              <w:spacing w:line="268"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136" w:lineRule="exact"/>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5"/>
                <w:kern w:val="0"/>
                <w:position w:val="-3"/>
                <w:sz w:val="24"/>
                <w:szCs w:val="24"/>
                <w:lang w:val="en-US" w:eastAsia="en-US" w:bidi="ar-SA"/>
              </w:rPr>
              <w:t>——</w:t>
            </w:r>
          </w:p>
        </w:tc>
        <w:tc>
          <w:tcPr>
            <w:tcW w:w="1827" w:type="dxa"/>
            <w:vAlign w:val="center"/>
          </w:tcPr>
          <w:p>
            <w:pPr>
              <w:widowControl/>
              <w:kinsoku w:val="0"/>
              <w:autoSpaceDE w:val="0"/>
              <w:autoSpaceDN w:val="0"/>
              <w:adjustRightInd w:val="0"/>
              <w:snapToGrid w:val="0"/>
              <w:spacing w:line="268"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136" w:lineRule="exact"/>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5"/>
                <w:kern w:val="0"/>
                <w:position w:val="-3"/>
                <w:sz w:val="24"/>
                <w:szCs w:val="24"/>
                <w:lang w:val="en-US" w:eastAsia="en-US" w:bidi="ar-SA"/>
              </w:rPr>
              <w:t>——</w:t>
            </w:r>
          </w:p>
        </w:tc>
        <w:tc>
          <w:tcPr>
            <w:tcW w:w="1391" w:type="dxa"/>
            <w:vAlign w:val="center"/>
          </w:tcPr>
          <w:p>
            <w:pPr>
              <w:widowControl/>
              <w:kinsoku w:val="0"/>
              <w:autoSpaceDE w:val="0"/>
              <w:autoSpaceDN w:val="0"/>
              <w:adjustRightInd w:val="0"/>
              <w:snapToGrid w:val="0"/>
              <w:spacing w:line="268"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136" w:lineRule="exact"/>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5"/>
                <w:kern w:val="0"/>
                <w:position w:val="-3"/>
                <w:sz w:val="24"/>
                <w:szCs w:val="24"/>
                <w:lang w:val="en-US" w:eastAsia="en-US" w:bidi="ar-SA"/>
              </w:rPr>
              <w:t>——</w:t>
            </w:r>
          </w:p>
        </w:tc>
        <w:tc>
          <w:tcPr>
            <w:tcW w:w="1063" w:type="dxa"/>
            <w:vAlign w:val="center"/>
          </w:tcPr>
          <w:p>
            <w:pPr>
              <w:kinsoku w:val="0"/>
              <w:autoSpaceDE w:val="0"/>
              <w:autoSpaceDN w:val="0"/>
              <w:adjustRightInd w:val="0"/>
              <w:snapToGrid w:val="0"/>
              <w:spacing w:before="236" w:line="269" w:lineRule="exact"/>
              <w:ind w:left="0" w:leftChars="0" w:firstLine="0" w:firstLine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cs="仿宋"/>
                <w:snapToGrid w:val="0"/>
                <w:color w:val="000000"/>
                <w:spacing w:val="2"/>
                <w:kern w:val="0"/>
                <w:position w:val="1"/>
                <w:sz w:val="24"/>
                <w:szCs w:val="24"/>
                <w:lang w:val="en-US" w:eastAsia="zh-CN" w:bidi="ar-SA"/>
              </w:rPr>
              <w:t>4600</w:t>
            </w:r>
          </w:p>
        </w:tc>
        <w:tc>
          <w:tcPr>
            <w:tcW w:w="1228" w:type="dxa"/>
            <w:vAlign w:val="center"/>
          </w:tcPr>
          <w:p>
            <w:pPr>
              <w:widowControl/>
              <w:kinsoku w:val="0"/>
              <w:autoSpaceDE w:val="0"/>
              <w:autoSpaceDN w:val="0"/>
              <w:adjustRightInd w:val="0"/>
              <w:snapToGrid w:val="0"/>
              <w:spacing w:line="268" w:lineRule="auto"/>
              <w:ind w:firstLine="0" w:firstLineChars="0"/>
              <w:jc w:val="center"/>
              <w:textAlignment w:val="baseline"/>
              <w:rPr>
                <w:rFonts w:hint="eastAsia" w:ascii="仿宋" w:hAnsi="仿宋" w:eastAsia="仿宋" w:cs="仿宋"/>
                <w:snapToGrid w:val="0"/>
                <w:color w:val="000000"/>
                <w:kern w:val="0"/>
                <w:sz w:val="24"/>
                <w:szCs w:val="24"/>
                <w:lang w:eastAsia="en-US"/>
              </w:rPr>
            </w:pPr>
          </w:p>
          <w:p>
            <w:pPr>
              <w:kinsoku w:val="0"/>
              <w:autoSpaceDE w:val="0"/>
              <w:autoSpaceDN w:val="0"/>
              <w:adjustRightInd w:val="0"/>
              <w:snapToGrid w:val="0"/>
              <w:spacing w:before="65" w:line="136" w:lineRule="exact"/>
              <w:ind w:left="0" w:leftChars="0" w:firstLine="0"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spacing w:val="5"/>
                <w:kern w:val="0"/>
                <w:position w:val="-3"/>
                <w:sz w:val="24"/>
                <w:szCs w:val="24"/>
                <w:lang w:val="en-US" w:eastAsia="en-US" w:bidi="ar-SA"/>
              </w:rPr>
              <w:t>——</w:t>
            </w:r>
          </w:p>
        </w:tc>
      </w:tr>
    </w:tbl>
    <w:p>
      <w:pPr>
        <w:bidi w:val="0"/>
      </w:pPr>
    </w:p>
    <w:p>
      <w:pPr>
        <w:pStyle w:val="2"/>
        <w:bidi w:val="0"/>
        <w:rPr>
          <w:rFonts w:hint="eastAsia"/>
        </w:rPr>
      </w:pPr>
      <w:bookmarkStart w:id="274" w:name="_Toc31535"/>
      <w:r>
        <w:rPr>
          <w:rFonts w:hint="eastAsia"/>
          <w:lang w:val="en-US" w:eastAsia="zh-CN"/>
        </w:rPr>
        <w:t>十二、</w:t>
      </w:r>
      <w:r>
        <w:rPr>
          <w:rFonts w:hint="eastAsia"/>
        </w:rPr>
        <w:t>保障措施</w:t>
      </w:r>
      <w:bookmarkEnd w:id="274"/>
    </w:p>
    <w:p>
      <w:pPr>
        <w:pStyle w:val="3"/>
        <w:bidi w:val="0"/>
        <w:rPr>
          <w:rFonts w:hint="eastAsia" w:ascii="楷体" w:hAnsi="楷体" w:eastAsia="楷体" w:cs="楷体"/>
          <w:sz w:val="28"/>
          <w:szCs w:val="28"/>
        </w:rPr>
      </w:pPr>
      <w:bookmarkStart w:id="275" w:name="_Toc21383"/>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一</w:t>
      </w:r>
      <w:r>
        <w:rPr>
          <w:rFonts w:hint="eastAsia" w:ascii="楷体" w:hAnsi="楷体" w:eastAsia="楷体" w:cs="楷体"/>
          <w:sz w:val="28"/>
          <w:szCs w:val="28"/>
          <w:lang w:eastAsia="zh-CN"/>
        </w:rPr>
        <w:t>）</w:t>
      </w:r>
      <w:r>
        <w:rPr>
          <w:rFonts w:hint="eastAsia" w:ascii="楷体" w:hAnsi="楷体" w:eastAsia="楷体" w:cs="楷体"/>
          <w:sz w:val="28"/>
          <w:szCs w:val="28"/>
        </w:rPr>
        <w:t>组织保障措施</w:t>
      </w:r>
      <w:bookmarkEnd w:id="275"/>
    </w:p>
    <w:p>
      <w:pPr>
        <w:bidi w:val="0"/>
        <w:rPr>
          <w:rFonts w:hint="eastAsia"/>
        </w:rPr>
      </w:pPr>
      <w:r>
        <w:rPr>
          <w:rFonts w:hint="eastAsia"/>
        </w:rPr>
        <w:t>建筑垃圾管理涉及</w:t>
      </w:r>
      <w:r>
        <w:rPr>
          <w:rFonts w:hint="eastAsia"/>
          <w:u w:val="single"/>
        </w:rPr>
        <w:t>城管、发展改革、公安、自然资源和规划、生态环境、住房城乡建设、交通运输</w:t>
      </w:r>
      <w:r>
        <w:rPr>
          <w:rFonts w:hint="eastAsia"/>
        </w:rPr>
        <w:t>等多个部门和各属地政府，需要各个部门协同联动，互相配合支持，形</w:t>
      </w:r>
      <w:bookmarkStart w:id="276" w:name="OLE_LINK131"/>
      <w:r>
        <w:rPr>
          <w:rFonts w:hint="eastAsia"/>
        </w:rPr>
        <w:t>成合力共同管理好建筑垃圾处置的全过程环节。各部门应建立联席会议制度和联合执法机制，加强工作衔接，互通管理信息，做到既各司其职，又协同管理，统筹推进</w:t>
      </w:r>
      <w:r>
        <w:rPr>
          <w:rFonts w:hint="eastAsia"/>
          <w:lang w:eastAsia="zh-CN"/>
        </w:rPr>
        <w:t>桃江县</w:t>
      </w:r>
      <w:r>
        <w:rPr>
          <w:rFonts w:hint="eastAsia"/>
        </w:rPr>
        <w:t>建筑垃圾处理项目建设、日常监管、综合利用等问题。</w:t>
      </w:r>
    </w:p>
    <w:bookmarkEnd w:id="276"/>
    <w:p>
      <w:pPr>
        <w:pStyle w:val="3"/>
        <w:bidi w:val="0"/>
        <w:rPr>
          <w:rFonts w:hint="eastAsia" w:ascii="楷体" w:hAnsi="楷体" w:eastAsia="楷体" w:cs="楷体"/>
          <w:sz w:val="28"/>
          <w:szCs w:val="28"/>
        </w:rPr>
      </w:pPr>
      <w:bookmarkStart w:id="277" w:name="_Toc9429"/>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二</w:t>
      </w:r>
      <w:r>
        <w:rPr>
          <w:rFonts w:hint="eastAsia" w:ascii="楷体" w:hAnsi="楷体" w:eastAsia="楷体" w:cs="楷体"/>
          <w:sz w:val="28"/>
          <w:szCs w:val="28"/>
          <w:lang w:eastAsia="zh-CN"/>
        </w:rPr>
        <w:t>）</w:t>
      </w:r>
      <w:r>
        <w:rPr>
          <w:rFonts w:hint="eastAsia" w:ascii="楷体" w:hAnsi="楷体" w:eastAsia="楷体" w:cs="楷体"/>
          <w:sz w:val="28"/>
          <w:szCs w:val="28"/>
        </w:rPr>
        <w:t>政策保障措施</w:t>
      </w:r>
      <w:bookmarkEnd w:id="277"/>
    </w:p>
    <w:p>
      <w:pPr>
        <w:pStyle w:val="4"/>
        <w:bidi w:val="0"/>
        <w:rPr>
          <w:rFonts w:hint="eastAsia"/>
        </w:rPr>
      </w:pPr>
      <w:r>
        <w:rPr>
          <w:rFonts w:hint="eastAsia"/>
        </w:rPr>
        <w:t>1、引导扶持政策</w:t>
      </w:r>
    </w:p>
    <w:p>
      <w:pPr>
        <w:bidi w:val="0"/>
        <w:rPr>
          <w:rFonts w:hint="eastAsia"/>
        </w:rPr>
      </w:pPr>
      <w:bookmarkStart w:id="278" w:name="OLE_LINK59"/>
      <w:r>
        <w:rPr>
          <w:rFonts w:hint="eastAsia"/>
          <w:lang w:val="en-US" w:eastAsia="zh-CN"/>
        </w:rPr>
        <w:t>根据《中华人民共和国固体废物污染环境防治法》第九十六条“</w:t>
      </w:r>
      <w:r>
        <w:rPr>
          <w:rFonts w:hint="eastAsia"/>
        </w:rPr>
        <w:t>国家鼓励和支持社会力量参与固体废物污染环境防治工作，并按照国家有关规定给予政策扶持</w:t>
      </w:r>
      <w:r>
        <w:rPr>
          <w:rFonts w:hint="eastAsia"/>
          <w:lang w:val="en-US" w:eastAsia="zh-CN"/>
        </w:rPr>
        <w:t>”，</w:t>
      </w:r>
      <w:r>
        <w:rPr>
          <w:rFonts w:hint="eastAsia"/>
        </w:rPr>
        <w:t>完善</w:t>
      </w:r>
      <w:r>
        <w:rPr>
          <w:rFonts w:hint="eastAsia"/>
          <w:lang w:val="en-US" w:eastAsia="zh-CN"/>
        </w:rPr>
        <w:t>桃江县</w:t>
      </w:r>
      <w:r>
        <w:rPr>
          <w:rFonts w:hint="eastAsia"/>
        </w:rPr>
        <w:t>建筑垃圾减量化工作机制和政策措施，将建筑垃圾减量化纳入本地绿色发展和生态文明建设体系，</w:t>
      </w:r>
      <w:r>
        <w:rPr>
          <w:rFonts w:hint="eastAsia"/>
          <w:u w:val="none"/>
        </w:rPr>
        <w:t>制定生产、销售、使用建筑垃圾资源化产品的优惠政策，</w:t>
      </w:r>
      <w:r>
        <w:rPr>
          <w:rFonts w:hint="eastAsia"/>
        </w:rPr>
        <w:t>鼓励企业利用建筑垃圾生产建筑材料和进行再生利用，鼓励建设单位、施工单位优先采用建筑垃圾资源化产品。</w:t>
      </w:r>
    </w:p>
    <w:bookmarkEnd w:id="278"/>
    <w:p>
      <w:pPr>
        <w:bidi w:val="0"/>
        <w:rPr>
          <w:rFonts w:hint="eastAsia"/>
        </w:rPr>
      </w:pPr>
      <w:r>
        <w:rPr>
          <w:rFonts w:hint="eastAsia"/>
        </w:rPr>
        <w:t>鼓励研究、开发和使用建筑垃圾减排及综合利用新技术，</w:t>
      </w:r>
      <w:r>
        <w:rPr>
          <w:rFonts w:hint="eastAsia"/>
          <w:lang w:val="en-US" w:eastAsia="zh-CN"/>
        </w:rPr>
        <w:t>根据“两重”“两新”政策要求，</w:t>
      </w:r>
      <w:r>
        <w:rPr>
          <w:rFonts w:hint="eastAsia"/>
        </w:rPr>
        <w:t>利用财政性资金引进建筑垃圾综合利用重大技术、装备。对建筑垃圾综合利用企业在用地、用水、税收等方面给予政策优惠或资金补贴。广泛宣传建筑垃圾资源化利用的重要意义，鼓励公众广泛参与， 引导全社会形成节约资源、循环发展、保护环境的生产生活方式， 提高全社会推广应用再生产品的自觉性和积极性。根据建筑垃圾资源化利用技术、工艺、产品、设施研发情况，完善综合利用标准规范体系，出台建筑垃圾资源化利用设施建设与运营标准。</w:t>
      </w:r>
    </w:p>
    <w:p>
      <w:pPr>
        <w:pStyle w:val="4"/>
        <w:bidi w:val="0"/>
        <w:rPr>
          <w:rFonts w:hint="eastAsia"/>
        </w:rPr>
      </w:pPr>
      <w:r>
        <w:rPr>
          <w:rFonts w:hint="eastAsia"/>
        </w:rPr>
        <w:t>2、监督考核政策</w:t>
      </w:r>
    </w:p>
    <w:p>
      <w:pPr>
        <w:bidi w:val="0"/>
        <w:rPr>
          <w:rFonts w:hint="eastAsia"/>
        </w:rPr>
      </w:pPr>
      <w:r>
        <w:rPr>
          <w:rFonts w:hint="eastAsia"/>
        </w:rPr>
        <w:t>实行</w:t>
      </w:r>
      <w:r>
        <w:rPr>
          <w:rFonts w:hint="eastAsia"/>
          <w:lang w:val="en-US" w:eastAsia="zh-CN"/>
        </w:rPr>
        <w:t>县域</w:t>
      </w:r>
      <w:r>
        <w:rPr>
          <w:rFonts w:hint="eastAsia"/>
        </w:rPr>
        <w:t>统筹处置管理制度，将建筑垃圾减量化纳入文明施工内容，鼓励建立施工现场建筑垃圾排放量公示制度。健全各项对内、对外管理制度，严格执行和监督，实行定期督办，保障并促进建筑垃圾治理各项工作有效落实；同时将建筑垃圾治理纳入城市提升行动计划；将建筑垃圾治理情况作为城市环境建设工作的一项重要指标纳入政府考核。</w:t>
      </w:r>
    </w:p>
    <w:p>
      <w:pPr>
        <w:pStyle w:val="3"/>
        <w:bidi w:val="0"/>
        <w:rPr>
          <w:rFonts w:hint="eastAsia" w:ascii="楷体" w:hAnsi="楷体" w:eastAsia="楷体" w:cs="楷体"/>
          <w:sz w:val="28"/>
          <w:szCs w:val="28"/>
        </w:rPr>
      </w:pPr>
      <w:bookmarkStart w:id="279" w:name="_Toc19862"/>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三</w:t>
      </w:r>
      <w:r>
        <w:rPr>
          <w:rFonts w:hint="eastAsia" w:ascii="楷体" w:hAnsi="楷体" w:eastAsia="楷体" w:cs="楷体"/>
          <w:sz w:val="28"/>
          <w:szCs w:val="28"/>
          <w:lang w:eastAsia="zh-CN"/>
        </w:rPr>
        <w:t>）</w:t>
      </w:r>
      <w:r>
        <w:rPr>
          <w:rFonts w:hint="eastAsia" w:ascii="楷体" w:hAnsi="楷体" w:eastAsia="楷体" w:cs="楷体"/>
          <w:sz w:val="28"/>
          <w:szCs w:val="28"/>
        </w:rPr>
        <w:t>要素保障措施</w:t>
      </w:r>
      <w:bookmarkEnd w:id="279"/>
    </w:p>
    <w:p>
      <w:pPr>
        <w:pStyle w:val="4"/>
        <w:bidi w:val="0"/>
        <w:rPr>
          <w:rFonts w:hint="eastAsia"/>
        </w:rPr>
      </w:pPr>
      <w:r>
        <w:rPr>
          <w:rFonts w:hint="eastAsia"/>
        </w:rPr>
        <w:t>1、用地保障措施</w:t>
      </w:r>
    </w:p>
    <w:p>
      <w:pPr>
        <w:bidi w:val="0"/>
        <w:rPr>
          <w:rFonts w:hint="eastAsia"/>
        </w:rPr>
      </w:pPr>
      <w:r>
        <w:rPr>
          <w:rFonts w:hint="eastAsia"/>
        </w:rPr>
        <w:t>加强建筑垃圾堆填场</w:t>
      </w:r>
      <w:r>
        <w:rPr>
          <w:rFonts w:hint="eastAsia"/>
          <w:lang w:eastAsia="zh-CN"/>
        </w:rPr>
        <w:t>、</w:t>
      </w:r>
      <w:r>
        <w:rPr>
          <w:rFonts w:hint="eastAsia"/>
          <w:lang w:val="en-US" w:eastAsia="zh-CN"/>
        </w:rPr>
        <w:t>转运调配场</w:t>
      </w:r>
      <w:r>
        <w:rPr>
          <w:rFonts w:hint="eastAsia"/>
        </w:rPr>
        <w:t>和</w:t>
      </w:r>
      <w:bookmarkStart w:id="280" w:name="OLE_LINK132"/>
      <w:r>
        <w:rPr>
          <w:rFonts w:hint="eastAsia"/>
        </w:rPr>
        <w:t>建筑垃圾资源化利用场的项目用地保障</w:t>
      </w:r>
      <w:bookmarkEnd w:id="280"/>
      <w:r>
        <w:rPr>
          <w:rFonts w:hint="eastAsia"/>
        </w:rPr>
        <w:t>，及时纳入</w:t>
      </w:r>
      <w:r>
        <w:rPr>
          <w:rFonts w:hint="eastAsia"/>
          <w:lang w:val="en-US" w:eastAsia="zh-CN"/>
        </w:rPr>
        <w:t>桃江县</w:t>
      </w:r>
      <w:r>
        <w:rPr>
          <w:rFonts w:hint="eastAsia"/>
        </w:rPr>
        <w:t>国土空间规划，</w:t>
      </w:r>
      <w:bookmarkStart w:id="281" w:name="OLE_LINK133"/>
      <w:r>
        <w:rPr>
          <w:rFonts w:hint="eastAsia"/>
        </w:rPr>
        <w:t>实行统一规划、分期建设。在控制性详规和修建性详规等各级规划中，应落实建筑垃圾处理设施的布局、选址和用地规模需求，并为建筑垃圾资源化利用场和建筑垃圾堆填场提供足够的预留用地，满足项目扩建需要。鼓励通过长期租赁、先租后让、租让结合、划拨用地以及弹性供地等方式，为建筑垃圾处置场所供地。</w:t>
      </w:r>
    </w:p>
    <w:bookmarkEnd w:id="281"/>
    <w:p>
      <w:pPr>
        <w:pStyle w:val="4"/>
        <w:bidi w:val="0"/>
        <w:rPr>
          <w:rFonts w:hint="eastAsia"/>
        </w:rPr>
      </w:pPr>
      <w:r>
        <w:rPr>
          <w:rFonts w:hint="eastAsia"/>
        </w:rPr>
        <w:t>2、资金保障措施</w:t>
      </w:r>
    </w:p>
    <w:p>
      <w:pPr>
        <w:bidi w:val="0"/>
        <w:rPr>
          <w:rFonts w:hint="eastAsia"/>
        </w:rPr>
      </w:pPr>
      <w:r>
        <w:rPr>
          <w:rFonts w:hint="eastAsia"/>
        </w:rPr>
        <w:t>涉及政府负责的建筑垃圾治理相关经费应纳入同级政府年度财政预算。按照“谁产生、谁承担处置 ”原则，产生建筑垃圾的单位或个人应当承担建筑垃圾处置费用。</w:t>
      </w:r>
      <w:r>
        <w:rPr>
          <w:rFonts w:hint="eastAsia"/>
          <w:u w:val="single"/>
        </w:rPr>
        <w:t>发改应会同财政、城管、生态环境部门</w:t>
      </w:r>
      <w:r>
        <w:rPr>
          <w:rFonts w:hint="eastAsia"/>
        </w:rPr>
        <w:t>根据建筑垃圾处置运营成本、国民经济与社会发展要求以及社会实际，按照“政府引导、市场主导 ”的市场化定价原则，不断完善政府调控，市场定价的建筑垃圾处置收费机制，保障建筑垃圾处置工作顺利推进。</w:t>
      </w:r>
    </w:p>
    <w:p>
      <w:pPr>
        <w:bidi w:val="0"/>
        <w:rPr>
          <w:rFonts w:hint="eastAsia"/>
        </w:rPr>
      </w:pPr>
      <w:r>
        <w:rPr>
          <w:rFonts w:hint="eastAsia"/>
        </w:rPr>
        <w:t>引入社会资本参与建筑垃圾产业，特别是在处理设施的建设投资方面，应多渠道、多层次地筹集资金，建立多元化投融资机制，推进市场化。</w:t>
      </w:r>
    </w:p>
    <w:p>
      <w:pPr>
        <w:pStyle w:val="3"/>
        <w:bidi w:val="0"/>
        <w:rPr>
          <w:rFonts w:hint="eastAsia" w:ascii="楷体" w:hAnsi="楷体" w:eastAsia="楷体" w:cs="楷体"/>
          <w:sz w:val="28"/>
          <w:szCs w:val="28"/>
        </w:rPr>
      </w:pPr>
      <w:bookmarkStart w:id="282" w:name="_Toc14916"/>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四</w:t>
      </w:r>
      <w:r>
        <w:rPr>
          <w:rFonts w:hint="eastAsia" w:ascii="楷体" w:hAnsi="楷体" w:eastAsia="楷体" w:cs="楷体"/>
          <w:sz w:val="28"/>
          <w:szCs w:val="28"/>
          <w:lang w:eastAsia="zh-CN"/>
        </w:rPr>
        <w:t>）</w:t>
      </w:r>
      <w:r>
        <w:rPr>
          <w:rFonts w:hint="eastAsia" w:ascii="楷体" w:hAnsi="楷体" w:eastAsia="楷体" w:cs="楷体"/>
          <w:sz w:val="28"/>
          <w:szCs w:val="28"/>
        </w:rPr>
        <w:t>技术保障措施</w:t>
      </w:r>
      <w:bookmarkEnd w:id="282"/>
    </w:p>
    <w:p>
      <w:pPr>
        <w:bidi w:val="0"/>
        <w:rPr>
          <w:rFonts w:hint="eastAsia"/>
        </w:rPr>
      </w:pPr>
      <w:r>
        <w:rPr>
          <w:rFonts w:hint="eastAsia"/>
        </w:rPr>
        <w:t>进一步加强建筑垃圾管理人才培养，特别是信息化管理人才的培养、引进，加强建筑垃圾视频巡检、卫星定位轨迹信息综合分析、标准规范编制执行等人才的培养和引进，适应新形势下建筑垃圾管理工作的需要，提高建筑垃圾行业整体管理水平和能力。进一步加大建筑垃圾运输企业车辆驾驶人员操作培训力度，强化车辆驾驶人员安全意识、规范化操作意识，不断提高建筑垃圾运输车辆驾驶人员操作技能水平。</w:t>
      </w:r>
    </w:p>
    <w:p>
      <w:pPr>
        <w:bidi w:val="0"/>
        <w:rPr>
          <w:rFonts w:hint="eastAsia"/>
        </w:rPr>
      </w:pPr>
      <w:r>
        <w:rPr>
          <w:rFonts w:hint="eastAsia"/>
        </w:rPr>
        <w:t>落实建筑垃圾治理相关数据实时上报联动机制，通过汇集、分析和共享各类数据信息，实现建筑垃圾从源头产生、分类投放、分类收运、综合利用到末端处置的全过程数字化闭环监管。</w:t>
      </w:r>
    </w:p>
    <w:p>
      <w:pPr>
        <w:pStyle w:val="2"/>
        <w:bidi w:val="0"/>
        <w:rPr>
          <w:rFonts w:hint="eastAsia"/>
        </w:rPr>
      </w:pPr>
      <w:bookmarkStart w:id="283" w:name="_Toc18586"/>
      <w:r>
        <w:rPr>
          <w:rFonts w:hint="eastAsia"/>
        </w:rPr>
        <w:t>第十三章 附则</w:t>
      </w:r>
      <w:bookmarkEnd w:id="283"/>
    </w:p>
    <w:p>
      <w:pPr>
        <w:pStyle w:val="3"/>
        <w:bidi w:val="0"/>
        <w:rPr>
          <w:rFonts w:hint="eastAsia" w:ascii="楷体" w:hAnsi="楷体" w:eastAsia="楷体" w:cs="楷体"/>
          <w:sz w:val="28"/>
          <w:szCs w:val="28"/>
        </w:rPr>
      </w:pPr>
      <w:bookmarkStart w:id="284" w:name="_Toc17644"/>
      <w:r>
        <w:rPr>
          <w:rFonts w:hint="eastAsia" w:ascii="楷体" w:hAnsi="楷体" w:eastAsia="楷体" w:cs="楷体"/>
          <w:sz w:val="28"/>
          <w:szCs w:val="28"/>
          <w:lang w:eastAsia="zh-CN"/>
        </w:rPr>
        <w:t>（一）</w:t>
      </w:r>
      <w:r>
        <w:rPr>
          <w:rFonts w:hint="eastAsia" w:ascii="楷体" w:hAnsi="楷体" w:eastAsia="楷体" w:cs="楷体"/>
          <w:sz w:val="28"/>
          <w:szCs w:val="28"/>
        </w:rPr>
        <w:t>组织实施主体</w:t>
      </w:r>
      <w:bookmarkEnd w:id="284"/>
    </w:p>
    <w:p>
      <w:pPr>
        <w:bidi w:val="0"/>
        <w:rPr>
          <w:rFonts w:hint="eastAsia"/>
        </w:rPr>
      </w:pPr>
      <w:r>
        <w:rPr>
          <w:rFonts w:hint="eastAsia"/>
        </w:rPr>
        <w:t>本规划由</w:t>
      </w:r>
      <w:r>
        <w:rPr>
          <w:rFonts w:hint="eastAsia"/>
          <w:lang w:eastAsia="zh-CN"/>
        </w:rPr>
        <w:t>桃江</w:t>
      </w:r>
      <w:r>
        <w:rPr>
          <w:rFonts w:hint="eastAsia"/>
        </w:rPr>
        <w:t>县住房和城乡建设局组织实施。</w:t>
      </w:r>
    </w:p>
    <w:p>
      <w:pPr>
        <w:pStyle w:val="3"/>
        <w:bidi w:val="0"/>
        <w:rPr>
          <w:rFonts w:hint="eastAsia" w:ascii="楷体" w:hAnsi="楷体" w:eastAsia="楷体" w:cs="楷体"/>
          <w:sz w:val="28"/>
          <w:szCs w:val="28"/>
        </w:rPr>
      </w:pPr>
      <w:bookmarkStart w:id="285" w:name="_Toc11430"/>
      <w:r>
        <w:rPr>
          <w:rFonts w:hint="eastAsia" w:ascii="楷体" w:hAnsi="楷体" w:eastAsia="楷体" w:cs="楷体"/>
          <w:sz w:val="28"/>
          <w:szCs w:val="28"/>
          <w:lang w:eastAsia="zh-CN"/>
        </w:rPr>
        <w:t>（二）</w:t>
      </w:r>
      <w:r>
        <w:rPr>
          <w:rFonts w:hint="eastAsia" w:ascii="楷体" w:hAnsi="楷体" w:eastAsia="楷体" w:cs="楷体"/>
          <w:sz w:val="28"/>
          <w:szCs w:val="28"/>
        </w:rPr>
        <w:t>解释权归属</w:t>
      </w:r>
      <w:bookmarkEnd w:id="285"/>
    </w:p>
    <w:p>
      <w:pPr>
        <w:bidi w:val="0"/>
        <w:rPr>
          <w:rFonts w:hint="eastAsia"/>
        </w:rPr>
      </w:pPr>
      <w:r>
        <w:rPr>
          <w:rFonts w:hint="eastAsia"/>
        </w:rPr>
        <w:t>本规划由</w:t>
      </w:r>
      <w:r>
        <w:rPr>
          <w:rFonts w:hint="eastAsia"/>
          <w:lang w:eastAsia="zh-CN"/>
        </w:rPr>
        <w:t>桃江县</w:t>
      </w:r>
      <w:r>
        <w:rPr>
          <w:rFonts w:hint="eastAsia"/>
        </w:rPr>
        <w:t>住房和城乡建设局负责解释。</w:t>
      </w:r>
    </w:p>
    <w:p>
      <w:pPr>
        <w:pStyle w:val="3"/>
        <w:bidi w:val="0"/>
        <w:rPr>
          <w:rFonts w:hint="eastAsia" w:ascii="楷体" w:hAnsi="楷体" w:eastAsia="楷体" w:cs="楷体"/>
          <w:sz w:val="28"/>
          <w:szCs w:val="28"/>
        </w:rPr>
      </w:pPr>
      <w:bookmarkStart w:id="286" w:name="_Toc10070"/>
      <w:r>
        <w:rPr>
          <w:rFonts w:hint="eastAsia" w:ascii="楷体" w:hAnsi="楷体" w:eastAsia="楷体" w:cs="楷体"/>
          <w:sz w:val="28"/>
          <w:szCs w:val="28"/>
          <w:lang w:eastAsia="zh-CN"/>
        </w:rPr>
        <w:t>（三）</w:t>
      </w:r>
      <w:r>
        <w:rPr>
          <w:rFonts w:hint="eastAsia" w:ascii="楷体" w:hAnsi="楷体" w:eastAsia="楷体" w:cs="楷体"/>
          <w:sz w:val="28"/>
          <w:szCs w:val="28"/>
        </w:rPr>
        <w:t>规划实施日期</w:t>
      </w:r>
      <w:bookmarkEnd w:id="286"/>
    </w:p>
    <w:p>
      <w:pPr>
        <w:bidi w:val="0"/>
        <w:rPr>
          <w:rFonts w:hint="eastAsia"/>
        </w:rPr>
      </w:pPr>
      <w:r>
        <w:rPr>
          <w:rFonts w:hint="eastAsia"/>
        </w:rPr>
        <w:t>本规划自批准公布之日起生效。</w:t>
      </w:r>
    </w:p>
    <w:p>
      <w:pPr>
        <w:bidi w:val="0"/>
        <w:rPr>
          <w:rFonts w:hint="eastAsia"/>
        </w:rPr>
      </w:pPr>
    </w:p>
    <w:p>
      <w:pPr>
        <w:bidi w:val="0"/>
        <w:rPr>
          <w:rFonts w:hint="eastAsia"/>
        </w:rPr>
      </w:pPr>
      <w:r>
        <w:rPr>
          <w:rFonts w:hint="eastAsia"/>
        </w:rPr>
        <w:t>附图</w:t>
      </w:r>
    </w:p>
    <w:p>
      <w:pPr>
        <w:bidi w:val="0"/>
        <w:rPr>
          <w:rFonts w:hint="eastAsia"/>
        </w:rPr>
      </w:pPr>
      <w:r>
        <w:rPr>
          <w:rFonts w:hint="eastAsia"/>
        </w:rPr>
        <w:t>图纸目录（按实际情况编制）</w:t>
      </w:r>
    </w:p>
    <w:p>
      <w:pPr>
        <w:bidi w:val="0"/>
      </w:pPr>
      <w:r>
        <w:rPr>
          <w:rFonts w:hint="eastAsia"/>
        </w:rPr>
        <w:t>包括但不限于： 区位图、 现状图、 近期设施规划布局图、 远 期设施规划布局图、运输路线规划。</w:t>
      </w:r>
    </w:p>
    <w:p>
      <w:pPr>
        <w:pageBreakBefore w:val="0"/>
        <w:kinsoku/>
        <w:wordWrap w:val="0"/>
        <w:overflowPunct/>
        <w:topLinePunct w:val="0"/>
        <w:autoSpaceDE/>
        <w:autoSpaceDN/>
        <w:bidi w:val="0"/>
        <w:adjustRightInd/>
        <w:snapToGrid/>
        <w:ind w:firstLine="0" w:firstLineChars="0"/>
        <w:rPr>
          <w:rFonts w:hint="eastAsia" w:cs="Times New Roman"/>
          <w:szCs w:val="28"/>
        </w:rPr>
      </w:pPr>
    </w:p>
    <w:sectPr>
      <w:headerReference r:id="rId13" w:type="default"/>
      <w:footerReference r:id="rId14" w:type="default"/>
      <w:pgSz w:w="11906" w:h="16838"/>
      <w:pgMar w:top="1440" w:right="1800" w:bottom="1440" w:left="1800" w:header="851" w:footer="964"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DBABD98-6A87-47D1-B9F2-907BFEDDEF3A}"/>
  </w:font>
  <w:font w:name="黑体">
    <w:panose1 w:val="02010609060101010101"/>
    <w:charset w:val="86"/>
    <w:family w:val="auto"/>
    <w:pitch w:val="default"/>
    <w:sig w:usb0="800002BF" w:usb1="38CF7CFA" w:usb2="00000016" w:usb3="00000000" w:csb0="00040001" w:csb1="00000000"/>
    <w:embedRegular r:id="rId2" w:fontKey="{5C92D70A-5857-486F-8E04-D72C14C143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4E616FF6-A6C9-48C7-ACB7-FB75F7FBCA81}"/>
  </w:font>
  <w:font w:name="微软雅黑">
    <w:panose1 w:val="020B0503020204020204"/>
    <w:charset w:val="86"/>
    <w:family w:val="swiss"/>
    <w:pitch w:val="default"/>
    <w:sig w:usb0="80000287" w:usb1="2ACF3C50" w:usb2="00000016" w:usb3="00000000" w:csb0="0004001F" w:csb1="00000000"/>
    <w:embedRegular r:id="rId4" w:fontKey="{305C5178-0E51-4BA1-935E-2E6C1ADD583A}"/>
  </w:font>
  <w:font w:name="等线 Light">
    <w:panose1 w:val="02010600030101010101"/>
    <w:charset w:val="86"/>
    <w:family w:val="auto"/>
    <w:pitch w:val="default"/>
    <w:sig w:usb0="A00002BF" w:usb1="38CF7CFA" w:usb2="00000016" w:usb3="00000000" w:csb0="0004000F" w:csb1="00000000"/>
  </w:font>
  <w:font w:name="方正楷体_GB2312">
    <w:panose1 w:val="02000000000000000000"/>
    <w:charset w:val="86"/>
    <w:family w:val="auto"/>
    <w:pitch w:val="default"/>
    <w:sig w:usb0="A00002BF" w:usb1="184F6CFA" w:usb2="00000012" w:usb3="00000000" w:csb0="00040001" w:csb1="00000000"/>
    <w:embedRegular r:id="rId5" w:fontKey="{907D0EEC-9277-44B3-BD7E-7586CD3F84A2}"/>
  </w:font>
  <w:font w:name="楷体">
    <w:panose1 w:val="02010609060101010101"/>
    <w:charset w:val="86"/>
    <w:family w:val="auto"/>
    <w:pitch w:val="default"/>
    <w:sig w:usb0="800002BF" w:usb1="38CF7CFA" w:usb2="00000016" w:usb3="00000000" w:csb0="00040001" w:csb1="00000000"/>
    <w:embedRegular r:id="rId6" w:fontKey="{065F9FBA-AB73-4AA4-9DDF-A0F3888D2E7B}"/>
  </w:font>
  <w:font w:name="Constantia">
    <w:panose1 w:val="02030602050306030303"/>
    <w:charset w:val="00"/>
    <w:family w:val="auto"/>
    <w:pitch w:val="default"/>
    <w:sig w:usb0="A00002EF" w:usb1="4000204B" w:usb2="00000000" w:usb3="00000000" w:csb0="2000019F" w:csb1="00000000"/>
    <w:embedRegular r:id="rId7" w:fontKey="{13D6C72E-C722-4CF3-8EDB-F3FE8854C7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23" w:lineRule="exact"/>
      <w:ind w:left="4280" w:firstLine="0" w:firstLineChars="0"/>
      <w:jc w:val="left"/>
      <w:textAlignment w:val="baseline"/>
      <w:rPr>
        <w:rFonts w:ascii="Constantia" w:hAnsi="Constantia" w:eastAsia="Constantia" w:cs="Constantia"/>
        <w:snapToGrid w:val="0"/>
        <w:color w:val="000000"/>
        <w:kern w:val="0"/>
        <w:sz w:val="18"/>
        <w:szCs w:val="18"/>
        <w:lang w:eastAsia="en-US"/>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48" w:line="197" w:lineRule="auto"/>
      <w:ind w:left="1984" w:firstLine="0" w:firstLineChars="0"/>
      <w:jc w:val="right"/>
      <w:textAlignment w:val="baseline"/>
      <w:rPr>
        <w:rFonts w:hint="eastAsia" w:ascii="仿宋" w:hAnsi="仿宋" w:eastAsia="仿宋" w:cs="仿宋"/>
        <w:b w:val="0"/>
        <w:bCs w:val="0"/>
        <w:snapToGrid w:val="0"/>
        <w:color w:val="000000"/>
        <w:kern w:val="0"/>
        <w:sz w:val="21"/>
        <w:szCs w:val="21"/>
        <w:lang w:eastAsia="en-US"/>
      </w:rPr>
    </w:pPr>
    <w:bookmarkStart w:id="287" w:name="OLE_LINK121"/>
    <w:bookmarkStart w:id="288" w:name="OLE_LINK113"/>
    <w:r>
      <w:rPr>
        <w:rFonts w:hint="eastAsia" w:ascii="仿宋" w:hAnsi="仿宋" w:eastAsia="仿宋" w:cs="仿宋"/>
        <w:b w:val="0"/>
        <w:bCs w:val="0"/>
        <w:snapToGrid w:val="0"/>
        <w:color w:val="000000"/>
        <w:kern w:val="0"/>
        <w:sz w:val="21"/>
        <w:szCs w:val="21"/>
        <w:lang w:eastAsia="en-US"/>
      </w:rPr>
      <w:drawing>
        <wp:anchor distT="0" distB="0" distL="0" distR="0" simplePos="0" relativeHeight="251661312" behindDoc="0" locked="0" layoutInCell="0" allowOverlap="1">
          <wp:simplePos x="0" y="0"/>
          <wp:positionH relativeFrom="page">
            <wp:posOffset>1124585</wp:posOffset>
          </wp:positionH>
          <wp:positionV relativeFrom="page">
            <wp:posOffset>700405</wp:posOffset>
          </wp:positionV>
          <wp:extent cx="5311140" cy="8890"/>
          <wp:effectExtent l="0" t="0" r="0" b="0"/>
          <wp:wrapNone/>
          <wp:docPr id="1" name="IM 52"/>
          <wp:cNvGraphicFramePr/>
          <a:graphic xmlns:a="http://schemas.openxmlformats.org/drawingml/2006/main">
            <a:graphicData uri="http://schemas.openxmlformats.org/drawingml/2006/picture">
              <pic:pic xmlns:pic="http://schemas.openxmlformats.org/drawingml/2006/picture">
                <pic:nvPicPr>
                  <pic:cNvPr id="1" name="IM 52"/>
                  <pic:cNvPicPr/>
                </pic:nvPicPr>
                <pic:blipFill>
                  <a:blip r:embed="rId1"/>
                  <a:stretch>
                    <a:fillRect/>
                  </a:stretch>
                </pic:blipFill>
                <pic:spPr>
                  <a:xfrm>
                    <a:off x="0" y="0"/>
                    <a:ext cx="5311139" cy="9143"/>
                  </a:xfrm>
                  <a:prstGeom prst="rect">
                    <a:avLst/>
                  </a:prstGeom>
                </pic:spPr>
              </pic:pic>
            </a:graphicData>
          </a:graphic>
        </wp:anchor>
      </w:drawing>
    </w:r>
    <w:r>
      <w:rPr>
        <w:rFonts w:hint="eastAsia" w:ascii="仿宋" w:hAnsi="仿宋" w:cs="仿宋"/>
        <w:b w:val="0"/>
        <w:bCs w:val="0"/>
        <w:snapToGrid w:val="0"/>
        <w:color w:val="000000"/>
        <w:kern w:val="0"/>
        <w:sz w:val="21"/>
        <w:szCs w:val="21"/>
        <w:lang w:eastAsia="zh-CN"/>
      </w:rPr>
      <w:t>桃江县建筑垃圾污染环境</w:t>
    </w:r>
    <w:r>
      <w:rPr>
        <w:rFonts w:hint="eastAsia" w:ascii="仿宋" w:hAnsi="仿宋" w:eastAsia="仿宋" w:cs="仿宋"/>
        <w:b w:val="0"/>
        <w:bCs w:val="0"/>
        <w:snapToGrid w:val="0"/>
        <w:color w:val="000000"/>
        <w:spacing w:val="-2"/>
        <w:kern w:val="0"/>
        <w:sz w:val="21"/>
        <w:szCs w:val="21"/>
        <w:lang w:eastAsia="en-US"/>
      </w:rPr>
      <w:t>防治工作规划（2025</w:t>
    </w:r>
    <w:r>
      <w:rPr>
        <w:rFonts w:hint="eastAsia" w:ascii="仿宋" w:hAnsi="仿宋" w:eastAsia="仿宋" w:cs="仿宋"/>
        <w:b w:val="0"/>
        <w:bCs w:val="0"/>
        <w:snapToGrid w:val="0"/>
        <w:color w:val="000000"/>
        <w:spacing w:val="-3"/>
        <w:kern w:val="0"/>
        <w:sz w:val="21"/>
        <w:szCs w:val="21"/>
        <w:lang w:eastAsia="en-US"/>
      </w:rPr>
      <w:t>-2035年）</w:t>
    </w:r>
    <w:bookmarkEnd w:id="287"/>
    <w:bookmarkEnd w:id="288"/>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48" w:line="197" w:lineRule="auto"/>
      <w:ind w:left="1984" w:firstLine="0" w:firstLineChars="0"/>
      <w:jc w:val="right"/>
      <w:textAlignment w:val="baseline"/>
      <w:rPr>
        <w:rFonts w:hint="eastAsia" w:ascii="仿宋" w:hAnsi="仿宋" w:eastAsia="仿宋" w:cs="仿宋"/>
        <w:b w:val="0"/>
        <w:bCs w:val="0"/>
        <w:snapToGrid w:val="0"/>
        <w:color w:val="000000"/>
        <w:kern w:val="0"/>
        <w:sz w:val="21"/>
        <w:szCs w:val="21"/>
        <w:lang w:eastAsia="en-US"/>
      </w:rPr>
    </w:pPr>
    <w:r>
      <w:rPr>
        <w:rFonts w:hint="eastAsia" w:ascii="仿宋" w:hAnsi="仿宋" w:eastAsia="仿宋" w:cs="仿宋"/>
        <w:b w:val="0"/>
        <w:bCs w:val="0"/>
        <w:snapToGrid w:val="0"/>
        <w:color w:val="000000"/>
        <w:kern w:val="0"/>
        <w:sz w:val="21"/>
        <w:szCs w:val="21"/>
        <w:lang w:eastAsia="en-US"/>
      </w:rPr>
      <w:drawing>
        <wp:anchor distT="0" distB="0" distL="0" distR="0" simplePos="0" relativeHeight="251664384" behindDoc="0" locked="0" layoutInCell="0" allowOverlap="1">
          <wp:simplePos x="0" y="0"/>
          <wp:positionH relativeFrom="page">
            <wp:posOffset>1124585</wp:posOffset>
          </wp:positionH>
          <wp:positionV relativeFrom="page">
            <wp:posOffset>700405</wp:posOffset>
          </wp:positionV>
          <wp:extent cx="5311140" cy="8890"/>
          <wp:effectExtent l="0" t="0" r="0" b="0"/>
          <wp:wrapNone/>
          <wp:docPr id="20" name="IM 52"/>
          <wp:cNvGraphicFramePr/>
          <a:graphic xmlns:a="http://schemas.openxmlformats.org/drawingml/2006/main">
            <a:graphicData uri="http://schemas.openxmlformats.org/drawingml/2006/picture">
              <pic:pic xmlns:pic="http://schemas.openxmlformats.org/drawingml/2006/picture">
                <pic:nvPicPr>
                  <pic:cNvPr id="20" name="IM 52"/>
                  <pic:cNvPicPr/>
                </pic:nvPicPr>
                <pic:blipFill>
                  <a:blip r:embed="rId1"/>
                  <a:stretch>
                    <a:fillRect/>
                  </a:stretch>
                </pic:blipFill>
                <pic:spPr>
                  <a:xfrm>
                    <a:off x="0" y="0"/>
                    <a:ext cx="5311139" cy="9143"/>
                  </a:xfrm>
                  <a:prstGeom prst="rect">
                    <a:avLst/>
                  </a:prstGeom>
                </pic:spPr>
              </pic:pic>
            </a:graphicData>
          </a:graphic>
        </wp:anchor>
      </w:drawing>
    </w:r>
    <w:r>
      <w:rPr>
        <w:rFonts w:hint="eastAsia" w:ascii="仿宋" w:hAnsi="仿宋" w:cs="仿宋"/>
        <w:b w:val="0"/>
        <w:bCs w:val="0"/>
        <w:snapToGrid w:val="0"/>
        <w:color w:val="000000"/>
        <w:kern w:val="0"/>
        <w:sz w:val="21"/>
        <w:szCs w:val="21"/>
        <w:lang w:eastAsia="zh-CN"/>
      </w:rPr>
      <w:t>桃江县建筑垃圾污染环境</w:t>
    </w:r>
    <w:r>
      <w:rPr>
        <w:rFonts w:hint="eastAsia" w:ascii="仿宋" w:hAnsi="仿宋" w:eastAsia="仿宋" w:cs="仿宋"/>
        <w:b w:val="0"/>
        <w:bCs w:val="0"/>
        <w:snapToGrid w:val="0"/>
        <w:color w:val="000000"/>
        <w:spacing w:val="-2"/>
        <w:kern w:val="0"/>
        <w:sz w:val="21"/>
        <w:szCs w:val="21"/>
        <w:lang w:eastAsia="en-US"/>
      </w:rPr>
      <w:t>防治工作规划（2025</w:t>
    </w:r>
    <w:r>
      <w:rPr>
        <w:rFonts w:hint="eastAsia" w:ascii="仿宋" w:hAnsi="仿宋" w:eastAsia="仿宋" w:cs="仿宋"/>
        <w:b w:val="0"/>
        <w:bCs w:val="0"/>
        <w:snapToGrid w:val="0"/>
        <w:color w:val="000000"/>
        <w:spacing w:val="-3"/>
        <w:kern w:val="0"/>
        <w:sz w:val="21"/>
        <w:szCs w:val="21"/>
        <w:lang w:eastAsia="en-US"/>
      </w:rPr>
      <w:t>-2035年）</w:t>
    </w:r>
  </w:p>
  <w:p>
    <w:pPr>
      <w:pStyle w:val="9"/>
      <w:rPr>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2NkZTAxN2ZhYTlkM2EzZGEwYjQ3YjdlMjNjYmQifQ=="/>
  </w:docVars>
  <w:rsids>
    <w:rsidRoot w:val="6B1D7016"/>
    <w:rsid w:val="00045A89"/>
    <w:rsid w:val="000A19DB"/>
    <w:rsid w:val="00351D94"/>
    <w:rsid w:val="00506302"/>
    <w:rsid w:val="00592FC0"/>
    <w:rsid w:val="006B3BB7"/>
    <w:rsid w:val="007A1209"/>
    <w:rsid w:val="007B5533"/>
    <w:rsid w:val="008D00BC"/>
    <w:rsid w:val="00BE502C"/>
    <w:rsid w:val="00D2672D"/>
    <w:rsid w:val="00D50291"/>
    <w:rsid w:val="00F11872"/>
    <w:rsid w:val="00FD40B2"/>
    <w:rsid w:val="036B1798"/>
    <w:rsid w:val="03DC43D1"/>
    <w:rsid w:val="04115160"/>
    <w:rsid w:val="051C7496"/>
    <w:rsid w:val="0648365F"/>
    <w:rsid w:val="0A3E03DD"/>
    <w:rsid w:val="0BA8707A"/>
    <w:rsid w:val="0D317F78"/>
    <w:rsid w:val="10304FDC"/>
    <w:rsid w:val="115377F4"/>
    <w:rsid w:val="11AD2E76"/>
    <w:rsid w:val="123C368D"/>
    <w:rsid w:val="126634E4"/>
    <w:rsid w:val="12CF74A0"/>
    <w:rsid w:val="13A51269"/>
    <w:rsid w:val="141F52F0"/>
    <w:rsid w:val="16ED6013"/>
    <w:rsid w:val="1EF30AB2"/>
    <w:rsid w:val="1F1021C6"/>
    <w:rsid w:val="21115DD1"/>
    <w:rsid w:val="21A70722"/>
    <w:rsid w:val="256347C5"/>
    <w:rsid w:val="2817512F"/>
    <w:rsid w:val="2BC7429E"/>
    <w:rsid w:val="2E4B5138"/>
    <w:rsid w:val="35D753C3"/>
    <w:rsid w:val="35F805FA"/>
    <w:rsid w:val="364168D0"/>
    <w:rsid w:val="37F62FC7"/>
    <w:rsid w:val="3AC41856"/>
    <w:rsid w:val="3D3D09A6"/>
    <w:rsid w:val="3D767935"/>
    <w:rsid w:val="3E2062F1"/>
    <w:rsid w:val="3FFB2DE4"/>
    <w:rsid w:val="444D283F"/>
    <w:rsid w:val="477514A0"/>
    <w:rsid w:val="483A7C41"/>
    <w:rsid w:val="48B714DC"/>
    <w:rsid w:val="48ED09EF"/>
    <w:rsid w:val="49A277AE"/>
    <w:rsid w:val="4B052FC7"/>
    <w:rsid w:val="4C8A6EEA"/>
    <w:rsid w:val="4CDE38DC"/>
    <w:rsid w:val="4CF92113"/>
    <w:rsid w:val="4D852539"/>
    <w:rsid w:val="4E2F68D1"/>
    <w:rsid w:val="4EBB24A8"/>
    <w:rsid w:val="4EC32FA2"/>
    <w:rsid w:val="4F9F38F8"/>
    <w:rsid w:val="5656482C"/>
    <w:rsid w:val="59686400"/>
    <w:rsid w:val="5BFE1351"/>
    <w:rsid w:val="6009767F"/>
    <w:rsid w:val="60350935"/>
    <w:rsid w:val="604D14F0"/>
    <w:rsid w:val="605F5BC1"/>
    <w:rsid w:val="60901B5D"/>
    <w:rsid w:val="60B740B3"/>
    <w:rsid w:val="623A01EC"/>
    <w:rsid w:val="65B242FF"/>
    <w:rsid w:val="67406637"/>
    <w:rsid w:val="687C7B56"/>
    <w:rsid w:val="68E31F3D"/>
    <w:rsid w:val="69777AD4"/>
    <w:rsid w:val="69F14B34"/>
    <w:rsid w:val="6A8A23D9"/>
    <w:rsid w:val="6B1D7016"/>
    <w:rsid w:val="6D131118"/>
    <w:rsid w:val="6E057ED4"/>
    <w:rsid w:val="6F030060"/>
    <w:rsid w:val="71BD6B02"/>
    <w:rsid w:val="72877CE3"/>
    <w:rsid w:val="73D873B6"/>
    <w:rsid w:val="74EE6AD0"/>
    <w:rsid w:val="789344E9"/>
    <w:rsid w:val="79D03333"/>
    <w:rsid w:val="7B1D7A0C"/>
    <w:rsid w:val="7CE23B8D"/>
    <w:rsid w:val="7DC8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仿宋" w:cstheme="minorBidi"/>
      <w:kern w:val="2"/>
      <w:sz w:val="28"/>
      <w:szCs w:val="24"/>
      <w:lang w:val="en-US" w:eastAsia="zh-CN" w:bidi="ar-SA"/>
    </w:rPr>
  </w:style>
  <w:style w:type="paragraph" w:styleId="2">
    <w:name w:val="heading 1"/>
    <w:basedOn w:val="1"/>
    <w:next w:val="1"/>
    <w:autoRedefine/>
    <w:qFormat/>
    <w:uiPriority w:val="9"/>
    <w:pPr>
      <w:keepNext/>
      <w:keepLines/>
      <w:outlineLvl w:val="0"/>
    </w:pPr>
    <w:rPr>
      <w:rFonts w:eastAsia="微软雅黑"/>
      <w:b/>
      <w:bCs/>
      <w:kern w:val="44"/>
      <w:sz w:val="30"/>
      <w:szCs w:val="44"/>
    </w:rPr>
  </w:style>
  <w:style w:type="paragraph" w:styleId="3">
    <w:name w:val="heading 2"/>
    <w:basedOn w:val="1"/>
    <w:next w:val="1"/>
    <w:link w:val="22"/>
    <w:autoRedefine/>
    <w:unhideWhenUsed/>
    <w:qFormat/>
    <w:uiPriority w:val="9"/>
    <w:pPr>
      <w:keepNext/>
      <w:keepLines/>
      <w:outlineLvl w:val="1"/>
    </w:pPr>
    <w:rPr>
      <w:rFonts w:ascii="等线 Light" w:hAnsi="等线 Light"/>
      <w:b/>
      <w:bCs/>
      <w:sz w:val="32"/>
      <w:szCs w:val="32"/>
    </w:rPr>
  </w:style>
  <w:style w:type="paragraph" w:styleId="4">
    <w:name w:val="heading 3"/>
    <w:basedOn w:val="1"/>
    <w:next w:val="1"/>
    <w:autoRedefine/>
    <w:unhideWhenUsed/>
    <w:qFormat/>
    <w:uiPriority w:val="0"/>
    <w:pPr>
      <w:keepNext/>
      <w:keepLines/>
      <w:spacing w:line="360" w:lineRule="auto"/>
      <w:outlineLvl w:val="2"/>
    </w:pPr>
    <w:rPr>
      <w:rFonts w:ascii="Times New Roman" w:hAnsi="Times New Roman"/>
      <w:b/>
      <w:bCs/>
      <w:szCs w:val="32"/>
    </w:rPr>
  </w:style>
  <w:style w:type="paragraph" w:styleId="5">
    <w:name w:val="heading 4"/>
    <w:basedOn w:val="1"/>
    <w:next w:val="1"/>
    <w:autoRedefine/>
    <w:unhideWhenUsed/>
    <w:qFormat/>
    <w:uiPriority w:val="0"/>
    <w:pPr>
      <w:spacing w:before="-2147483648" w:beforeAutospacing="1" w:after="100" w:afterAutospacing="1"/>
      <w:jc w:val="left"/>
      <w:outlineLvl w:val="3"/>
    </w:pPr>
    <w:rPr>
      <w:rFonts w:hint="eastAsia" w:ascii="宋体" w:hAnsi="宋体" w:eastAsia="宋体" w:cs="宋体"/>
      <w:b/>
      <w:bCs/>
      <w:kern w:val="0"/>
      <w:sz w:val="28"/>
      <w:lang w:bidi="ar"/>
    </w:rPr>
  </w:style>
  <w:style w:type="character" w:default="1" w:styleId="15">
    <w:name w:val="Default Paragraph Font"/>
    <w:autoRedefine/>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Body Text"/>
    <w:basedOn w:val="1"/>
    <w:autoRedefine/>
    <w:qFormat/>
    <w:uiPriority w:val="0"/>
    <w:pPr>
      <w:spacing w:after="120"/>
    </w:pPr>
    <w:rPr>
      <w:rFonts w:eastAsia="宋体" w:cs="Times New Roman"/>
    </w:rPr>
  </w:style>
  <w:style w:type="paragraph" w:styleId="7">
    <w:name w:val="toc 5"/>
    <w:basedOn w:val="1"/>
    <w:next w:val="1"/>
    <w:autoRedefine/>
    <w:qFormat/>
    <w:uiPriority w:val="0"/>
    <w:pPr>
      <w:ind w:left="1680" w:leftChars="800"/>
    </w:pPr>
  </w:style>
  <w:style w:type="paragraph" w:styleId="8">
    <w:name w:val="footer"/>
    <w:basedOn w:val="1"/>
    <w:link w:val="23"/>
    <w:autoRedefine/>
    <w:qFormat/>
    <w:uiPriority w:val="99"/>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0">
    <w:name w:val="toc 1"/>
    <w:basedOn w:val="1"/>
    <w:next w:val="1"/>
    <w:autoRedefine/>
    <w:unhideWhenUsed/>
    <w:qFormat/>
    <w:uiPriority w:val="39"/>
    <w:rPr>
      <w:rFonts w:ascii="Calibri" w:hAnsi="Calibri" w:eastAsia="宋体" w:cs="Times New Roman"/>
      <w:sz w:val="21"/>
      <w:szCs w:val="21"/>
    </w:rPr>
  </w:style>
  <w:style w:type="paragraph" w:styleId="11">
    <w:name w:val="toc 2"/>
    <w:basedOn w:val="1"/>
    <w:next w:val="1"/>
    <w:autoRedefine/>
    <w:unhideWhenUsed/>
    <w:qFormat/>
    <w:uiPriority w:val="39"/>
    <w:pPr>
      <w:ind w:left="420" w:leftChars="200"/>
    </w:p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6">
    <w:name w:val="Strong"/>
    <w:basedOn w:val="15"/>
    <w:autoRedefine/>
    <w:qFormat/>
    <w:uiPriority w:val="0"/>
    <w:rPr>
      <w:b/>
    </w:rPr>
  </w:style>
  <w:style w:type="character" w:styleId="17">
    <w:name w:val="Emphasis"/>
    <w:basedOn w:val="15"/>
    <w:autoRedefine/>
    <w:qFormat/>
    <w:uiPriority w:val="0"/>
    <w:rPr>
      <w:i/>
    </w:rPr>
  </w:style>
  <w:style w:type="character" w:styleId="18">
    <w:name w:val="Hyperlink"/>
    <w:autoRedefine/>
    <w:unhideWhenUsed/>
    <w:qFormat/>
    <w:uiPriority w:val="99"/>
    <w:rPr>
      <w:color w:val="0000FF"/>
      <w:u w:val="single"/>
    </w:rPr>
  </w:style>
  <w:style w:type="paragraph" w:customStyle="1" w:styleId="19">
    <w:name w:val="列表段落1"/>
    <w:basedOn w:val="1"/>
    <w:autoRedefine/>
    <w:qFormat/>
    <w:uiPriority w:val="0"/>
    <w:pPr>
      <w:ind w:firstLine="420"/>
    </w:pPr>
    <w:rPr>
      <w:rFonts w:ascii="Calibri" w:hAnsi="Calibri" w:eastAsia="宋体" w:cs="Times New Roman"/>
      <w:sz w:val="21"/>
      <w:szCs w:val="21"/>
    </w:rPr>
  </w:style>
  <w:style w:type="paragraph" w:customStyle="1" w:styleId="20">
    <w:name w:val="WPSOffice手动目录 1"/>
    <w:autoRedefine/>
    <w:qFormat/>
    <w:uiPriority w:val="0"/>
    <w:rPr>
      <w:rFonts w:ascii="Times New Roman" w:hAnsi="Times New Roman" w:eastAsia="宋体" w:cs="Times New Roman"/>
      <w:lang w:val="en-US" w:eastAsia="zh-CN" w:bidi="ar-SA"/>
    </w:rPr>
  </w:style>
  <w:style w:type="paragraph" w:customStyle="1" w:styleId="21">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22">
    <w:name w:val="标题 2 字符"/>
    <w:link w:val="3"/>
    <w:autoRedefine/>
    <w:qFormat/>
    <w:uiPriority w:val="9"/>
    <w:rPr>
      <w:rFonts w:ascii="等线 Light" w:hAnsi="等线 Light" w:eastAsia="仿宋" w:cstheme="minorBidi"/>
      <w:b/>
      <w:bCs/>
      <w:kern w:val="2"/>
      <w:sz w:val="32"/>
      <w:szCs w:val="32"/>
    </w:rPr>
  </w:style>
  <w:style w:type="character" w:customStyle="1" w:styleId="23">
    <w:name w:val="页脚 字符"/>
    <w:basedOn w:val="15"/>
    <w:link w:val="8"/>
    <w:autoRedefine/>
    <w:qFormat/>
    <w:uiPriority w:val="99"/>
    <w:rPr>
      <w:rFonts w:eastAsia="仿宋" w:cstheme="minorBidi"/>
      <w:kern w:val="2"/>
      <w:sz w:val="18"/>
      <w:szCs w:val="24"/>
    </w:rPr>
  </w:style>
  <w:style w:type="paragraph" w:customStyle="1" w:styleId="24">
    <w:name w:val="Table Text"/>
    <w:basedOn w:val="1"/>
    <w:autoRedefine/>
    <w:semiHidden/>
    <w:qFormat/>
    <w:uiPriority w:val="0"/>
    <w:rPr>
      <w:rFonts w:ascii="宋体" w:hAnsi="宋体" w:eastAsia="宋体" w:cs="宋体"/>
      <w:sz w:val="28"/>
      <w:szCs w:val="28"/>
      <w:lang w:val="en-US" w:eastAsia="en-US" w:bidi="ar-SA"/>
    </w:rPr>
  </w:style>
  <w:style w:type="table" w:customStyle="1" w:styleId="2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jpe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SO690Nmerical.XSL" StyleName="ISO 690 - 数字引用" Version="1987"/>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E89679-A46B-4EDC-8DE1-DC6B21066D7C}">
  <ds:schemaRefs/>
</ds:datastoreItem>
</file>

<file path=docProps/app.xml><?xml version="1.0" encoding="utf-8"?>
<Properties xmlns="http://schemas.openxmlformats.org/officeDocument/2006/extended-properties" xmlns:vt="http://schemas.openxmlformats.org/officeDocument/2006/docPropsVTypes">
  <Template>Normal.dotm</Template>
  <Pages>92</Pages>
  <Words>1020</Words>
  <Characters>1100</Characters>
  <Lines>116</Lines>
  <Paragraphs>32</Paragraphs>
  <TotalTime>8</TotalTime>
  <ScaleCrop>false</ScaleCrop>
  <LinksUpToDate>false</LinksUpToDate>
  <CharactersWithSpaces>1339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2021-10-12T07:49:00Z</dcterms:created>
  <dc:creator>忘语</dc:creator>
  <cp:lastModifiedBy>小米</cp:lastModifiedBy>
  <cp:lastPrinted>2026-03-25T00:45:00Z</cp:lastPrinted>
  <dcterms:modified xsi:type="dcterms:W3CDTF">2026-08-24T01:42:57Z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05AF5E702DBF44EA8D90E2FF68D14FB1_13</vt:lpwstr>
  </property>
  <property fmtid="{D5CDD505-2E9C-101B-9397-08002B2CF9AE}" pid="4" name="KSOTemplateDocerSaveRecord">
    <vt:lpwstr>eyJoZGlkIjoiNDRhMTdhMmI0NDQ4OTg3MTliODc5NDFhNGFkYWYyMDgiLCJ1c2VySWQiOiIxMDQ3MzkwODQ2In0=</vt:lpwstr>
  </property>
</Properties>
</file>