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eastAsia="黑体"/>
          <w:bCs/>
          <w:kern w:val="0"/>
          <w:szCs w:val="32"/>
        </w:rPr>
      </w:pPr>
      <w:bookmarkStart w:id="0" w:name="RANGE!A1:G4"/>
      <w:r>
        <w:rPr>
          <w:rFonts w:eastAsia="黑体"/>
          <w:bCs/>
          <w:kern w:val="0"/>
          <w:szCs w:val="32"/>
        </w:rPr>
        <w:t>附件3</w:t>
      </w:r>
      <w:bookmarkEnd w:id="0"/>
    </w:p>
    <w:p>
      <w:pPr>
        <w:spacing w:line="594" w:lineRule="exact"/>
        <w:jc w:val="center"/>
        <w:rPr>
          <w:rFonts w:hint="eastAsia"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2024年度</w:t>
      </w:r>
      <w:r>
        <w:rPr>
          <w:rFonts w:eastAsia="方正小标宋简体"/>
          <w:kern w:val="0"/>
          <w:sz w:val="44"/>
          <w:szCs w:val="44"/>
        </w:rPr>
        <w:t>部门整体支出绩效报告</w:t>
      </w:r>
    </w:p>
    <w:p>
      <w:pPr>
        <w:spacing w:line="594" w:lineRule="exact"/>
        <w:jc w:val="left"/>
        <w:rPr>
          <w:kern w:val="0"/>
          <w:szCs w:val="32"/>
        </w:rPr>
      </w:pPr>
      <w:r>
        <w:rPr>
          <w:kern w:val="0"/>
          <w:szCs w:val="32"/>
        </w:rPr>
        <w:t xml:space="preserve">   </w:t>
      </w:r>
    </w:p>
    <w:p>
      <w:pPr>
        <w:spacing w:line="594" w:lineRule="exact"/>
        <w:ind w:firstLine="640" w:firstLineChars="200"/>
        <w:rPr>
          <w:rFonts w:eastAsia="黑体"/>
          <w:kern w:val="0"/>
          <w:szCs w:val="32"/>
        </w:rPr>
      </w:pPr>
      <w:r>
        <w:rPr>
          <w:rFonts w:eastAsia="黑体"/>
          <w:bCs/>
          <w:kern w:val="0"/>
          <w:szCs w:val="32"/>
        </w:rPr>
        <w:t xml:space="preserve"> 一、部门概况</w:t>
      </w:r>
    </w:p>
    <w:p>
      <w:pPr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（一）部门基本情况。</w:t>
      </w:r>
    </w:p>
    <w:p>
      <w:pPr>
        <w:widowControl/>
        <w:spacing w:line="560" w:lineRule="exact"/>
        <w:ind w:firstLine="640" w:firstLineChars="200"/>
        <w:jc w:val="both"/>
        <w:rPr>
          <w:rFonts w:hint="eastAsia"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szCs w:val="32"/>
        </w:rPr>
        <w:t>中共桃江县委统一战线工作部是县委主管统战工作的职能部门，属正科级行政机构。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b/>
          <w:bCs/>
          <w:szCs w:val="32"/>
        </w:rPr>
        <w:t>含全额拨款行政单位</w:t>
      </w:r>
      <w:r>
        <w:rPr>
          <w:rFonts w:hint="eastAsia" w:ascii="仿宋_GB2312" w:hAnsi="Times New Roman" w:cs="Times New Roman"/>
          <w:b/>
          <w:bCs/>
          <w:szCs w:val="32"/>
          <w:lang w:val="en-US" w:eastAsia="zh-CN"/>
        </w:rPr>
        <w:t>1</w:t>
      </w:r>
      <w:r>
        <w:rPr>
          <w:rFonts w:hint="eastAsia" w:ascii="仿宋_GB2312" w:hAnsi="Times New Roman" w:cs="Times New Roman"/>
          <w:b/>
          <w:bCs/>
          <w:szCs w:val="32"/>
        </w:rPr>
        <w:t>个：</w:t>
      </w:r>
      <w:r>
        <w:rPr>
          <w:rFonts w:hint="eastAsia" w:ascii="仿宋_GB2312" w:hAnsi="Times New Roman" w:cs="Times New Roman"/>
          <w:szCs w:val="32"/>
        </w:rPr>
        <w:t>中共桃江县委统一战线工作部；</w:t>
      </w:r>
      <w:r>
        <w:rPr>
          <w:rFonts w:hint="eastAsia" w:ascii="仿宋_GB2312" w:hAnsi="Times New Roman" w:cs="Times New Roman"/>
          <w:b/>
          <w:bCs/>
          <w:szCs w:val="32"/>
        </w:rPr>
        <w:t>全额拨款事业单位1个：</w:t>
      </w:r>
      <w:r>
        <w:rPr>
          <w:rFonts w:hint="eastAsia" w:ascii="仿宋_GB2312" w:hAnsi="Times New Roman" w:cs="Times New Roman"/>
          <w:szCs w:val="32"/>
        </w:rPr>
        <w:t>桃</w:t>
      </w:r>
      <w:bookmarkStart w:id="1" w:name="_GoBack"/>
      <w:bookmarkEnd w:id="1"/>
      <w:r>
        <w:rPr>
          <w:rFonts w:hint="eastAsia" w:ascii="仿宋_GB2312" w:hAnsi="Times New Roman" w:cs="Times New Roman"/>
          <w:szCs w:val="32"/>
        </w:rPr>
        <w:t>江县归侨侨眷联合会。只保留桃江县委统战部1个独立核算单位。桃江县侨联不单独填报决算报表。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szCs w:val="32"/>
        </w:rPr>
        <w:t xml:space="preserve">县委统战部下设办公室、干部组、民族宗教工作组、经济联络组4个股室。 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Cs w:val="32"/>
          <w:lang w:val="en-US" w:eastAsia="zh-CN"/>
        </w:rPr>
      </w:pPr>
      <w:r>
        <w:rPr>
          <w:rFonts w:hint="eastAsia" w:ascii="仿宋_GB2312" w:hAnsi="Times New Roman" w:cs="Times New Roman"/>
          <w:szCs w:val="32"/>
        </w:rPr>
        <w:t>县委统战部核定行政编制</w:t>
      </w:r>
      <w:r>
        <w:rPr>
          <w:rFonts w:hint="eastAsia" w:ascii="仿宋_GB2312" w:hAnsi="Times New Roman" w:cs="Times New Roman"/>
          <w:szCs w:val="32"/>
          <w:lang w:val="en-US" w:eastAsia="zh-CN"/>
        </w:rPr>
        <w:t>1</w:t>
      </w:r>
      <w:r>
        <w:rPr>
          <w:rFonts w:hint="eastAsia" w:ascii="仿宋_GB2312" w:cs="Times New Roman"/>
          <w:szCs w:val="32"/>
          <w:lang w:val="en-US" w:eastAsia="zh-CN"/>
        </w:rPr>
        <w:t>1</w:t>
      </w:r>
      <w:r>
        <w:rPr>
          <w:rFonts w:hint="eastAsia" w:ascii="仿宋_GB2312" w:hAnsi="Times New Roman" w:cs="Times New Roman"/>
          <w:szCs w:val="32"/>
        </w:rPr>
        <w:t>个、工勤编制1个，实有人员</w:t>
      </w:r>
      <w:r>
        <w:rPr>
          <w:rFonts w:hint="eastAsia" w:ascii="仿宋_GB2312" w:hAnsi="Times New Roman" w:cs="Times New Roman"/>
          <w:szCs w:val="32"/>
          <w:lang w:val="en-US" w:eastAsia="zh-CN"/>
        </w:rPr>
        <w:t>14</w:t>
      </w:r>
      <w:r>
        <w:rPr>
          <w:rFonts w:hint="eastAsia" w:ascii="仿宋_GB2312" w:hAnsi="Times New Roman" w:cs="Times New Roman"/>
          <w:szCs w:val="32"/>
        </w:rPr>
        <w:t>人；县侨联核定全额拨款事业编制6个，实有人员</w:t>
      </w:r>
      <w:r>
        <w:rPr>
          <w:rFonts w:hint="eastAsia" w:ascii="仿宋_GB2312" w:hAnsi="Times New Roman" w:cs="Times New Roman"/>
          <w:szCs w:val="32"/>
          <w:lang w:val="en-US" w:eastAsia="zh-CN"/>
        </w:rPr>
        <w:t>6</w:t>
      </w:r>
      <w:r>
        <w:rPr>
          <w:rFonts w:hint="eastAsia" w:ascii="仿宋_GB2312" w:hAnsi="Times New Roman" w:cs="Times New Roman"/>
          <w:szCs w:val="32"/>
        </w:rPr>
        <w:t>人。</w:t>
      </w:r>
      <w:r>
        <w:rPr>
          <w:rFonts w:hint="eastAsia" w:ascii="仿宋_GB2312" w:hAnsi="Times New Roman" w:cs="Times New Roman"/>
          <w:szCs w:val="32"/>
          <w:lang w:val="en-US" w:eastAsia="zh-CN"/>
        </w:rPr>
        <w:t>2</w:t>
      </w:r>
      <w:r>
        <w:rPr>
          <w:rFonts w:hint="eastAsia" w:ascii="仿宋_GB2312" w:hAnsi="Times New Roman" w:cs="Times New Roman"/>
          <w:szCs w:val="32"/>
        </w:rPr>
        <w:t>个机构合计：核定行政编制</w:t>
      </w:r>
      <w:r>
        <w:rPr>
          <w:rFonts w:hint="eastAsia" w:ascii="仿宋_GB2312" w:hAnsi="Times New Roman" w:cs="Times New Roman"/>
          <w:szCs w:val="32"/>
          <w:lang w:val="en-US" w:eastAsia="zh-CN"/>
        </w:rPr>
        <w:t>1</w:t>
      </w:r>
      <w:r>
        <w:rPr>
          <w:rFonts w:hint="eastAsia" w:ascii="仿宋_GB2312" w:cs="Times New Roman"/>
          <w:szCs w:val="32"/>
          <w:lang w:val="en-US" w:eastAsia="zh-CN"/>
        </w:rPr>
        <w:t>1</w:t>
      </w:r>
      <w:r>
        <w:rPr>
          <w:rFonts w:hint="eastAsia" w:ascii="仿宋_GB2312" w:hAnsi="Times New Roman" w:cs="Times New Roman"/>
          <w:szCs w:val="32"/>
        </w:rPr>
        <w:t>个、工勤编制1个、全额拨款事业编制6个；实有人员</w:t>
      </w:r>
      <w:r>
        <w:rPr>
          <w:rFonts w:hint="eastAsia" w:ascii="仿宋_GB2312" w:hAnsi="Times New Roman" w:cs="Times New Roman"/>
          <w:szCs w:val="32"/>
          <w:lang w:val="en-US" w:eastAsia="zh-CN"/>
        </w:rPr>
        <w:t>20</w:t>
      </w:r>
      <w:r>
        <w:rPr>
          <w:rFonts w:hint="eastAsia" w:ascii="仿宋_GB2312" w:hAnsi="Times New Roman" w:cs="Times New Roman"/>
          <w:szCs w:val="32"/>
        </w:rPr>
        <w:t>人、退休1</w:t>
      </w:r>
      <w:r>
        <w:rPr>
          <w:rFonts w:hint="eastAsia" w:ascii="仿宋_GB2312" w:hAnsi="Times New Roman" w:cs="Times New Roman"/>
          <w:szCs w:val="32"/>
          <w:lang w:val="en-US" w:eastAsia="zh-CN"/>
        </w:rPr>
        <w:t>4</w:t>
      </w:r>
      <w:r>
        <w:rPr>
          <w:rFonts w:hint="eastAsia" w:ascii="仿宋_GB2312" w:hAnsi="Times New Roman" w:cs="Times New Roman"/>
          <w:szCs w:val="32"/>
        </w:rPr>
        <w:t>人。</w:t>
      </w:r>
    </w:p>
    <w:p>
      <w:pPr>
        <w:numPr>
          <w:ilvl w:val="0"/>
          <w:numId w:val="1"/>
        </w:numPr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部门整体支出规模、使用方向和主要内容、涉及范围等。</w:t>
      </w:r>
    </w:p>
    <w:p>
      <w:pPr>
        <w:widowControl/>
        <w:numPr>
          <w:ilvl w:val="0"/>
          <w:numId w:val="2"/>
        </w:numPr>
        <w:spacing w:line="560" w:lineRule="exact"/>
        <w:ind w:firstLine="960" w:firstLineChars="300"/>
        <w:jc w:val="left"/>
        <w:rPr>
          <w:rFonts w:ascii="仿宋_GB2312" w:hAnsi="Tahoma" w:cs="Tahoma"/>
          <w:kern w:val="0"/>
          <w:szCs w:val="32"/>
        </w:rPr>
      </w:pPr>
      <w:r>
        <w:rPr>
          <w:rFonts w:hint="eastAsia" w:ascii="仿宋_GB2312" w:hAnsi="Times New Roman" w:cs="Times New Roman"/>
          <w:szCs w:val="32"/>
        </w:rPr>
        <w:t>收入情况：202</w:t>
      </w:r>
      <w:r>
        <w:rPr>
          <w:rFonts w:hint="eastAsia" w:ascii="仿宋_GB2312" w:hAnsi="Times New Roman" w:cs="Times New Roman"/>
          <w:szCs w:val="32"/>
          <w:lang w:val="en-US" w:eastAsia="zh-CN"/>
        </w:rPr>
        <w:t>4</w:t>
      </w:r>
      <w:r>
        <w:rPr>
          <w:rFonts w:hint="eastAsia" w:ascii="仿宋_GB2312" w:hAnsi="Times New Roman" w:cs="Times New Roman"/>
          <w:szCs w:val="32"/>
        </w:rPr>
        <w:t>年，年初预算支出</w:t>
      </w:r>
      <w:r>
        <w:rPr>
          <w:rFonts w:hint="eastAsia" w:ascii="仿宋_GB2312" w:hAnsi="Times New Roman" w:cs="Times New Roman"/>
          <w:szCs w:val="32"/>
          <w:lang w:val="en-US" w:eastAsia="zh-CN"/>
        </w:rPr>
        <w:t>422.59</w:t>
      </w:r>
      <w:r>
        <w:rPr>
          <w:rFonts w:hint="eastAsia" w:ascii="仿宋_GB2312" w:hAnsi="Times New Roman" w:cs="Times New Roman"/>
          <w:szCs w:val="32"/>
        </w:rPr>
        <w:t>万元,全年实际预算收入</w:t>
      </w:r>
      <w:r>
        <w:rPr>
          <w:rFonts w:hint="eastAsia" w:ascii="仿宋_GB2312" w:hAnsi="Tahoma" w:cs="Tahoma"/>
          <w:kern w:val="0"/>
          <w:szCs w:val="32"/>
          <w:lang w:val="en-US" w:eastAsia="zh-CN"/>
        </w:rPr>
        <w:t>510.76</w:t>
      </w:r>
      <w:r>
        <w:rPr>
          <w:rFonts w:hint="eastAsia" w:ascii="仿宋_GB2312" w:hAnsi="Tahoma" w:cs="Tahoma"/>
          <w:kern w:val="0"/>
          <w:szCs w:val="32"/>
        </w:rPr>
        <w:t>万元，</w:t>
      </w:r>
      <w:r>
        <w:rPr>
          <w:rFonts w:hint="eastAsia" w:ascii="仿宋_GB2312" w:hAnsi="Times New Roman" w:cs="Times New Roman"/>
          <w:szCs w:val="32"/>
        </w:rPr>
        <w:t>其中基本支出拨款</w:t>
      </w:r>
      <w:r>
        <w:rPr>
          <w:rFonts w:hint="eastAsia" w:ascii="仿宋_GB2312" w:hAnsi="Times New Roman" w:cs="Times New Roman"/>
          <w:szCs w:val="32"/>
          <w:lang w:val="en-US" w:eastAsia="zh-CN"/>
        </w:rPr>
        <w:t>437.86</w:t>
      </w:r>
      <w:r>
        <w:rPr>
          <w:rFonts w:hint="eastAsia" w:ascii="仿宋_GB2312" w:hAnsi="Times New Roman" w:cs="Times New Roman"/>
          <w:szCs w:val="32"/>
        </w:rPr>
        <w:t>万元，项目支出拨款为7</w:t>
      </w:r>
      <w:r>
        <w:rPr>
          <w:rFonts w:hint="eastAsia" w:ascii="仿宋_GB2312" w:hAnsi="Times New Roman" w:cs="Times New Roman"/>
          <w:szCs w:val="32"/>
          <w:lang w:val="en-US" w:eastAsia="zh-CN"/>
        </w:rPr>
        <w:t>2</w:t>
      </w:r>
      <w:r>
        <w:rPr>
          <w:rFonts w:hint="eastAsia" w:ascii="仿宋_GB2312" w:hAnsi="Times New Roman" w:cs="Times New Roman"/>
          <w:szCs w:val="32"/>
        </w:rPr>
        <w:t>.90万元；</w:t>
      </w:r>
    </w:p>
    <w:p>
      <w:pPr>
        <w:widowControl/>
        <w:numPr>
          <w:ilvl w:val="0"/>
          <w:numId w:val="2"/>
        </w:numPr>
        <w:spacing w:line="560" w:lineRule="exact"/>
        <w:ind w:firstLine="960" w:firstLineChars="300"/>
        <w:jc w:val="left"/>
        <w:rPr>
          <w:kern w:val="0"/>
          <w:szCs w:val="32"/>
        </w:rPr>
      </w:pPr>
      <w:r>
        <w:rPr>
          <w:rFonts w:hint="eastAsia" w:ascii="仿宋_GB2312" w:hAnsi="Times New Roman" w:cs="Times New Roman"/>
          <w:szCs w:val="32"/>
        </w:rPr>
        <w:t>支出情况：202</w:t>
      </w:r>
      <w:r>
        <w:rPr>
          <w:rFonts w:hint="eastAsia" w:ascii="仿宋_GB2312" w:hAnsi="Times New Roman" w:cs="Times New Roman"/>
          <w:szCs w:val="32"/>
          <w:lang w:val="en-US" w:eastAsia="zh-CN"/>
        </w:rPr>
        <w:t>4</w:t>
      </w:r>
      <w:r>
        <w:rPr>
          <w:rFonts w:hint="eastAsia" w:ascii="仿宋_GB2312" w:hAnsi="Times New Roman" w:cs="Times New Roman"/>
          <w:szCs w:val="32"/>
        </w:rPr>
        <w:t>年我部总支出</w:t>
      </w:r>
      <w:r>
        <w:rPr>
          <w:rFonts w:hint="eastAsia" w:ascii="仿宋_GB2312" w:hAnsi="Times New Roman" w:cs="Times New Roman"/>
          <w:szCs w:val="32"/>
          <w:lang w:val="en-US" w:eastAsia="zh-CN"/>
        </w:rPr>
        <w:t>510.76</w:t>
      </w:r>
      <w:r>
        <w:rPr>
          <w:rFonts w:hint="eastAsia" w:ascii="仿宋_GB2312" w:hAnsi="Times New Roman" w:cs="Times New Roman"/>
          <w:szCs w:val="32"/>
        </w:rPr>
        <w:t>万元。</w:t>
      </w:r>
    </w:p>
    <w:p>
      <w:pPr>
        <w:numPr>
          <w:ilvl w:val="0"/>
          <w:numId w:val="1"/>
        </w:numPr>
        <w:spacing w:line="594" w:lineRule="exact"/>
        <w:ind w:left="0" w:leftChars="0" w:firstLine="640" w:firstLineChars="200"/>
        <w:rPr>
          <w:kern w:val="0"/>
          <w:szCs w:val="32"/>
        </w:rPr>
      </w:pPr>
      <w:r>
        <w:rPr>
          <w:kern w:val="0"/>
          <w:szCs w:val="32"/>
        </w:rPr>
        <w:t>绩效目标设立情况，主要包括部门中长期绩效目标和年度绩效目标。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cs="Times New Roman"/>
          <w:szCs w:val="32"/>
          <w:lang w:eastAsia="zh-CN"/>
        </w:rPr>
      </w:pPr>
      <w:r>
        <w:rPr>
          <w:rFonts w:hint="eastAsia" w:ascii="仿宋_GB2312" w:hAnsi="Times New Roman" w:cs="Times New Roman"/>
          <w:szCs w:val="32"/>
          <w:lang w:eastAsia="zh-CN"/>
        </w:rPr>
        <w:t>中长期绩效目标：</w:t>
      </w:r>
      <w:r>
        <w:rPr>
          <w:rFonts w:hint="eastAsia" w:ascii="仿宋_GB2312" w:hAnsi="Times New Roman" w:cs="Times New Roman"/>
          <w:b/>
          <w:bCs/>
          <w:szCs w:val="32"/>
          <w:lang w:eastAsia="zh-CN"/>
        </w:rPr>
        <w:t>1.巩固和发展最广泛的统一战线。</w:t>
      </w:r>
      <w:r>
        <w:rPr>
          <w:rFonts w:hint="eastAsia" w:ascii="仿宋_GB2312" w:hAnsi="Times New Roman" w:cs="Times New Roman"/>
          <w:szCs w:val="32"/>
          <w:lang w:eastAsia="zh-CN"/>
        </w:rPr>
        <w:t>持续加强民主党派、无党派人士、新的社会阶层人士、港澳台侨人士等统战对象的凝聚力，拓展统战工作覆盖面，增强统战工作的向心力和影响力；推进基层统战工作创新，构建大统战工作格局，实现统战资源的优化配置和统战力量的深度融合。</w:t>
      </w:r>
      <w:r>
        <w:rPr>
          <w:rFonts w:hint="eastAsia" w:ascii="仿宋_GB2312" w:hAnsi="Times New Roman" w:cs="Times New Roman"/>
          <w:b/>
          <w:bCs/>
          <w:szCs w:val="32"/>
          <w:lang w:eastAsia="zh-CN"/>
        </w:rPr>
        <w:t>2.</w:t>
      </w:r>
      <w:r>
        <w:rPr>
          <w:rFonts w:hint="eastAsia" w:ascii="仿宋_GB2312" w:hAnsi="Times New Roman" w:cs="Times New Roman"/>
          <w:b/>
          <w:bCs/>
          <w:szCs w:val="32"/>
          <w:lang w:eastAsia="zh-CN"/>
        </w:rPr>
        <w:tab/>
      </w:r>
      <w:r>
        <w:rPr>
          <w:rFonts w:hint="eastAsia" w:ascii="仿宋_GB2312" w:hAnsi="Times New Roman" w:cs="Times New Roman"/>
          <w:b/>
          <w:bCs/>
          <w:szCs w:val="32"/>
          <w:lang w:eastAsia="zh-CN"/>
        </w:rPr>
        <w:t>推动民族团结进步和宗教事务管理现代化。</w:t>
      </w:r>
      <w:r>
        <w:rPr>
          <w:rFonts w:hint="eastAsia" w:ascii="仿宋_GB2312" w:hAnsi="Times New Roman" w:cs="Times New Roman"/>
          <w:szCs w:val="32"/>
          <w:lang w:eastAsia="zh-CN"/>
        </w:rPr>
        <w:t>铸牢中华民族共同体意识，深化民族团结进步教育，持续推进民族团结进步示范创建工作，构建民族事务治理长效机制；坚持我国宗教中国化方向，依法管理宗教事务，加强宗教活动场所规范化管理，促进宗教与社会主义社会相适应。</w:t>
      </w:r>
      <w:r>
        <w:rPr>
          <w:rFonts w:hint="eastAsia" w:ascii="仿宋_GB2312" w:hAnsi="Times New Roman" w:cs="Times New Roman"/>
          <w:b/>
          <w:bCs/>
          <w:szCs w:val="32"/>
          <w:lang w:eastAsia="zh-CN"/>
        </w:rPr>
        <w:t>3.优化营商环境，支持民营经济高质量发展。</w:t>
      </w:r>
      <w:r>
        <w:rPr>
          <w:rFonts w:hint="eastAsia" w:ascii="仿宋_GB2312" w:hAnsi="Times New Roman" w:cs="Times New Roman"/>
          <w:szCs w:val="32"/>
          <w:lang w:eastAsia="zh-CN"/>
        </w:rPr>
        <w:t>深入开展政企沟通机制，搭建统战系统服务民营企业平台，促进民营企业健康发展和民营经济人士健康成长；通过政策扶持、政企对接、融资支持等手段，助推民营企业转型升级，增强民营经济的创新力和竞争力。</w:t>
      </w:r>
      <w:r>
        <w:rPr>
          <w:rFonts w:hint="eastAsia" w:ascii="仿宋_GB2312" w:hAnsi="Times New Roman" w:cs="Times New Roman"/>
          <w:b/>
          <w:bCs/>
          <w:szCs w:val="32"/>
          <w:lang w:eastAsia="zh-CN"/>
        </w:rPr>
        <w:t>4.加强统战干部队伍建设，提升履职能力。</w:t>
      </w:r>
      <w:r>
        <w:rPr>
          <w:rFonts w:hint="eastAsia" w:ascii="仿宋_GB2312" w:hAnsi="Times New Roman" w:cs="Times New Roman"/>
          <w:szCs w:val="32"/>
          <w:lang w:eastAsia="zh-CN"/>
        </w:rPr>
        <w:t>健全统战干部教育培训体系，加强政治理论和业务能力培训，提升统战干部综合素质；强化绩效考核机制，建立科学合理的统战工作评估体系，确保各项统战任务落地见效。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cs="Times New Roman"/>
          <w:szCs w:val="32"/>
          <w:lang w:eastAsia="zh-CN"/>
        </w:rPr>
      </w:pPr>
      <w:r>
        <w:rPr>
          <w:rFonts w:hint="eastAsia" w:ascii="仿宋_GB2312" w:hAnsi="Times New Roman" w:cs="Times New Roman"/>
          <w:szCs w:val="32"/>
          <w:lang w:eastAsia="zh-CN"/>
        </w:rPr>
        <w:t>年度绩效目标：</w:t>
      </w:r>
      <w:r>
        <w:rPr>
          <w:rFonts w:hint="eastAsia" w:ascii="仿宋_GB2312" w:hAnsi="Times New Roman" w:cs="Times New Roman"/>
          <w:szCs w:val="32"/>
          <w:lang w:eastAsia="zh-CN"/>
        </w:rPr>
        <w:tab/>
      </w:r>
      <w:r>
        <w:rPr>
          <w:rFonts w:hint="eastAsia" w:ascii="仿宋_GB2312" w:hAnsi="Times New Roman" w:cs="Times New Roman"/>
          <w:b/>
          <w:bCs/>
          <w:szCs w:val="32"/>
          <w:lang w:eastAsia="zh-CN"/>
        </w:rPr>
        <w:t>1.加强党外代表人士队伍建设。</w:t>
      </w:r>
      <w:r>
        <w:rPr>
          <w:rFonts w:hint="eastAsia" w:ascii="仿宋_GB2312" w:hAnsi="Times New Roman" w:cs="Times New Roman"/>
          <w:szCs w:val="32"/>
          <w:lang w:eastAsia="zh-CN"/>
        </w:rPr>
        <w:t>组织开展场党外人士专题培训，提高民主党派、无党派人士的政治素养和履职能力。建立健全党外代表人士储备库，动态更新数据，确保培养梯队有序衔接。</w:t>
      </w:r>
      <w:r>
        <w:rPr>
          <w:rFonts w:hint="eastAsia" w:ascii="仿宋_GB2312" w:hAnsi="Times New Roman" w:cs="Times New Roman"/>
          <w:b/>
          <w:bCs/>
          <w:szCs w:val="32"/>
          <w:lang w:eastAsia="zh-CN"/>
        </w:rPr>
        <w:t>2.推动民族团结进步创建工作。</w:t>
      </w:r>
      <w:r>
        <w:rPr>
          <w:rFonts w:hint="eastAsia" w:ascii="仿宋_GB2312" w:hAnsi="Times New Roman" w:cs="Times New Roman"/>
          <w:szCs w:val="32"/>
          <w:lang w:eastAsia="zh-CN"/>
        </w:rPr>
        <w:t>完成</w:t>
      </w:r>
      <w:r>
        <w:rPr>
          <w:rFonts w:hint="eastAsia" w:ascii="仿宋_GB2312" w:hAnsi="Times New Roman" w:cs="Times New Roman"/>
          <w:szCs w:val="32"/>
          <w:lang w:val="en-US" w:eastAsia="zh-CN"/>
        </w:rPr>
        <w:t>2</w:t>
      </w:r>
      <w:r>
        <w:rPr>
          <w:rFonts w:hint="eastAsia" w:ascii="仿宋_GB2312" w:hAnsi="Times New Roman" w:cs="Times New Roman"/>
          <w:szCs w:val="32"/>
          <w:lang w:eastAsia="zh-CN"/>
        </w:rPr>
        <w:t>个国家级、</w:t>
      </w:r>
      <w:r>
        <w:rPr>
          <w:rFonts w:hint="eastAsia" w:ascii="仿宋_GB2312" w:hAnsi="Times New Roman" w:cs="Times New Roman"/>
          <w:szCs w:val="32"/>
          <w:lang w:val="en-US" w:eastAsia="zh-CN"/>
        </w:rPr>
        <w:t>3个省级和10个市级</w:t>
      </w:r>
      <w:r>
        <w:rPr>
          <w:rFonts w:hint="eastAsia" w:ascii="仿宋_GB2312" w:hAnsi="Times New Roman" w:cs="Times New Roman"/>
          <w:szCs w:val="32"/>
          <w:lang w:eastAsia="zh-CN"/>
        </w:rPr>
        <w:t>民族团结进步示范点创建，推荐</w:t>
      </w:r>
      <w:r>
        <w:rPr>
          <w:rFonts w:hint="eastAsia" w:ascii="仿宋_GB2312" w:hAnsi="Times New Roman" w:cs="Times New Roman"/>
          <w:szCs w:val="32"/>
          <w:lang w:val="en-US" w:eastAsia="zh-CN"/>
        </w:rPr>
        <w:t>2</w:t>
      </w:r>
      <w:r>
        <w:rPr>
          <w:rFonts w:hint="eastAsia" w:ascii="仿宋_GB2312" w:hAnsi="Times New Roman" w:cs="Times New Roman"/>
          <w:szCs w:val="32"/>
          <w:lang w:eastAsia="zh-CN"/>
        </w:rPr>
        <w:t>名民族团结进步示范模范个人。办民族团结进步宣传活动</w:t>
      </w:r>
      <w:r>
        <w:rPr>
          <w:rFonts w:hint="eastAsia" w:ascii="仿宋_GB2312" w:hAnsi="Times New Roman" w:cs="Times New Roman"/>
          <w:szCs w:val="32"/>
          <w:lang w:val="en-US" w:eastAsia="zh-CN"/>
        </w:rPr>
        <w:t>10</w:t>
      </w:r>
      <w:r>
        <w:rPr>
          <w:rFonts w:hint="eastAsia" w:ascii="仿宋_GB2312" w:hAnsi="Times New Roman" w:cs="Times New Roman"/>
          <w:szCs w:val="32"/>
          <w:lang w:eastAsia="zh-CN"/>
        </w:rPr>
        <w:t>场次，覆盖</w:t>
      </w:r>
      <w:r>
        <w:rPr>
          <w:rFonts w:hint="eastAsia" w:ascii="仿宋_GB2312" w:hAnsi="Times New Roman" w:cs="Times New Roman"/>
          <w:szCs w:val="32"/>
          <w:lang w:val="en-US" w:eastAsia="zh-CN"/>
        </w:rPr>
        <w:t>1</w:t>
      </w:r>
      <w:r>
        <w:rPr>
          <w:rFonts w:hint="eastAsia" w:ascii="仿宋_GB2312" w:hAnsi="Times New Roman" w:cs="Times New Roman"/>
          <w:szCs w:val="32"/>
          <w:lang w:eastAsia="zh-CN"/>
        </w:rPr>
        <w:t>万人次，提升全社会的民族团结意识。</w:t>
      </w:r>
      <w:r>
        <w:rPr>
          <w:rFonts w:hint="eastAsia" w:ascii="仿宋_GB2312" w:hAnsi="Times New Roman" w:cs="Times New Roman"/>
          <w:b/>
          <w:bCs/>
          <w:szCs w:val="32"/>
          <w:lang w:eastAsia="zh-CN"/>
        </w:rPr>
        <w:t>3.加强宗教事务依法管理。</w:t>
      </w:r>
      <w:r>
        <w:rPr>
          <w:rFonts w:hint="eastAsia" w:ascii="仿宋_GB2312" w:hAnsi="Times New Roman" w:cs="Times New Roman"/>
          <w:szCs w:val="32"/>
          <w:lang w:eastAsia="zh-CN"/>
        </w:rPr>
        <w:t>对全县宗教活动场所进行</w:t>
      </w:r>
      <w:r>
        <w:rPr>
          <w:rFonts w:hint="eastAsia" w:ascii="仿宋_GB2312" w:hAnsi="Times New Roman" w:cs="Times New Roman"/>
          <w:szCs w:val="32"/>
          <w:lang w:val="en-US" w:eastAsia="zh-CN"/>
        </w:rPr>
        <w:t>12</w:t>
      </w:r>
      <w:r>
        <w:rPr>
          <w:rFonts w:hint="eastAsia" w:ascii="仿宋_GB2312" w:hAnsi="Times New Roman" w:cs="Times New Roman"/>
          <w:szCs w:val="32"/>
          <w:lang w:eastAsia="zh-CN"/>
        </w:rPr>
        <w:t>次专项检查、抽查，确保宗教活动依法依规开展。</w:t>
      </w:r>
      <w:r>
        <w:rPr>
          <w:rFonts w:hint="eastAsia" w:ascii="仿宋_GB2312" w:hAnsi="Times New Roman" w:cs="Times New Roman"/>
          <w:b/>
          <w:bCs/>
          <w:szCs w:val="32"/>
          <w:lang w:eastAsia="zh-CN"/>
        </w:rPr>
        <w:t>4.助力民营经济高质量发展。</w:t>
      </w:r>
      <w:r>
        <w:rPr>
          <w:rFonts w:hint="eastAsia" w:ascii="仿宋_GB2312" w:hAnsi="Times New Roman" w:cs="Times New Roman"/>
          <w:szCs w:val="32"/>
          <w:lang w:eastAsia="zh-CN"/>
        </w:rPr>
        <w:t>举办</w:t>
      </w:r>
      <w:r>
        <w:rPr>
          <w:rFonts w:hint="eastAsia" w:ascii="仿宋_GB2312" w:hAnsi="Times New Roman" w:cs="Times New Roman"/>
          <w:szCs w:val="32"/>
          <w:lang w:val="en-US" w:eastAsia="zh-CN"/>
        </w:rPr>
        <w:t>2</w:t>
      </w:r>
      <w:r>
        <w:rPr>
          <w:rFonts w:hint="eastAsia" w:ascii="仿宋_GB2312" w:hAnsi="Times New Roman" w:cs="Times New Roman"/>
          <w:szCs w:val="32"/>
          <w:lang w:eastAsia="zh-CN"/>
        </w:rPr>
        <w:t>场政企座谈会，畅通政企沟通渠道，及时回应企业诉求。推进民营企业融资对接</w:t>
      </w:r>
      <w:r>
        <w:rPr>
          <w:rFonts w:hint="eastAsia" w:ascii="仿宋_GB2312" w:hAnsi="Times New Roman" w:cs="Times New Roman"/>
          <w:szCs w:val="32"/>
          <w:lang w:val="en-US" w:eastAsia="zh-CN"/>
        </w:rPr>
        <w:t>2</w:t>
      </w:r>
      <w:r>
        <w:rPr>
          <w:rFonts w:hint="eastAsia" w:ascii="仿宋_GB2312" w:hAnsi="Times New Roman" w:cs="Times New Roman"/>
          <w:szCs w:val="32"/>
          <w:lang w:eastAsia="zh-CN"/>
        </w:rPr>
        <w:t>次，帮助企业解决资金难题，促进民营经济稳步发展。</w:t>
      </w:r>
      <w:r>
        <w:rPr>
          <w:rFonts w:hint="eastAsia" w:ascii="仿宋_GB2312" w:hAnsi="Times New Roman" w:cs="Times New Roman"/>
          <w:b/>
          <w:bCs/>
          <w:szCs w:val="32"/>
          <w:lang w:eastAsia="zh-CN"/>
        </w:rPr>
        <w:t>5.提升统战干部履职能力。</w:t>
      </w:r>
      <w:r>
        <w:rPr>
          <w:rFonts w:hint="eastAsia" w:ascii="仿宋_GB2312" w:hAnsi="Times New Roman" w:cs="Times New Roman"/>
          <w:szCs w:val="32"/>
          <w:lang w:eastAsia="zh-CN"/>
        </w:rPr>
        <w:t>织开展统战系统业务培训</w:t>
      </w:r>
      <w:r>
        <w:rPr>
          <w:rFonts w:hint="eastAsia" w:ascii="仿宋_GB2312" w:hAnsi="Times New Roman" w:cs="Times New Roman"/>
          <w:szCs w:val="32"/>
          <w:lang w:val="en-US" w:eastAsia="zh-CN"/>
        </w:rPr>
        <w:t>2</w:t>
      </w:r>
      <w:r>
        <w:rPr>
          <w:rFonts w:hint="eastAsia" w:ascii="仿宋_GB2312" w:hAnsi="Times New Roman" w:cs="Times New Roman"/>
          <w:szCs w:val="32"/>
          <w:lang w:eastAsia="zh-CN"/>
        </w:rPr>
        <w:t>次，提高统战干部政策理论水平和业务能力。依托“同心微课堂”等平台，打造学习型统战机关，提升统战干部综合素养。</w:t>
      </w:r>
      <w:r>
        <w:rPr>
          <w:rFonts w:hint="eastAsia" w:ascii="仿宋_GB2312" w:hAnsi="Times New Roman" w:cs="Times New Roman"/>
          <w:b/>
          <w:bCs/>
          <w:szCs w:val="32"/>
          <w:lang w:eastAsia="zh-CN"/>
        </w:rPr>
        <w:t>6.强化资金管理与绩效评价。</w:t>
      </w:r>
      <w:r>
        <w:rPr>
          <w:rFonts w:hint="eastAsia" w:ascii="仿宋_GB2312" w:hAnsi="Times New Roman" w:cs="Times New Roman"/>
          <w:szCs w:val="32"/>
          <w:lang w:eastAsia="zh-CN"/>
        </w:rPr>
        <w:t>严格执行预算管理，确保财政资金精准投放，资金执行率达到</w:t>
      </w:r>
      <w:r>
        <w:rPr>
          <w:rFonts w:hint="eastAsia" w:ascii="仿宋_GB2312" w:hAnsi="Times New Roman" w:cs="Times New Roman"/>
          <w:szCs w:val="32"/>
          <w:lang w:val="en-US" w:eastAsia="zh-CN"/>
        </w:rPr>
        <w:t>99</w:t>
      </w:r>
      <w:r>
        <w:rPr>
          <w:rFonts w:hint="eastAsia" w:ascii="仿宋_GB2312" w:hAnsi="Times New Roman" w:cs="Times New Roman"/>
          <w:szCs w:val="32"/>
          <w:lang w:eastAsia="zh-CN"/>
        </w:rPr>
        <w:t>%以上。</w:t>
      </w:r>
    </w:p>
    <w:p>
      <w:pPr>
        <w:spacing w:line="594" w:lineRule="exact"/>
        <w:ind w:firstLine="640" w:firstLineChars="200"/>
        <w:rPr>
          <w:kern w:val="0"/>
          <w:szCs w:val="32"/>
        </w:rPr>
      </w:pPr>
      <w:r>
        <w:rPr>
          <w:rFonts w:eastAsia="黑体"/>
          <w:bCs/>
          <w:kern w:val="0"/>
          <w:szCs w:val="32"/>
        </w:rPr>
        <w:t>二、部门整体支出管理及使用情况分析</w:t>
      </w:r>
    </w:p>
    <w:p>
      <w:pPr>
        <w:spacing w:line="594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（一）基本支出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szCs w:val="32"/>
        </w:rPr>
        <w:t>202</w:t>
      </w:r>
      <w:r>
        <w:rPr>
          <w:rFonts w:hint="eastAsia" w:ascii="仿宋_GB2312" w:hAnsi="Times New Roman" w:cs="Times New Roman"/>
          <w:szCs w:val="32"/>
          <w:lang w:val="en-US" w:eastAsia="zh-CN"/>
        </w:rPr>
        <w:t>4</w:t>
      </w:r>
      <w:r>
        <w:rPr>
          <w:rFonts w:hint="eastAsia" w:ascii="仿宋_GB2312" w:hAnsi="Times New Roman" w:cs="Times New Roman"/>
          <w:szCs w:val="32"/>
        </w:rPr>
        <w:t>年，我部整体实际经费支出</w:t>
      </w:r>
      <w:r>
        <w:rPr>
          <w:rFonts w:hint="eastAsia" w:ascii="仿宋_GB2312" w:hAnsi="Tahoma" w:cs="Tahoma"/>
          <w:kern w:val="0"/>
          <w:szCs w:val="32"/>
          <w:lang w:val="en-US" w:eastAsia="zh-CN"/>
        </w:rPr>
        <w:t>510.76</w:t>
      </w:r>
      <w:r>
        <w:rPr>
          <w:rFonts w:hint="eastAsia" w:ascii="仿宋_GB2312" w:hAnsi="Times New Roman" w:cs="Times New Roman"/>
          <w:szCs w:val="32"/>
        </w:rPr>
        <w:t>万元，其中基本支出</w:t>
      </w:r>
      <w:r>
        <w:rPr>
          <w:rFonts w:hint="eastAsia" w:ascii="仿宋_GB2312" w:hAnsi="Times New Roman" w:cs="Times New Roman"/>
          <w:szCs w:val="32"/>
          <w:lang w:val="en-US" w:eastAsia="zh-CN"/>
        </w:rPr>
        <w:t>437.86</w:t>
      </w:r>
      <w:r>
        <w:rPr>
          <w:rFonts w:hint="eastAsia" w:ascii="仿宋_GB2312" w:hAnsi="Times New Roman" w:cs="Times New Roman"/>
          <w:szCs w:val="32"/>
        </w:rPr>
        <w:t>万元。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szCs w:val="32"/>
        </w:rPr>
        <w:t>1、工资福利支出3</w:t>
      </w:r>
      <w:r>
        <w:rPr>
          <w:rFonts w:hint="eastAsia" w:ascii="仿宋_GB2312" w:hAnsi="Times New Roman" w:cs="Times New Roman"/>
          <w:szCs w:val="32"/>
          <w:lang w:val="en-US" w:eastAsia="zh-CN"/>
        </w:rPr>
        <w:t>31.32</w:t>
      </w:r>
      <w:r>
        <w:rPr>
          <w:rFonts w:hint="eastAsia" w:ascii="仿宋_GB2312" w:hAnsi="Times New Roman" w:cs="Times New Roman"/>
          <w:szCs w:val="32"/>
        </w:rPr>
        <w:t>万元；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640" w:firstLineChars="200"/>
        <w:rPr>
          <w:rFonts w:hint="eastAsia" w:ascii="楷体" w:hAnsi="楷体" w:eastAsia="楷体" w:cs="Times New Roman"/>
          <w:b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2、商品和服务支出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132.23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万元</w:t>
      </w:r>
      <w:r>
        <w:rPr>
          <w:rFonts w:hint="eastAsia" w:ascii="仿宋_GB2312" w:eastAsia="仿宋_GB2312" w:cs="Times New Roman"/>
          <w:color w:val="000000"/>
          <w:sz w:val="32"/>
          <w:szCs w:val="32"/>
          <w:lang w:eastAsia="zh-CN"/>
        </w:rPr>
        <w:t>，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3、对个人和家庭的补助支出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43.88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万元。</w:t>
      </w:r>
    </w:p>
    <w:p>
      <w:pPr>
        <w:tabs>
          <w:tab w:val="left" w:pos="3396"/>
        </w:tabs>
        <w:spacing w:line="594" w:lineRule="exact"/>
        <w:ind w:firstLine="640" w:firstLineChars="200"/>
        <w:rPr>
          <w:rFonts w:eastAsia="楷体_GB2312"/>
          <w:kern w:val="0"/>
          <w:szCs w:val="32"/>
        </w:rPr>
      </w:pPr>
      <w:r>
        <w:rPr>
          <w:rFonts w:eastAsia="楷体_GB2312"/>
          <w:kern w:val="0"/>
          <w:szCs w:val="32"/>
        </w:rPr>
        <w:t>（二）项目支出</w:t>
      </w:r>
      <w:r>
        <w:rPr>
          <w:rFonts w:eastAsia="楷体_GB2312"/>
          <w:kern w:val="0"/>
          <w:szCs w:val="32"/>
        </w:rPr>
        <w:tab/>
      </w:r>
    </w:p>
    <w:p>
      <w:pPr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1. 项目资金（包括财政资金、自筹资金等）安排落实、总投入等情况分析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年，财政预算项目支出7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.90万元。</w:t>
      </w:r>
    </w:p>
    <w:p>
      <w:pPr>
        <w:spacing w:line="594" w:lineRule="exact"/>
        <w:ind w:firstLine="640" w:firstLineChars="200"/>
        <w:rPr>
          <w:rFonts w:hint="eastAsia"/>
          <w:kern w:val="0"/>
          <w:szCs w:val="32"/>
        </w:rPr>
      </w:pPr>
      <w:r>
        <w:rPr>
          <w:kern w:val="0"/>
          <w:szCs w:val="32"/>
        </w:rPr>
        <w:t>2. 项目资金（主要指财政资金）实际使用情况分析</w:t>
      </w:r>
    </w:p>
    <w:p>
      <w:pPr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2024年度，县委统战部严格按照年初预算安排，统筹管理各项资金，确保资金精准投放、高效使用。截至年底，全年</w:t>
      </w:r>
      <w:r>
        <w:rPr>
          <w:rFonts w:hint="eastAsia"/>
          <w:kern w:val="0"/>
          <w:szCs w:val="32"/>
          <w:lang w:eastAsia="zh-CN"/>
        </w:rPr>
        <w:t>项目支出</w:t>
      </w:r>
      <w:r>
        <w:rPr>
          <w:rFonts w:hint="eastAsia"/>
          <w:kern w:val="0"/>
          <w:szCs w:val="32"/>
        </w:rPr>
        <w:t>财政资金实际执行</w:t>
      </w:r>
      <w:r>
        <w:rPr>
          <w:rFonts w:hint="eastAsia"/>
          <w:kern w:val="0"/>
          <w:szCs w:val="32"/>
          <w:lang w:val="en-US" w:eastAsia="zh-CN"/>
        </w:rPr>
        <w:t>72.9</w:t>
      </w:r>
      <w:r>
        <w:rPr>
          <w:rFonts w:hint="eastAsia"/>
          <w:kern w:val="0"/>
          <w:szCs w:val="32"/>
        </w:rPr>
        <w:t>万元，执行率达到</w:t>
      </w:r>
      <w:r>
        <w:rPr>
          <w:rFonts w:hint="eastAsia"/>
          <w:kern w:val="0"/>
          <w:szCs w:val="32"/>
          <w:lang w:val="en-US" w:eastAsia="zh-CN"/>
        </w:rPr>
        <w:t>100</w:t>
      </w:r>
      <w:r>
        <w:rPr>
          <w:rFonts w:hint="eastAsia"/>
          <w:kern w:val="0"/>
          <w:szCs w:val="32"/>
        </w:rPr>
        <w:t>%，资金主要用于统战工作各项重点任务的实施，包括民族团结进步创建、宗教事务管理、党外代表人士</w:t>
      </w:r>
      <w:r>
        <w:rPr>
          <w:rFonts w:hint="eastAsia"/>
          <w:kern w:val="0"/>
          <w:szCs w:val="32"/>
          <w:lang w:eastAsia="zh-CN"/>
        </w:rPr>
        <w:t>培训</w:t>
      </w:r>
      <w:r>
        <w:rPr>
          <w:rFonts w:hint="eastAsia"/>
          <w:kern w:val="0"/>
          <w:szCs w:val="32"/>
        </w:rPr>
        <w:t>、新的社会阶层人士工作、</w:t>
      </w:r>
      <w:r>
        <w:rPr>
          <w:rFonts w:hint="eastAsia"/>
          <w:kern w:val="0"/>
          <w:szCs w:val="32"/>
          <w:lang w:eastAsia="zh-CN"/>
        </w:rPr>
        <w:t>侨联改革专项</w:t>
      </w:r>
      <w:r>
        <w:rPr>
          <w:rFonts w:hint="eastAsia"/>
          <w:kern w:val="0"/>
          <w:szCs w:val="32"/>
        </w:rPr>
        <w:t>等。</w:t>
      </w:r>
    </w:p>
    <w:p>
      <w:pPr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3. 项目资金管理情况分析</w:t>
      </w:r>
    </w:p>
    <w:p>
      <w:pPr>
        <w:spacing w:line="594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为确保财政资金管理规范、安全、高效，县委统战部依据</w:t>
      </w:r>
      <w:r>
        <w:rPr>
          <w:rFonts w:hint="eastAsia"/>
          <w:kern w:val="0"/>
          <w:szCs w:val="32"/>
          <w:lang w:eastAsia="zh-CN"/>
        </w:rPr>
        <w:t>相关</w:t>
      </w:r>
      <w:r>
        <w:rPr>
          <w:rFonts w:hint="eastAsia"/>
          <w:kern w:val="0"/>
          <w:szCs w:val="32"/>
        </w:rPr>
        <w:t>法律法规，结合统战工作实际，严格执行财政资金审批制度，专项资金按照“申报—审核—批复—拨付”流程执行，确保资金拨付精准高效。严格落实财务审批制度，所有支出均需提供完整票据、审批手续及支出依据，确保财务管理合规、透明。建立资金绩效考核机制，定期对资金使用情况进行评估，确保财政资金使用效益最大化。</w:t>
      </w:r>
    </w:p>
    <w:p>
      <w:pPr>
        <w:spacing w:line="594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3. 资金管理存在的问题及改进方向</w:t>
      </w:r>
    </w:p>
    <w:p>
      <w:pPr>
        <w:spacing w:line="594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ab/>
      </w:r>
      <w:r>
        <w:rPr>
          <w:rFonts w:hint="eastAsia"/>
          <w:kern w:val="0"/>
          <w:szCs w:val="32"/>
        </w:rPr>
        <w:t>•</w:t>
      </w:r>
      <w:r>
        <w:rPr>
          <w:rFonts w:hint="eastAsia"/>
          <w:kern w:val="0"/>
          <w:szCs w:val="32"/>
        </w:rPr>
        <w:tab/>
      </w:r>
      <w:r>
        <w:rPr>
          <w:rFonts w:hint="eastAsia"/>
          <w:kern w:val="0"/>
          <w:szCs w:val="32"/>
        </w:rPr>
        <w:t>部分专项资金执行进度偏慢，个别资金因工作调整未能按期支出，需进一步优化预算执行管理，提升资金支出精准度。</w:t>
      </w:r>
    </w:p>
    <w:p>
      <w:pPr>
        <w:spacing w:line="594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ab/>
      </w:r>
      <w:r>
        <w:rPr>
          <w:rFonts w:hint="eastAsia"/>
          <w:kern w:val="0"/>
          <w:szCs w:val="32"/>
        </w:rPr>
        <w:t>•</w:t>
      </w:r>
      <w:r>
        <w:rPr>
          <w:rFonts w:hint="eastAsia"/>
          <w:kern w:val="0"/>
          <w:szCs w:val="32"/>
        </w:rPr>
        <w:tab/>
      </w:r>
      <w:r>
        <w:rPr>
          <w:rFonts w:hint="eastAsia"/>
          <w:kern w:val="0"/>
          <w:szCs w:val="32"/>
        </w:rPr>
        <w:t>资金使用效益评估机制需完善，当前资金使用主要侧重任务完成情况，对资金投入产出效益的量化评估需进一步强化，建议完善绩效评价指标体系。</w:t>
      </w:r>
    </w:p>
    <w:p>
      <w:pPr>
        <w:spacing w:line="594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ab/>
      </w:r>
      <w:r>
        <w:rPr>
          <w:rFonts w:hint="eastAsia"/>
          <w:kern w:val="0"/>
          <w:szCs w:val="32"/>
        </w:rPr>
        <w:t>•</w:t>
      </w:r>
      <w:r>
        <w:rPr>
          <w:rFonts w:hint="eastAsia"/>
          <w:kern w:val="0"/>
          <w:szCs w:val="32"/>
        </w:rPr>
        <w:tab/>
      </w:r>
      <w:r>
        <w:rPr>
          <w:rFonts w:hint="eastAsia"/>
          <w:kern w:val="0"/>
          <w:szCs w:val="32"/>
        </w:rPr>
        <w:t>财务信息化管理水平有待提升，建议加强电子报销系统推广，提高财务管理效率，减少人工审批环节带来的滞后性。</w:t>
      </w:r>
    </w:p>
    <w:p>
      <w:pPr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三、项目组织实施情况分析</w:t>
      </w:r>
    </w:p>
    <w:p>
      <w:pPr>
        <w:pStyle w:val="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为确保整体支出及项目支出资金运行安全、高效，我单位严格遵守财政相关规定，进一步加强机关财务管理。修订完善了机关财务管理制度，从审批权限、公务接待、公车管理、差旅费、会议培训、办公用品采购及其他重大开支等作出细化的、操作性强的规定，形成了整套内部控制制度，</w:t>
      </w:r>
      <w:r>
        <w:rPr>
          <w:rFonts w:ascii="仿宋_GB2312" w:eastAsia="仿宋_GB2312"/>
          <w:sz w:val="32"/>
          <w:szCs w:val="32"/>
          <w:lang w:eastAsia="zh-CN"/>
        </w:rPr>
        <w:t>坚持量入为出、收支平衡，先预算、后支出的原则，</w:t>
      </w:r>
      <w:r>
        <w:rPr>
          <w:rFonts w:hint="eastAsia" w:ascii="仿宋_GB2312" w:eastAsia="仿宋_GB2312"/>
          <w:sz w:val="32"/>
          <w:szCs w:val="32"/>
          <w:lang w:eastAsia="zh-CN"/>
        </w:rPr>
        <w:t>坚持实行会审联签和一支笔审批，相关支出在机关及时公开，以便机关上下相互监督；在经费使用上，坚持干部职工工资社保福利优先、机关运行优先、重点工作经费优先“三个优先”，既保证了机关行政运行，又节约了行政成本，基本实现了科学</w:t>
      </w:r>
      <w:r>
        <w:rPr>
          <w:rFonts w:ascii="仿宋_GB2312" w:eastAsia="仿宋_GB2312"/>
          <w:sz w:val="32"/>
          <w:szCs w:val="32"/>
          <w:lang w:eastAsia="zh-CN"/>
        </w:rPr>
        <w:t>合理理财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四、部门整体支出绩效情况分析</w:t>
      </w:r>
    </w:p>
    <w:p>
      <w:pPr>
        <w:spacing w:line="594" w:lineRule="exact"/>
        <w:ind w:firstLine="640" w:firstLineChars="200"/>
        <w:rPr>
          <w:rFonts w:hint="eastAsia" w:ascii="仿宋_GB2312" w:hAnsi="宋体" w:cs="Times New Roman"/>
          <w:kern w:val="0"/>
          <w:szCs w:val="32"/>
        </w:rPr>
      </w:pPr>
      <w:r>
        <w:rPr>
          <w:rFonts w:hint="eastAsia" w:ascii="仿宋_GB2312" w:hAnsi="宋体" w:cs="Times New Roman"/>
          <w:kern w:val="0"/>
          <w:szCs w:val="32"/>
        </w:rPr>
        <w:t>202</w:t>
      </w:r>
      <w:r>
        <w:rPr>
          <w:rFonts w:hint="eastAsia" w:ascii="仿宋_GB2312" w:hAnsi="宋体" w:cs="Times New Roman"/>
          <w:kern w:val="0"/>
          <w:szCs w:val="32"/>
          <w:lang w:val="en-US" w:eastAsia="zh-CN"/>
        </w:rPr>
        <w:t>4</w:t>
      </w:r>
      <w:r>
        <w:rPr>
          <w:rFonts w:hint="eastAsia" w:ascii="仿宋_GB2312" w:hAnsi="宋体" w:cs="Times New Roman"/>
          <w:kern w:val="0"/>
          <w:szCs w:val="32"/>
        </w:rPr>
        <w:t>年，由于财政预算经费保障到位，加上全县统战干部队伍的共同努力，全县各项统战工作都能顺利开展：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基层统战工作“五融行动”。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7月、10月分别召开部务会专题研究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五融行动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工作。通过调研，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县确定修山镇、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鲊</w:t>
      </w:r>
      <w:r>
        <w:rPr>
          <w:rFonts w:hint="eastAsia" w:ascii="仿宋_GB2312" w:hAnsi="仿宋_GB2312" w:eastAsia="仿宋_GB2312" w:cs="仿宋_GB2312"/>
          <w:sz w:val="32"/>
          <w:szCs w:val="32"/>
        </w:rPr>
        <w:t>埠回族乡、扬帆职业技术学校为试点单位。县委副书记、统战部部长冷亮书记专题调研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并亲自督导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，对试点单位建设和全县“五融行动”开展提出明确要求。县委统战部多次到乡镇、村现场指导工作。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12月，市委统战部副部长车吉新现场调研，肯定桃江在“五融行动”中所做的各项工作。12月</w:t>
      </w:r>
      <w:r>
        <w:rPr>
          <w:rFonts w:hint="eastAsia" w:ascii="仿宋_GB2312" w:hAnsi="仿宋_GB2312" w:eastAsia="仿宋_GB2312" w:cs="仿宋_GB2312"/>
          <w:sz w:val="32"/>
          <w:szCs w:val="32"/>
        </w:rPr>
        <w:t>为止，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县已完成三个试点单位建设，各项工作已取得初步成效。</w:t>
      </w:r>
    </w:p>
    <w:p>
      <w:pPr>
        <w:widowControl w:val="0"/>
        <w:ind w:firstLine="643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2、党外代表人士队伍建设。</w:t>
      </w:r>
      <w:r>
        <w:rPr>
          <w:rFonts w:hint="eastAsia" w:ascii="Calibri" w:hAnsi="仿宋_GB2312" w:eastAsia="仿宋_GB2312" w:cs="Times New Roman"/>
          <w:kern w:val="2"/>
          <w:sz w:val="32"/>
          <w:szCs w:val="32"/>
          <w:lang w:val="en-US" w:eastAsia="zh-CN" w:bidi="ar-SA"/>
        </w:rPr>
        <w:t>全县共配备在职党外干部50名，其中副处级以上7名，正科职8名，副科职35名。</w:t>
      </w:r>
      <w:r>
        <w:rPr>
          <w:rFonts w:hint="eastAsia" w:ascii="Calibri" w:hAnsi="Calibri" w:eastAsia="仿宋_GB2312" w:cs="Times New Roman"/>
          <w:kern w:val="2"/>
          <w:sz w:val="32"/>
          <w:szCs w:val="32"/>
          <w:lang w:val="en-US" w:eastAsia="zh-CN" w:bidi="ar-SA"/>
        </w:rPr>
        <w:t>推荐6名党外干部担任益阳市第四届知联会理事。全</w:t>
      </w:r>
      <w:r>
        <w:rPr>
          <w:rFonts w:hint="eastAsia" w:ascii="Calibri" w:hAnsi="仿宋_GB2312" w:eastAsia="仿宋_GB2312" w:cs="Times New Roman"/>
          <w:kern w:val="2"/>
          <w:sz w:val="32"/>
          <w:szCs w:val="32"/>
          <w:lang w:val="en-US" w:eastAsia="zh-CN" w:bidi="ar-SA"/>
        </w:rPr>
        <w:t>年共推荐提拔7名党外干部担任副科级领导职务。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开展系列谈心谈话活动，全共推荐17名党外干部参加中青年干部培训班，开展暑期谈心共开展70余人次。完成党外干部、人大代表、政协委员中的党外人士等317人次的数据采集与录入。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新阶联工作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省委统战部、市委统战部领导多次调研，并高度肯定我县新阶联工作。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6月，省委常委、统战部部长隋忠诚赴新阶联“扬帆育才”实践创新基地指导工作，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要求结合学校特点和实际，引导广大新的社会阶层人士在助力就业创业等方面发挥积极作用；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11月，县委副书记、统战部部长冷亮率队赴东莞虎门调研交流新阶联工作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双方就后续人才培养、资源共享等方面达成战略合作共识。新阶联活动活跃。4月，县委统战部组织新阶联人士赴韶山培训学习，缅怀革命先烈，传承红色基因，提升社会实践能力。新阶联以小组为单位，分别走访久通锑业、爱耳眼科等会员单位，赴张子清纪念馆进行红色教育学习。12月，新阶联在统战部的指导下精心组织，邀请法律界权威人士，解答企业家们在现实中遇到的具体法律问题，分享成功案例，在优化营商环境，促进本地企业健康成长，进而推动整个地区的经济发展持续发力。</w:t>
      </w:r>
    </w:p>
    <w:p>
      <w:pPr>
        <w:widowControl w:val="0"/>
        <w:ind w:firstLine="643" w:firstLineChars="200"/>
        <w:jc w:val="both"/>
        <w:rPr>
          <w:rFonts w:hint="eastAsia" w:hAns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  <w:lang w:val="en-US" w:eastAsia="zh-CN"/>
        </w:rPr>
        <w:t>4、</w:t>
      </w: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</w:rPr>
        <w:t>民族宗教工作。</w:t>
      </w:r>
      <w:r>
        <w:rPr>
          <w:rFonts w:hint="eastAsia" w:hAnsi="仿宋_GB2312" w:eastAsia="仿宋_GB2312"/>
          <w:sz w:val="32"/>
          <w:szCs w:val="32"/>
        </w:rPr>
        <w:t>7月，县长周登高，县委副书记、统战部部长冷亮组织召开鲊埠回族乡及少数民族村现场调研会，整合资金1006万元，为民族地区乡村振兴和高质量发展提供保障。争取上级民族项目资金110万元，实施项目4个。指导鲊埠回族乡举办“强国复兴有我，同心共筑未来”铸牢中华民族共同体意识群众性主题宣传教育活动。为169 名高考、147 名中考学生办理优惠加分，为4家民企发放贷款93.37万元。</w:t>
      </w:r>
      <w:r>
        <w:rPr>
          <w:rFonts w:hint="eastAsia" w:hAnsi="仿宋_GB2312" w:eastAsia="仿宋_GB2312"/>
          <w:sz w:val="32"/>
          <w:szCs w:val="32"/>
          <w:lang w:eastAsia="zh-CN"/>
        </w:rPr>
        <w:t>举办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3期民宗干部能力培训班，完成4处场所消防安全标准化创建、2处场所建筑安全隐患整改，县伊协开展善行斋月爱心活动，筹集善款1.5万元，资助贫困户50余户。基督教部分场所主动捐款1.7万余元助力岳阳华容防汛工作。</w:t>
      </w:r>
    </w:p>
    <w:p>
      <w:pPr>
        <w:widowControl w:val="0"/>
        <w:ind w:firstLine="643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  <w:lang w:val="en-US" w:eastAsia="zh-CN"/>
        </w:rPr>
        <w:t>5、</w:t>
      </w: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</w:rPr>
        <w:t>民营经济工作。</w:t>
      </w:r>
      <w:r>
        <w:rPr>
          <w:rFonts w:hint="eastAsia" w:eastAsia="仿宋_GB2312"/>
          <w:sz w:val="32"/>
          <w:szCs w:val="32"/>
        </w:rPr>
        <w:t>成立海南、广州两个异地商会</w:t>
      </w:r>
      <w:r>
        <w:rPr>
          <w:rFonts w:hint="eastAsia" w:eastAsia="仿宋_GB2312"/>
          <w:b/>
          <w:bCs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持续推进“湘商回归”“校友回桃”等活动，编制桃江土特产名录，向异地商会宣传</w:t>
      </w:r>
      <w:r>
        <w:rPr>
          <w:rFonts w:eastAsia="仿宋_GB2312"/>
          <w:sz w:val="32"/>
          <w:szCs w:val="32"/>
        </w:rPr>
        <w:t>推</w:t>
      </w:r>
      <w:r>
        <w:rPr>
          <w:rFonts w:hint="eastAsia" w:eastAsia="仿宋_GB2312"/>
          <w:sz w:val="32"/>
          <w:szCs w:val="32"/>
        </w:rPr>
        <w:t>介</w:t>
      </w:r>
      <w:r>
        <w:rPr>
          <w:rFonts w:eastAsia="仿宋_GB2312"/>
          <w:sz w:val="32"/>
          <w:szCs w:val="32"/>
        </w:rPr>
        <w:t>桃江产业发展、人文景点及桃江竹笋、竹玩、羞山面等特色产品</w:t>
      </w:r>
      <w:r>
        <w:rPr>
          <w:rFonts w:hint="eastAsia" w:eastAsia="仿宋_GB2312"/>
          <w:sz w:val="32"/>
          <w:szCs w:val="32"/>
        </w:rPr>
        <w:t>。举行“企业家接待日”活动，</w:t>
      </w:r>
      <w:r>
        <w:rPr>
          <w:rFonts w:hint="eastAsia" w:eastAsia="仿宋_GB2312"/>
          <w:sz w:val="32"/>
          <w:szCs w:val="32"/>
          <w:lang w:eastAsia="zh-CN"/>
        </w:rPr>
        <w:t>解决企业实际问题。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6、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侨务工作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Calibri" w:hAnsi="仿宋_GB2312" w:eastAsia="仿宋_GB2312" w:cs="Times New Roman"/>
          <w:sz w:val="32"/>
          <w:szCs w:val="32"/>
        </w:rPr>
        <w:t>挖掘黄埔资源，传承好黄埔精神，组织收集、整理黄埔老人夏霖</w:t>
      </w:r>
      <w:r>
        <w:rPr>
          <w:rFonts w:hint="eastAsia" w:ascii="Calibri" w:hAnsi="仿宋_GB2312" w:eastAsia="仿宋_GB2312" w:cs="Times New Roman"/>
          <w:sz w:val="32"/>
          <w:szCs w:val="32"/>
          <w:lang w:eastAsia="zh-CN"/>
        </w:rPr>
        <w:t>回忆</w:t>
      </w:r>
      <w:r>
        <w:rPr>
          <w:rFonts w:hint="eastAsia" w:ascii="Calibri" w:hAnsi="仿宋_GB2312" w:eastAsia="仿宋_GB2312" w:cs="Times New Roman"/>
          <w:sz w:val="32"/>
          <w:szCs w:val="32"/>
        </w:rPr>
        <w:t>资料，形成宣传视频；</w:t>
      </w:r>
      <w:r>
        <w:rPr>
          <w:rFonts w:hint="eastAsia" w:ascii="Calibri" w:hAnsi="仿宋_GB2312" w:eastAsia="仿宋_GB2312" w:cs="Times New Roman"/>
          <w:sz w:val="32"/>
          <w:szCs w:val="32"/>
          <w:lang w:eastAsia="zh-CN"/>
        </w:rPr>
        <w:t>对接美国、台湾省等地黄埔后人，</w:t>
      </w:r>
      <w:r>
        <w:rPr>
          <w:rFonts w:hint="eastAsia" w:ascii="Calibri" w:hAnsi="仿宋_GB2312" w:eastAsia="仿宋_GB2312" w:cs="Times New Roman"/>
          <w:sz w:val="32"/>
          <w:szCs w:val="32"/>
        </w:rPr>
        <w:t>开展“庆黄埔百年，促祖国统一，两岸三地一家亲”联谊活动，深化黄埔情缘、赓续黄埔精神。</w:t>
      </w:r>
      <w:r>
        <w:rPr>
          <w:rFonts w:hint="eastAsia" w:ascii="Calibri" w:hAnsi="仿宋_GB2312" w:eastAsia="仿宋_GB2312" w:cs="Times New Roman"/>
          <w:b w:val="0"/>
          <w:bCs w:val="0"/>
          <w:sz w:val="32"/>
          <w:szCs w:val="32"/>
          <w:lang w:eastAsia="zh-CN"/>
        </w:rPr>
        <w:t>组织侨界</w:t>
      </w:r>
      <w:r>
        <w:rPr>
          <w:rFonts w:hint="eastAsia" w:ascii="Calibri" w:hAnsi="仿宋_GB2312" w:eastAsia="仿宋_GB2312" w:cs="Times New Roman"/>
          <w:b w:val="0"/>
          <w:bCs w:val="0"/>
          <w:sz w:val="32"/>
          <w:szCs w:val="32"/>
          <w:lang w:val="en-US" w:eastAsia="zh-CN"/>
        </w:rPr>
        <w:t>18名代表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参加益阳市第四次归侨侨眷代表大会，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桃江</w:t>
      </w:r>
      <w:r>
        <w:rPr>
          <w:rFonts w:hint="eastAsia" w:ascii="仿宋_GB2312" w:hAnsi="仿宋_GB2312" w:eastAsia="仿宋_GB2312" w:cs="仿宋_GB2312"/>
          <w:sz w:val="32"/>
          <w:szCs w:val="32"/>
        </w:rPr>
        <w:t>县侨联获评全市侨联先进单位，文丽莉获评全市侨眷先进个人。开展“学贯三中全会精神 共话中秋侨界情谊”“金秋侨聚 共绘未来”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学习活动1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</w:rPr>
        <w:t>名侨胞参加活动，深化侨情交流。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引导</w:t>
      </w:r>
      <w:r>
        <w:rPr>
          <w:rFonts w:hint="eastAsia" w:ascii="仿宋_GB2312" w:hAnsi="仿宋_GB2312" w:eastAsia="仿宋_GB2312" w:cs="仿宋_GB2312"/>
          <w:sz w:val="32"/>
          <w:szCs w:val="32"/>
        </w:rPr>
        <w:t>桃江侨商张胜金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等人</w:t>
      </w:r>
      <w:r>
        <w:rPr>
          <w:rFonts w:hint="eastAsia" w:ascii="仿宋_GB2312" w:hAnsi="仿宋_GB2312" w:eastAsia="仿宋_GB2312" w:cs="仿宋_GB2312"/>
          <w:sz w:val="32"/>
          <w:szCs w:val="32"/>
        </w:rPr>
        <w:t>到非洲、东南亚等地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</w:rPr>
        <w:t>考察，并签定海外贸易项目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4000余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万元。组织侨商投资考察团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批次，引进柬埔寨华侨莫斌等人来桃对竹产业等项目开展调研，促成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海外贸易</w:t>
      </w:r>
      <w:r>
        <w:rPr>
          <w:rFonts w:hint="eastAsia" w:ascii="仿宋_GB2312" w:hAnsi="仿宋_GB2312" w:eastAsia="仿宋_GB2312" w:cs="仿宋_GB2312"/>
          <w:sz w:val="32"/>
          <w:szCs w:val="32"/>
        </w:rPr>
        <w:t>意向。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高规格接待夏天长等人到桃江。</w:t>
      </w:r>
    </w:p>
    <w:p>
      <w:pPr>
        <w:spacing w:line="594" w:lineRule="exact"/>
        <w:ind w:firstLine="640" w:firstLineChars="200"/>
        <w:rPr>
          <w:kern w:val="0"/>
          <w:szCs w:val="32"/>
        </w:rPr>
      </w:pPr>
      <w:r>
        <w:rPr>
          <w:rFonts w:eastAsia="黑体"/>
          <w:bCs/>
          <w:kern w:val="0"/>
          <w:szCs w:val="32"/>
        </w:rPr>
        <w:t>五、绩效评价工作开展情况</w:t>
      </w:r>
    </w:p>
    <w:p>
      <w:pPr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（一）绩效评价目的。</w:t>
      </w:r>
    </w:p>
    <w:p>
      <w:pPr>
        <w:spacing w:line="594" w:lineRule="exact"/>
        <w:ind w:firstLine="640" w:firstLineChars="200"/>
        <w:rPr>
          <w:kern w:val="0"/>
          <w:szCs w:val="32"/>
        </w:rPr>
      </w:pPr>
      <w:r>
        <w:rPr>
          <w:rFonts w:hint="eastAsia"/>
          <w:kern w:val="0"/>
          <w:szCs w:val="32"/>
        </w:rPr>
        <w:t>通过对整体支出和项目经费使用情况开展绩效评价，强化单位财政支出绩效理念，科学合理编制下年度预算，合理用财，节约资金的目标。</w:t>
      </w:r>
    </w:p>
    <w:p>
      <w:pPr>
        <w:spacing w:line="594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（二）绩效评价工作过程。</w:t>
      </w:r>
    </w:p>
    <w:p>
      <w:pPr>
        <w:spacing w:line="594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1. 前期准备</w:t>
      </w:r>
    </w:p>
    <w:p>
      <w:pPr>
        <w:spacing w:line="594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（1）制定评价方案：根据财政部门绩效评价管理办法，结合统战工作年度重点任务和资金使用特点，制定绩效评价工作方案，明确评价目标、评价指标、评价方法和工作安排。</w:t>
      </w:r>
    </w:p>
    <w:p>
      <w:pPr>
        <w:spacing w:line="594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（2）成立工作专班：由财务、业务及综合管理等相关</w:t>
      </w:r>
      <w:r>
        <w:rPr>
          <w:rFonts w:hint="eastAsia"/>
          <w:kern w:val="0"/>
          <w:szCs w:val="32"/>
          <w:lang w:eastAsia="zh-CN"/>
        </w:rPr>
        <w:t>股</w:t>
      </w:r>
      <w:r>
        <w:rPr>
          <w:rFonts w:hint="eastAsia"/>
          <w:kern w:val="0"/>
          <w:szCs w:val="32"/>
        </w:rPr>
        <w:t>室人员组成绩效评价专班，明确责任分工，确保各项评价任务落实到人。</w:t>
      </w:r>
    </w:p>
    <w:p>
      <w:pPr>
        <w:spacing w:line="594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（3）收集整理资料：梳理全年财政资金拨付、预算执行、资金使用、项目实施等相关资料，并结合财务报表、工作总结等形成评价支撑依据。</w:t>
      </w:r>
    </w:p>
    <w:p>
      <w:pPr>
        <w:spacing w:line="594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2. 组织实施</w:t>
      </w:r>
    </w:p>
    <w:p>
      <w:pPr>
        <w:spacing w:line="594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（1）数据核查：对全年整体支出的各项资金来源、支出明细、预算执行进度、资金结余情况进行详细核查，确保数据真实、准确、可溯。</w:t>
      </w:r>
    </w:p>
    <w:p>
      <w:pPr>
        <w:spacing w:line="594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（2）业务核对：结合各业务</w:t>
      </w:r>
      <w:r>
        <w:rPr>
          <w:rFonts w:hint="eastAsia"/>
          <w:kern w:val="0"/>
          <w:szCs w:val="32"/>
          <w:lang w:eastAsia="zh-CN"/>
        </w:rPr>
        <w:t>股</w:t>
      </w:r>
      <w:r>
        <w:rPr>
          <w:rFonts w:hint="eastAsia"/>
          <w:kern w:val="0"/>
          <w:szCs w:val="32"/>
        </w:rPr>
        <w:t>室的年度工作目标，核查各项专项资金和日常公用经费的使用情况，重点检查资金是否按计划执行、是否符合统战工作要求、是否存在结余或执行率低等情况。</w:t>
      </w:r>
    </w:p>
    <w:p>
      <w:pPr>
        <w:spacing w:line="594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（</w:t>
      </w:r>
      <w:r>
        <w:rPr>
          <w:rFonts w:hint="eastAsia"/>
          <w:kern w:val="0"/>
          <w:szCs w:val="32"/>
          <w:lang w:val="en-US" w:eastAsia="zh-CN"/>
        </w:rPr>
        <w:t>3</w:t>
      </w:r>
      <w:r>
        <w:rPr>
          <w:rFonts w:hint="eastAsia"/>
          <w:kern w:val="0"/>
          <w:szCs w:val="32"/>
        </w:rPr>
        <w:t>）现场调研与访谈：通过座谈会、访谈等方式，了解资金使用对统战工作目标实现的促进作用，听取业务部门、服务对象和相关单位的意见反馈，确保评价结果的全面性和客观性。</w:t>
      </w:r>
    </w:p>
    <w:p>
      <w:pPr>
        <w:spacing w:line="594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3. 分析评价及自评结果</w:t>
      </w:r>
    </w:p>
    <w:p>
      <w:pPr>
        <w:spacing w:line="594" w:lineRule="exact"/>
        <w:ind w:firstLine="640" w:firstLineChars="200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评估全年预算执行率，分析资金支出进度、结余情况及影响因素，找出执行偏差及原因。比年初设定的绩效目标，从经济性、效率性、效益性等方面，评估财政资金的使用效果</w:t>
      </w:r>
      <w:r>
        <w:rPr>
          <w:rFonts w:hint="eastAsia"/>
          <w:kern w:val="0"/>
          <w:szCs w:val="32"/>
          <w:lang w:eastAsia="zh-CN"/>
        </w:rPr>
        <w:t>及</w:t>
      </w:r>
      <w:r>
        <w:rPr>
          <w:rFonts w:hint="eastAsia"/>
          <w:kern w:val="0"/>
          <w:szCs w:val="32"/>
        </w:rPr>
        <w:t>存在的不足。</w:t>
      </w:r>
    </w:p>
    <w:p>
      <w:pPr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六、存在的主要问题</w:t>
      </w:r>
    </w:p>
    <w:p>
      <w:pPr>
        <w:spacing w:line="594" w:lineRule="exact"/>
        <w:ind w:firstLine="643" w:firstLineChars="200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/>
          <w:b/>
          <w:sz w:val="32"/>
          <w:szCs w:val="32"/>
          <w:lang w:eastAsia="zh-CN"/>
        </w:rPr>
        <w:t>一是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预算执行进度不均衡，资金支出存在滞后现象</w:t>
      </w:r>
      <w:r>
        <w:rPr>
          <w:rFonts w:hint="eastAsia" w:ascii="仿宋_GB2312"/>
          <w:b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部分专项资金和日常公用经费存在年初执行缓慢、年底集中支付的情况，导致预算执行不够均衡</w:t>
      </w:r>
      <w:r>
        <w:rPr>
          <w:rFonts w:hint="eastAsia" w:ascii="仿宋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部分统战工作活动和项目需等待上级部门批复或联合开展，影响了资金支出进度。</w:t>
      </w:r>
      <w:r>
        <w:rPr>
          <w:rFonts w:hint="eastAsia" w:ascii="仿宋_GB2312"/>
          <w:b/>
          <w:bCs w:val="0"/>
          <w:sz w:val="32"/>
          <w:szCs w:val="32"/>
          <w:lang w:eastAsia="zh-CN"/>
        </w:rPr>
        <w:t>二是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绩效目标设置不够精准，资金使用效益评估体系需进一步优化</w:t>
      </w:r>
      <w:r>
        <w:rPr>
          <w:rFonts w:hint="eastAsia" w:ascii="仿宋_GB2312"/>
          <w:b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目前的绩效目标体系在部分指标设置上仍存在泛化、量化不足的问题，导致资金投入与统战工作产出之间的匹配度尚需提升。例如，部分专项资金的考核指标以“完成某项任务”为主，而缺乏对资金使用效率、社会影响力等方面的具体衡量标准，使得绩效考核的导向作用未能充分发挥。</w:t>
      </w:r>
      <w:r>
        <w:rPr>
          <w:rFonts w:hint="eastAsia" w:ascii="仿宋_GB2312"/>
          <w:b/>
          <w:sz w:val="32"/>
          <w:szCs w:val="32"/>
          <w:lang w:eastAsia="zh-CN"/>
        </w:rPr>
        <w:t>三是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资金使用管理流程有待进一步规范，报销审批效率有待提高</w:t>
      </w:r>
      <w:r>
        <w:rPr>
          <w:rFonts w:hint="eastAsia" w:ascii="仿宋_GB2312"/>
          <w:b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部分科室对资金使用审批流程的规范性认识不足，存在报销手续不够完整、附件资料不全、审批流程衔接不畅等问题，影响了财务工作的合规性和效率。</w:t>
      </w:r>
    </w:p>
    <w:p>
      <w:pPr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七、改进措施和有关建议</w:t>
      </w:r>
    </w:p>
    <w:p>
      <w:pPr>
        <w:pStyle w:val="6"/>
        <w:tabs>
          <w:tab w:val="left" w:pos="420"/>
          <w:tab w:val="left" w:pos="6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（一）优化预算执行管理，提高资金支出进度</w:t>
      </w:r>
    </w:p>
    <w:p>
      <w:pPr>
        <w:pStyle w:val="6"/>
        <w:tabs>
          <w:tab w:val="left" w:pos="420"/>
          <w:tab w:val="left" w:pos="6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提升项目实施计划的科学性，在编制预算时，加强与相关业务部门的沟通，合理安排资金支出时间节点，避免年底资金集中使用。</w:t>
      </w:r>
    </w:p>
    <w:p>
      <w:pPr>
        <w:pStyle w:val="6"/>
        <w:tabs>
          <w:tab w:val="left" w:pos="420"/>
          <w:tab w:val="left" w:pos="6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.加快审批流程，对需上级审批的项目资金，提前做好立项、材料报送等准备工作，缩短资金拨付和执行时间，提高资金使用效率。</w:t>
      </w:r>
    </w:p>
    <w:p>
      <w:pPr>
        <w:pStyle w:val="6"/>
        <w:tabs>
          <w:tab w:val="left" w:pos="420"/>
          <w:tab w:val="left" w:pos="6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（二）完善绩效管理体系，强化资金使用效益评估</w:t>
      </w:r>
    </w:p>
    <w:p>
      <w:pPr>
        <w:pStyle w:val="6"/>
        <w:tabs>
          <w:tab w:val="left" w:pos="420"/>
          <w:tab w:val="left" w:pos="6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建立绩效反馈机制，在年度绩效评价后，向各股室反馈资金使用成效，并将考核结果作为下年度预算安排的重要依据，形成“以评促改、以评促优”的管理模式。</w:t>
      </w:r>
    </w:p>
    <w:p>
      <w:pPr>
        <w:pStyle w:val="6"/>
        <w:tabs>
          <w:tab w:val="left" w:pos="420"/>
          <w:tab w:val="left" w:pos="6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加强绩效结果应用，对资金使用绩效较高的项目，优先支持后续资金安排；对绩效低于预期的项目，分析原因并提出整改方案，确保财政资金高效运行。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701" w:wrap="around" w:vAnchor="text" w:hAnchor="margin" w:xAlign="outside" w:y="1"/>
      <w:jc w:val="center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Style w:val="5"/>
        <w:rFonts w:hint="eastAsia"/>
        <w:sz w:val="28"/>
        <w:szCs w:val="28"/>
      </w:rPr>
      <w:t>—</w:t>
    </w:r>
  </w:p>
  <w:p>
    <w:pPr>
      <w:pStyle w:val="2"/>
      <w:ind w:right="360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BC5D81"/>
    <w:multiLevelType w:val="singleLevel"/>
    <w:tmpl w:val="C3BC5D8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44B5C97"/>
    <w:multiLevelType w:val="singleLevel"/>
    <w:tmpl w:val="F44B5C9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F9F58E9"/>
    <w:multiLevelType w:val="singleLevel"/>
    <w:tmpl w:val="1F9F58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502FD"/>
    <w:rsid w:val="01A71605"/>
    <w:rsid w:val="0424435A"/>
    <w:rsid w:val="0AFD30C2"/>
    <w:rsid w:val="0D440B68"/>
    <w:rsid w:val="116B6013"/>
    <w:rsid w:val="173417EC"/>
    <w:rsid w:val="192502FD"/>
    <w:rsid w:val="21776E81"/>
    <w:rsid w:val="23DC1716"/>
    <w:rsid w:val="24A77F9C"/>
    <w:rsid w:val="24AF2DB6"/>
    <w:rsid w:val="26C204E3"/>
    <w:rsid w:val="292C0A10"/>
    <w:rsid w:val="2D4A7945"/>
    <w:rsid w:val="2FF8514D"/>
    <w:rsid w:val="353F750F"/>
    <w:rsid w:val="43A761A4"/>
    <w:rsid w:val="4446689C"/>
    <w:rsid w:val="458D4610"/>
    <w:rsid w:val="45F8520E"/>
    <w:rsid w:val="50643515"/>
    <w:rsid w:val="562040FD"/>
    <w:rsid w:val="576C38C5"/>
    <w:rsid w:val="5C792A55"/>
    <w:rsid w:val="5D676FDF"/>
    <w:rsid w:val="5E672A35"/>
    <w:rsid w:val="616D7EB6"/>
    <w:rsid w:val="675C30DE"/>
    <w:rsid w:val="6EDA3A00"/>
    <w:rsid w:val="70103D4F"/>
    <w:rsid w:val="709D49EC"/>
    <w:rsid w:val="7DA11DC5"/>
    <w:rsid w:val="7E93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[Normal]"/>
    <w:qFormat/>
    <w:uiPriority w:val="0"/>
    <w:rPr>
      <w:rFonts w:ascii="宋体" w:hAnsi="宋体" w:eastAsia="宋体" w:cs="Times New Roman"/>
      <w:sz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2025-03-28T01:43:00Z</dcterms:created>
  <dc:creator>Administrator</dc:creator>
  <cp:lastModifiedBy>Administrator</cp:lastModifiedBy>
  <dcterms:modified xsi:type="dcterms:W3CDTF">2025-11-13T08:09:26Z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