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E84C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桃江县</w:t>
      </w:r>
      <w:r>
        <w:rPr>
          <w:rFonts w:hint="eastAsia" w:ascii="方正小标宋简体" w:hAnsi="方正小标宋简体" w:eastAsia="方正小标宋简体" w:cs="方正小标宋简体"/>
          <w:sz w:val="44"/>
          <w:szCs w:val="44"/>
        </w:rPr>
        <w:t>农业</w:t>
      </w:r>
      <w:r>
        <w:rPr>
          <w:rFonts w:hint="eastAsia" w:ascii="方正小标宋简体" w:hAnsi="方正小标宋简体" w:eastAsia="方正小标宋简体" w:cs="方正小标宋简体"/>
          <w:sz w:val="44"/>
          <w:szCs w:val="44"/>
          <w:lang w:eastAsia="zh-CN"/>
        </w:rPr>
        <w:t>农村</w:t>
      </w:r>
      <w:r>
        <w:rPr>
          <w:rFonts w:hint="eastAsia" w:ascii="方正小标宋简体" w:hAnsi="方正小标宋简体" w:eastAsia="方正小标宋简体" w:cs="方正小标宋简体"/>
          <w:sz w:val="44"/>
          <w:szCs w:val="44"/>
        </w:rPr>
        <w:t>领域</w:t>
      </w:r>
      <w:r>
        <w:rPr>
          <w:rFonts w:hint="default" w:ascii="方正小标宋简体" w:hAnsi="方正小标宋简体" w:eastAsia="方正小标宋简体" w:cs="方正小标宋简体"/>
          <w:sz w:val="44"/>
          <w:szCs w:val="44"/>
        </w:rPr>
        <w:t>免罚事项清单（柔性执法事项清单）</w:t>
      </w:r>
    </w:p>
    <w:p w14:paraId="0171B774">
      <w:pPr>
        <w:jc w:val="center"/>
        <w:rPr>
          <w:rFonts w:ascii="仿宋" w:hAnsi="仿宋" w:eastAsia="仿宋" w:cs="仿宋"/>
          <w:sz w:val="32"/>
          <w:szCs w:val="32"/>
        </w:rPr>
      </w:pPr>
    </w:p>
    <w:tbl>
      <w:tblPr>
        <w:tblStyle w:val="4"/>
        <w:tblW w:w="1471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568"/>
        <w:gridCol w:w="3197"/>
        <w:gridCol w:w="8081"/>
      </w:tblGrid>
      <w:tr w14:paraId="4289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864" w:type="dxa"/>
            <w:noWrap/>
            <w:vAlign w:val="center"/>
          </w:tcPr>
          <w:p w14:paraId="517910C2">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序号</w:t>
            </w:r>
          </w:p>
        </w:tc>
        <w:tc>
          <w:tcPr>
            <w:tcW w:w="2568" w:type="dxa"/>
            <w:noWrap/>
            <w:vAlign w:val="center"/>
          </w:tcPr>
          <w:p w14:paraId="67936BE3">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违法行为</w:t>
            </w:r>
          </w:p>
        </w:tc>
        <w:tc>
          <w:tcPr>
            <w:tcW w:w="3197" w:type="dxa"/>
            <w:noWrap/>
            <w:vAlign w:val="center"/>
          </w:tcPr>
          <w:p w14:paraId="41AA82E1">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不予行政处罚条件</w:t>
            </w:r>
          </w:p>
        </w:tc>
        <w:tc>
          <w:tcPr>
            <w:tcW w:w="8081" w:type="dxa"/>
            <w:noWrap/>
            <w:vAlign w:val="center"/>
          </w:tcPr>
          <w:p w14:paraId="6BB36D65">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法律依据</w:t>
            </w:r>
          </w:p>
        </w:tc>
      </w:tr>
      <w:tr w14:paraId="39B7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64" w:type="dxa"/>
            <w:noWrap/>
            <w:vAlign w:val="center"/>
          </w:tcPr>
          <w:p w14:paraId="48412820">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1</w:t>
            </w:r>
          </w:p>
        </w:tc>
        <w:tc>
          <w:tcPr>
            <w:tcW w:w="2568" w:type="dxa"/>
            <w:noWrap/>
            <w:vAlign w:val="center"/>
          </w:tcPr>
          <w:p w14:paraId="4E0109BB">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szCs w:val="21"/>
              </w:rPr>
              <w:t>取得农药经营许可证的农药经营者不再符合规定条件继续经营农药的</w:t>
            </w:r>
          </w:p>
        </w:tc>
        <w:tc>
          <w:tcPr>
            <w:tcW w:w="3197" w:type="dxa"/>
            <w:noWrap/>
            <w:vAlign w:val="center"/>
          </w:tcPr>
          <w:p w14:paraId="13325C7F">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首次发现该违法行为，且违法行为轻微，未造成危害后果，经责令限期改正后及时改正到位的</w:t>
            </w:r>
            <w:r>
              <w:rPr>
                <w:rFonts w:hint="eastAsia" w:ascii="宋体" w:hAnsi="宋体" w:eastAsia="宋体" w:cs="宋体"/>
                <w:szCs w:val="21"/>
              </w:rPr>
              <w:t>。</w:t>
            </w:r>
          </w:p>
        </w:tc>
        <w:tc>
          <w:tcPr>
            <w:tcW w:w="8081" w:type="dxa"/>
            <w:noWrap/>
            <w:vAlign w:val="center"/>
          </w:tcPr>
          <w:p w14:paraId="754E04EE">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szCs w:val="21"/>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14:paraId="277E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64" w:type="dxa"/>
            <w:noWrap/>
            <w:vAlign w:val="center"/>
          </w:tcPr>
          <w:p w14:paraId="4FD6D4AF">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2</w:t>
            </w:r>
          </w:p>
        </w:tc>
        <w:tc>
          <w:tcPr>
            <w:tcW w:w="2568" w:type="dxa"/>
            <w:noWrap/>
            <w:vAlign w:val="center"/>
          </w:tcPr>
          <w:p w14:paraId="48412BDE">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农药经营者</w:t>
            </w:r>
            <w:r>
              <w:rPr>
                <w:rFonts w:hint="eastAsia" w:ascii="宋体" w:hAnsi="宋体" w:eastAsia="宋体" w:cs="宋体"/>
                <w:szCs w:val="21"/>
              </w:rPr>
              <w:t>不执行农药采购台账、销售台账制度的</w:t>
            </w:r>
          </w:p>
        </w:tc>
        <w:tc>
          <w:tcPr>
            <w:tcW w:w="3197" w:type="dxa"/>
            <w:noWrap/>
            <w:vAlign w:val="center"/>
          </w:tcPr>
          <w:p w14:paraId="630F6F85">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首次发现该违法行为，且违法行为轻微，未造成危害后果，经责令限期改正后及时改正到位的。</w:t>
            </w:r>
          </w:p>
        </w:tc>
        <w:tc>
          <w:tcPr>
            <w:tcW w:w="8081" w:type="dxa"/>
            <w:noWrap/>
            <w:vAlign w:val="center"/>
          </w:tcPr>
          <w:p w14:paraId="1118FB20">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14:paraId="3606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64" w:type="dxa"/>
            <w:noWrap/>
            <w:vAlign w:val="center"/>
          </w:tcPr>
          <w:p w14:paraId="6C6045CC">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3</w:t>
            </w:r>
          </w:p>
        </w:tc>
        <w:tc>
          <w:tcPr>
            <w:tcW w:w="2568" w:type="dxa"/>
            <w:noWrap/>
            <w:vAlign w:val="center"/>
          </w:tcPr>
          <w:p w14:paraId="1AAB0F6E">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eastAsia="宋体" w:cs="宋体"/>
                <w:szCs w:val="21"/>
              </w:rPr>
            </w:pPr>
            <w:r>
              <w:rPr>
                <w:rFonts w:hint="eastAsia" w:ascii="宋体" w:hAnsi="宋体" w:eastAsia="宋体" w:cs="宋体"/>
                <w:szCs w:val="21"/>
              </w:rPr>
              <w:t>农药经营者在卫生用农药以外的农药经营场所内经营食品、食用农产品、饲料等的</w:t>
            </w:r>
          </w:p>
        </w:tc>
        <w:tc>
          <w:tcPr>
            <w:tcW w:w="3197" w:type="dxa"/>
            <w:noWrap/>
            <w:vAlign w:val="center"/>
          </w:tcPr>
          <w:p w14:paraId="574C6858">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首次发现该违法行为，且违法行为轻微，未造成危害后果，经责令改正后及时改正的。</w:t>
            </w:r>
          </w:p>
        </w:tc>
        <w:tc>
          <w:tcPr>
            <w:tcW w:w="8081" w:type="dxa"/>
            <w:noWrap/>
            <w:vAlign w:val="center"/>
          </w:tcPr>
          <w:p w14:paraId="130B65A7">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eastAsia="宋体" w:cs="宋体"/>
                <w:szCs w:val="21"/>
              </w:rPr>
            </w:pPr>
            <w:r>
              <w:rPr>
                <w:rFonts w:hint="eastAsia" w:ascii="宋体" w:hAnsi="宋体" w:eastAsia="宋体" w:cs="宋体"/>
                <w:szCs w:val="21"/>
              </w:rPr>
              <w:t>《农药管理条例》第五十八条第（二）项：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14:paraId="3A85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64" w:type="dxa"/>
            <w:noWrap/>
            <w:vAlign w:val="center"/>
          </w:tcPr>
          <w:p w14:paraId="51D0B58E">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4</w:t>
            </w:r>
          </w:p>
        </w:tc>
        <w:tc>
          <w:tcPr>
            <w:tcW w:w="2568" w:type="dxa"/>
            <w:noWrap/>
            <w:vAlign w:val="center"/>
          </w:tcPr>
          <w:p w14:paraId="10008B49">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rPr>
              <w:t>农药经营者</w:t>
            </w:r>
            <w:r>
              <w:rPr>
                <w:rFonts w:hint="eastAsia" w:ascii="宋体" w:hAnsi="宋体" w:eastAsia="宋体" w:cs="宋体"/>
                <w:color w:val="000000"/>
                <w:szCs w:val="21"/>
              </w:rPr>
              <w:t>未将卫生用农药与其他商品分柜销售的</w:t>
            </w:r>
          </w:p>
        </w:tc>
        <w:tc>
          <w:tcPr>
            <w:tcW w:w="3197" w:type="dxa"/>
            <w:noWrap/>
            <w:vAlign w:val="center"/>
          </w:tcPr>
          <w:p w14:paraId="321A2817">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color w:val="000000"/>
                <w:szCs w:val="21"/>
              </w:rPr>
              <w:t>首次发现该违法行为，且违法行为轻微，未造成危害后果，经责令改正后态度良好，及时配合改正的。</w:t>
            </w:r>
          </w:p>
        </w:tc>
        <w:tc>
          <w:tcPr>
            <w:tcW w:w="8081" w:type="dxa"/>
            <w:noWrap/>
            <w:vAlign w:val="center"/>
          </w:tcPr>
          <w:p w14:paraId="1FA23378">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农药管理条例》第五十八条第（三）项：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14:paraId="52B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noWrap/>
            <w:vAlign w:val="center"/>
          </w:tcPr>
          <w:p w14:paraId="40CD4E6C">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5</w:t>
            </w:r>
          </w:p>
        </w:tc>
        <w:tc>
          <w:tcPr>
            <w:tcW w:w="2568" w:type="dxa"/>
            <w:noWrap/>
            <w:vAlign w:val="center"/>
          </w:tcPr>
          <w:p w14:paraId="2CE33A3D">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rPr>
              <w:t>农药经营者</w:t>
            </w:r>
            <w:r>
              <w:rPr>
                <w:rFonts w:hint="eastAsia" w:ascii="宋体" w:hAnsi="宋体" w:eastAsia="宋体" w:cs="宋体"/>
                <w:color w:val="000000"/>
                <w:szCs w:val="21"/>
              </w:rPr>
              <w:t>不履行农药废弃物回收义务的</w:t>
            </w:r>
          </w:p>
        </w:tc>
        <w:tc>
          <w:tcPr>
            <w:tcW w:w="3197" w:type="dxa"/>
            <w:noWrap/>
            <w:vAlign w:val="center"/>
          </w:tcPr>
          <w:p w14:paraId="2DD200E5">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color w:val="000000"/>
                <w:szCs w:val="21"/>
              </w:rPr>
              <w:t>首次发现该违法行为，且违法行为轻微，未造成危害后果，经责令改正后及时改正的。</w:t>
            </w:r>
          </w:p>
        </w:tc>
        <w:tc>
          <w:tcPr>
            <w:tcW w:w="8081" w:type="dxa"/>
            <w:noWrap/>
            <w:vAlign w:val="center"/>
          </w:tcPr>
          <w:p w14:paraId="62035586">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sz w:val="28"/>
                <w:szCs w:val="28"/>
              </w:rPr>
            </w:pPr>
            <w:r>
              <w:rPr>
                <w:rFonts w:hint="eastAsia" w:ascii="宋体" w:hAnsi="宋体" w:eastAsia="宋体" w:cs="宋体"/>
              </w:rPr>
              <w:t>《农药管理条例》第五十八条第（四）项：农药经营者有下列行为之一的，由县级以上地方人民政府农业主管部门责令改正；拒不改正或者情节严重的，处2000元以上2万元以下罚款，并由发证机关吊销农药经营许可证：（四）不履行农药废弃物回收义务。</w:t>
            </w:r>
          </w:p>
        </w:tc>
      </w:tr>
      <w:tr w14:paraId="2A9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64" w:type="dxa"/>
            <w:noWrap/>
            <w:vAlign w:val="center"/>
          </w:tcPr>
          <w:p w14:paraId="3490D4B8">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6</w:t>
            </w:r>
          </w:p>
        </w:tc>
        <w:tc>
          <w:tcPr>
            <w:tcW w:w="2568" w:type="dxa"/>
            <w:noWrap/>
            <w:vAlign w:val="center"/>
          </w:tcPr>
          <w:p w14:paraId="10E4AB8F">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szCs w:val="21"/>
              </w:rPr>
              <w:t>农产品生产企业、食品和食用农产品仓储企业、专业化病虫害防治服务组织和从事农产品生产的农民专业合作社等不执行农药使用记录制度的</w:t>
            </w:r>
          </w:p>
        </w:tc>
        <w:tc>
          <w:tcPr>
            <w:tcW w:w="3197" w:type="dxa"/>
            <w:noWrap/>
            <w:vAlign w:val="center"/>
          </w:tcPr>
          <w:p w14:paraId="03BC05A5">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r>
              <w:rPr>
                <w:rFonts w:hint="eastAsia" w:ascii="宋体" w:hAnsi="宋体" w:eastAsia="宋体" w:cs="宋体"/>
                <w:color w:val="000000"/>
                <w:szCs w:val="21"/>
              </w:rPr>
              <w:t>首次发现该违法行为，且违法行为轻微，未造成危害后果，经责令改正后态度良好，及时配合改正的。</w:t>
            </w:r>
          </w:p>
        </w:tc>
        <w:tc>
          <w:tcPr>
            <w:tcW w:w="8081" w:type="dxa"/>
            <w:noWrap/>
            <w:vAlign w:val="center"/>
          </w:tcPr>
          <w:p w14:paraId="40AF8B67">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eastAsia="宋体" w:cs="宋体"/>
                <w:szCs w:val="21"/>
              </w:rPr>
            </w:pPr>
            <w:r>
              <w:rPr>
                <w:rFonts w:hint="eastAsia" w:ascii="宋体" w:hAnsi="宋体" w:eastAsia="宋体" w:cs="宋体"/>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14:paraId="4C7F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64" w:type="dxa"/>
            <w:noWrap/>
            <w:vAlign w:val="center"/>
          </w:tcPr>
          <w:p w14:paraId="2A2FBCE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8"/>
                <w:szCs w:val="28"/>
              </w:rPr>
            </w:pPr>
            <w:r>
              <w:rPr>
                <w:rFonts w:hint="eastAsia" w:ascii="Times New Roman" w:hAnsi="Times New Roman" w:eastAsia="仿宋_GB2312"/>
                <w:sz w:val="24"/>
              </w:rPr>
              <w:t>7</w:t>
            </w:r>
          </w:p>
        </w:tc>
        <w:tc>
          <w:tcPr>
            <w:tcW w:w="2568" w:type="dxa"/>
            <w:noWrap/>
            <w:vAlign w:val="center"/>
          </w:tcPr>
          <w:p w14:paraId="3DBAD300">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ascii="宋体" w:hAnsi="宋体" w:eastAsia="宋体" w:cs="宋体"/>
                <w:szCs w:val="21"/>
              </w:rPr>
              <w:t>专业化病虫害防治服务组织</w:t>
            </w:r>
            <w:r>
              <w:rPr>
                <w:szCs w:val="21"/>
              </w:rPr>
              <w:t>未按规定建立或者保存服务档案的</w:t>
            </w:r>
          </w:p>
        </w:tc>
        <w:tc>
          <w:tcPr>
            <w:tcW w:w="3197" w:type="dxa"/>
            <w:noWrap/>
            <w:vAlign w:val="center"/>
          </w:tcPr>
          <w:p w14:paraId="1823191C">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28"/>
                <w:szCs w:val="28"/>
              </w:rPr>
            </w:pPr>
            <w:r>
              <w:rPr>
                <w:rFonts w:hint="eastAsia"/>
              </w:rPr>
              <w:t>首次发现该违法行为，且违法行为轻微，未造成危害后果，经责令改正后态度良好，及时配合改正的。</w:t>
            </w:r>
          </w:p>
        </w:tc>
        <w:tc>
          <w:tcPr>
            <w:tcW w:w="8081" w:type="dxa"/>
            <w:noWrap/>
            <w:vAlign w:val="center"/>
          </w:tcPr>
          <w:p w14:paraId="3AC6DB39">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rFonts w:ascii="宋体" w:hAnsi="宋体" w:eastAsia="宋体" w:cs="宋体"/>
                <w:szCs w:val="21"/>
              </w:rPr>
            </w:pPr>
            <w:r>
              <w:rPr>
                <w:rFonts w:ascii="Nimbus Roman No9 L" w:hAnsi="Nimbus Roman No9 L" w:cs="Nimbus Roman No9 L"/>
                <w:szCs w:val="21"/>
              </w:rPr>
              <w:t>《</w:t>
            </w:r>
            <w:r>
              <w:rPr>
                <w:rFonts w:hint="eastAsia" w:ascii="宋体" w:hAnsi="宋体" w:eastAsia="宋体" w:cs="宋体"/>
                <w:szCs w:val="21"/>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14:paraId="646B2DE3">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rPr>
                <w:rFonts w:hint="eastAsia" w:ascii="宋体" w:hAnsi="宋体" w:eastAsia="宋体" w:cs="宋体"/>
                <w:szCs w:val="21"/>
              </w:rPr>
              <w:t>（三）未按规定建立或者保存服务档案</w:t>
            </w:r>
            <w:r>
              <w:rPr>
                <w:rFonts w:ascii="Nimbus Roman No9 L" w:hAnsi="Nimbus Roman No9 L" w:cs="Nimbus Roman No9 L"/>
                <w:szCs w:val="21"/>
              </w:rPr>
              <w:t>；</w:t>
            </w:r>
          </w:p>
        </w:tc>
      </w:tr>
      <w:tr w14:paraId="5DC5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center"/>
          </w:tcPr>
          <w:p w14:paraId="5A0A0C7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8</w:t>
            </w:r>
          </w:p>
        </w:tc>
        <w:tc>
          <w:tcPr>
            <w:tcW w:w="2568" w:type="dxa"/>
            <w:noWrap/>
            <w:vAlign w:val="center"/>
          </w:tcPr>
          <w:p w14:paraId="5A0C6DAB">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ascii="Nimbus Roman No9 L" w:hAnsi="Nimbus Roman No9 L" w:cs="Nimbus Roman No9 L"/>
                <w:szCs w:val="21"/>
              </w:rPr>
              <w:t>专业化病虫害防治服务组织</w:t>
            </w:r>
            <w:r>
              <w:rPr>
                <w:szCs w:val="21"/>
              </w:rPr>
              <w:t>未为田间作业人员配备必要的防护用品的</w:t>
            </w:r>
          </w:p>
        </w:tc>
        <w:tc>
          <w:tcPr>
            <w:tcW w:w="3197" w:type="dxa"/>
            <w:noWrap/>
            <w:vAlign w:val="center"/>
          </w:tcPr>
          <w:p w14:paraId="7A6A4B1D">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首次发现该违法行为，且违法行为轻微，未造成危害后果，经责令改正后态度良好，及时配合改正的。</w:t>
            </w:r>
          </w:p>
        </w:tc>
        <w:tc>
          <w:tcPr>
            <w:tcW w:w="8081" w:type="dxa"/>
            <w:noWrap/>
            <w:vAlign w:val="center"/>
          </w:tcPr>
          <w:p w14:paraId="296044D3">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rFonts w:hint="eastAsia" w:ascii="Nimbus Roman No9 L" w:hAnsi="Nimbus Roman No9 L" w:cs="Nimbus Roman No9 L"/>
                <w:szCs w:val="21"/>
              </w:rPr>
            </w:pPr>
            <w:r>
              <w:rPr>
                <w:rFonts w:ascii="Nimbus Roman No9 L" w:hAnsi="Nimbus Roman No9 L" w:cs="Nimbus Roman No9 L"/>
                <w:szCs w:val="21"/>
              </w:rPr>
              <w:t>《农作物病虫害防治条例》第四十二条第一款第四项：专业化病虫害防治服务组织有下列行为之一的，由县级以上人民政府农业农村主管部门责令改正；拒不改正或者情节严重的，处</w:t>
            </w:r>
            <w:r>
              <w:rPr>
                <w:rFonts w:hint="eastAsia" w:ascii="宋体" w:hAnsi="宋体" w:eastAsia="宋体" w:cs="宋体"/>
                <w:szCs w:val="21"/>
              </w:rPr>
              <w:t>2000元以上2万</w:t>
            </w:r>
            <w:r>
              <w:rPr>
                <w:rFonts w:ascii="Nimbus Roman No9 L" w:hAnsi="Nimbus Roman No9 L" w:cs="Nimbus Roman No9 L"/>
                <w:szCs w:val="21"/>
              </w:rPr>
              <w:t>元以下罚款；造成损失的，依法承担赔偿责任：</w:t>
            </w:r>
          </w:p>
          <w:p w14:paraId="21614A0E">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rPr>
                <w:rFonts w:ascii="Nimbus Roman No9 L" w:hAnsi="Nimbus Roman No9 L" w:cs="Nimbus Roman No9 L"/>
                <w:szCs w:val="21"/>
              </w:rPr>
              <w:t>（四）未为田间作业人员配备必要的防护用品；</w:t>
            </w:r>
          </w:p>
        </w:tc>
      </w:tr>
      <w:tr w14:paraId="7944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64" w:type="dxa"/>
            <w:noWrap/>
            <w:vAlign w:val="center"/>
          </w:tcPr>
          <w:p w14:paraId="094048E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9</w:t>
            </w:r>
          </w:p>
        </w:tc>
        <w:tc>
          <w:tcPr>
            <w:tcW w:w="2568" w:type="dxa"/>
            <w:noWrap/>
            <w:vAlign w:val="center"/>
          </w:tcPr>
          <w:p w14:paraId="2F4DC8C8">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szCs w:val="21"/>
              </w:rPr>
              <w:t>农产品生产企业、农民专业合作经济组织未建立或者未按照规定保存农产品生产记录的，或者伪造农产品生产记录的</w:t>
            </w:r>
          </w:p>
        </w:tc>
        <w:tc>
          <w:tcPr>
            <w:tcW w:w="3197" w:type="dxa"/>
            <w:noWrap/>
            <w:vAlign w:val="center"/>
          </w:tcPr>
          <w:p w14:paraId="60BF5BFB">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w:t>
            </w:r>
            <w:r>
              <w:t>限期</w:t>
            </w:r>
            <w:r>
              <w:rPr>
                <w:rFonts w:hint="eastAsia"/>
              </w:rPr>
              <w:t>改正后及时改正的。</w:t>
            </w:r>
          </w:p>
        </w:tc>
        <w:tc>
          <w:tcPr>
            <w:tcW w:w="8081" w:type="dxa"/>
            <w:noWrap/>
            <w:vAlign w:val="center"/>
          </w:tcPr>
          <w:p w14:paraId="6EFE7B3A">
            <w:pPr>
              <w:keepNext w:val="0"/>
              <w:keepLines w:val="0"/>
              <w:pageBreakBefore w:val="0"/>
              <w:kinsoku/>
              <w:wordWrap/>
              <w:overflowPunct/>
              <w:topLinePunct w:val="0"/>
              <w:autoSpaceDE/>
              <w:autoSpaceDN/>
              <w:bidi w:val="0"/>
              <w:adjustRightInd/>
              <w:snapToGrid/>
              <w:spacing w:line="240" w:lineRule="auto"/>
              <w:rPr>
                <w:szCs w:val="21"/>
              </w:rPr>
            </w:pPr>
            <w:r>
              <w:t>《中华人民共和国农产品质量安全法》第四十七条：农产品生产企业、农民专业合作经济组织未建立或者未按照规定保存农产品生产记录的，或者伪造农产品生产记录的，责令限期改正；逾期不改正的，可以处2000元以下罚款</w:t>
            </w:r>
            <w:r>
              <w:rPr>
                <w:szCs w:val="21"/>
              </w:rPr>
              <w:t>。</w:t>
            </w:r>
          </w:p>
        </w:tc>
      </w:tr>
      <w:tr w14:paraId="7157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64" w:type="dxa"/>
            <w:noWrap/>
            <w:vAlign w:val="center"/>
          </w:tcPr>
          <w:p w14:paraId="3611DC56">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10</w:t>
            </w:r>
          </w:p>
        </w:tc>
        <w:tc>
          <w:tcPr>
            <w:tcW w:w="2568" w:type="dxa"/>
            <w:noWrap/>
            <w:vAlign w:val="center"/>
          </w:tcPr>
          <w:p w14:paraId="4A327FBF">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szCs w:val="21"/>
              </w:rPr>
              <w:t>经营动物和动物产品的集贸市场不符合动物防疫条件的</w:t>
            </w:r>
          </w:p>
        </w:tc>
        <w:tc>
          <w:tcPr>
            <w:tcW w:w="3197" w:type="dxa"/>
            <w:noWrap/>
            <w:vAlign w:val="center"/>
          </w:tcPr>
          <w:p w14:paraId="76D6E454">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首次发现该违法行为，且违法行为轻微，未造成危害后果，经责令改正后及时改正的。</w:t>
            </w:r>
          </w:p>
        </w:tc>
        <w:tc>
          <w:tcPr>
            <w:tcW w:w="8081" w:type="dxa"/>
            <w:noWrap/>
            <w:vAlign w:val="center"/>
          </w:tcPr>
          <w:p w14:paraId="7513DF88">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t>《动物防疫条件审查办法》第三十七条：违反本办法第二十四条和第二十五条规定，经营动物和动物产品的集贸市场不符合动物防疫条件的，由动物卫生监督机构责令改正；拒不改正的，由动物卫生监督机构处5000元以上2万元以下的罚款，并通报同级工商行政管理部门依法处理</w:t>
            </w:r>
          </w:p>
        </w:tc>
      </w:tr>
    </w:tbl>
    <w:p w14:paraId="69CEBD1F">
      <w:pPr>
        <w:pStyle w:val="2"/>
      </w:pPr>
      <w:bookmarkStart w:id="0" w:name="_GoBack"/>
      <w:bookmarkEnd w:id="0"/>
    </w:p>
    <w:sectPr>
      <w:pgSz w:w="16838" w:h="11906" w:orient="landscape"/>
      <w:pgMar w:top="1701" w:right="1134" w:bottom="1417"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mM0MTU0ZGY3Njg0YTIzZGE5N2Y2M2M1ODQ3ZDUifQ=="/>
  </w:docVars>
  <w:rsids>
    <w:rsidRoot w:val="5FD740C7"/>
    <w:rsid w:val="3B6444A9"/>
    <w:rsid w:val="49A64751"/>
    <w:rsid w:val="4E1D2D77"/>
    <w:rsid w:val="5FD740C7"/>
    <w:rsid w:val="68CD2DF1"/>
    <w:rsid w:val="69A362DE"/>
    <w:rsid w:val="74734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atLeast"/>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Administrator\Documents\WeChat%20Files\wxid_aoksfp0tlbor22\FileStorage\File\2023-08\&#24120;&#24503;&#24066;&#20892;&#19994;&#39046;&#22495;&#39318;&#27425;&#36731;&#24494;&#36829;&#27861;&#34892;&#20026;&#19981;&#20104;&#34892;&#25919;&#22788;&#32602;&#28165;&#21333;&#65288;&#31532;&#19968;&#25209;&#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常德市农业领域首次轻微违法行为不予行政处罚清单（第一批）.dot</Template>
  <Pages>2</Pages>
  <Words>1991</Words>
  <Characters>2024</Characters>
  <Lines>0</Lines>
  <Paragraphs>0</Paragraphs>
  <TotalTime>2</TotalTime>
  <ScaleCrop>false</ScaleCrop>
  <LinksUpToDate>false</LinksUpToDate>
  <CharactersWithSpaces>2037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2023-08-31T09:30:00Z</dcterms:created>
  <dc:creator>初吻给了奶嘴</dc:creator>
  <cp:lastModifiedBy>初吻给了奶嘴</cp:lastModifiedBy>
  <dcterms:modified xsi:type="dcterms:W3CDTF">2025-08-27T08:20:47Z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F9AC533AE29C42A6AB2FFD3145F62369_11</vt:lpwstr>
  </property>
  <property fmtid="{D5CDD505-2E9C-101B-9397-08002B2CF9AE}" pid="4" name="KSOTemplateDocerSaveRecord">
    <vt:lpwstr>eyJoZGlkIjoiODk1NWQ4MzQwOGU3MGRiMDY2NjAyOTM1YjRhODczNzgiLCJ1c2VySWQiOiI1Njc2MTI5OTAifQ==</vt:lpwstr>
  </property>
</Properties>
</file>