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1F894">
      <w:pPr>
        <w:widowControl/>
        <w:jc w:val="center"/>
        <w:rPr>
          <w:rFonts w:hint="eastAsia" w:eastAsia="方正小标宋简体"/>
          <w:b/>
          <w:kern w:val="0"/>
          <w:sz w:val="48"/>
          <w:szCs w:val="48"/>
          <w:lang w:eastAsia="zh-CN"/>
        </w:rPr>
      </w:pPr>
      <w:bookmarkStart w:id="0" w:name="RANGE!A1:G4"/>
      <w:r>
        <w:rPr>
          <w:rFonts w:hint="eastAsia" w:eastAsia="方正小标宋简体"/>
          <w:b/>
          <w:kern w:val="0"/>
          <w:sz w:val="48"/>
          <w:szCs w:val="48"/>
          <w:lang w:eastAsia="zh-CN"/>
        </w:rPr>
        <w:t>桃江县竹产业发展服务中心</w:t>
      </w:r>
    </w:p>
    <w:p w14:paraId="25385E8E">
      <w:pPr>
        <w:widowControl/>
        <w:jc w:val="center"/>
        <w:rPr>
          <w:rFonts w:eastAsia="方正小标宋简体"/>
          <w:b/>
          <w:kern w:val="0"/>
          <w:sz w:val="48"/>
          <w:szCs w:val="48"/>
        </w:rPr>
      </w:pPr>
      <w:r>
        <w:rPr>
          <w:rFonts w:hint="eastAsia" w:eastAsia="方正小标宋简体"/>
          <w:b/>
          <w:kern w:val="0"/>
          <w:sz w:val="48"/>
          <w:szCs w:val="48"/>
        </w:rPr>
        <w:t>部门整体支出及项目支出</w:t>
      </w:r>
    </w:p>
    <w:p w14:paraId="5CD1A4D6">
      <w:pPr>
        <w:widowControl/>
        <w:jc w:val="center"/>
        <w:rPr>
          <w:rFonts w:eastAsia="方正小标宋简体"/>
          <w:b/>
          <w:kern w:val="0"/>
          <w:sz w:val="48"/>
          <w:szCs w:val="48"/>
        </w:rPr>
      </w:pPr>
    </w:p>
    <w:p w14:paraId="327894CD">
      <w:pPr>
        <w:widowControl/>
        <w:jc w:val="center"/>
        <w:rPr>
          <w:rFonts w:eastAsia="方正小标宋简体"/>
          <w:b/>
          <w:kern w:val="0"/>
          <w:sz w:val="48"/>
          <w:szCs w:val="48"/>
        </w:rPr>
      </w:pPr>
    </w:p>
    <w:p w14:paraId="578D7ADA">
      <w:pPr>
        <w:widowControl/>
        <w:jc w:val="center"/>
        <w:rPr>
          <w:rFonts w:eastAsia="方正小标宋简体"/>
          <w:b/>
          <w:kern w:val="0"/>
          <w:sz w:val="72"/>
          <w:szCs w:val="72"/>
        </w:rPr>
      </w:pPr>
      <w:r>
        <w:rPr>
          <w:rFonts w:hint="eastAsia" w:eastAsia="方正小标宋简体"/>
          <w:b/>
          <w:kern w:val="0"/>
          <w:sz w:val="72"/>
          <w:szCs w:val="72"/>
        </w:rPr>
        <w:t>绩</w:t>
      </w:r>
    </w:p>
    <w:p w14:paraId="7B6CFDD9">
      <w:pPr>
        <w:widowControl/>
        <w:jc w:val="center"/>
        <w:rPr>
          <w:rFonts w:eastAsia="方正小标宋简体"/>
          <w:b/>
          <w:kern w:val="0"/>
          <w:sz w:val="72"/>
          <w:szCs w:val="72"/>
        </w:rPr>
      </w:pPr>
      <w:r>
        <w:rPr>
          <w:rFonts w:hint="eastAsia" w:eastAsia="方正小标宋简体"/>
          <w:b/>
          <w:kern w:val="0"/>
          <w:sz w:val="72"/>
          <w:szCs w:val="72"/>
        </w:rPr>
        <w:t>效</w:t>
      </w:r>
    </w:p>
    <w:p w14:paraId="20855DA2">
      <w:pPr>
        <w:widowControl/>
        <w:jc w:val="center"/>
        <w:rPr>
          <w:rFonts w:eastAsia="方正小标宋简体"/>
          <w:b/>
          <w:kern w:val="0"/>
          <w:sz w:val="72"/>
          <w:szCs w:val="72"/>
        </w:rPr>
      </w:pPr>
      <w:r>
        <w:rPr>
          <w:rFonts w:hint="eastAsia" w:eastAsia="方正小标宋简体"/>
          <w:b/>
          <w:kern w:val="0"/>
          <w:sz w:val="72"/>
          <w:szCs w:val="72"/>
        </w:rPr>
        <w:t>评</w:t>
      </w:r>
    </w:p>
    <w:p w14:paraId="13A46A9E">
      <w:pPr>
        <w:widowControl/>
        <w:jc w:val="center"/>
        <w:rPr>
          <w:rFonts w:hint="eastAsia" w:eastAsia="方正小标宋简体"/>
          <w:b/>
          <w:kern w:val="0"/>
          <w:sz w:val="72"/>
          <w:szCs w:val="72"/>
        </w:rPr>
      </w:pPr>
      <w:r>
        <w:rPr>
          <w:rFonts w:hint="eastAsia" w:eastAsia="方正小标宋简体"/>
          <w:b/>
          <w:kern w:val="0"/>
          <w:sz w:val="72"/>
          <w:szCs w:val="72"/>
        </w:rPr>
        <w:t>价</w:t>
      </w:r>
    </w:p>
    <w:p w14:paraId="471B50FB">
      <w:pPr>
        <w:pStyle w:val="2"/>
      </w:pPr>
    </w:p>
    <w:p w14:paraId="20139243">
      <w:pPr>
        <w:widowControl/>
        <w:jc w:val="center"/>
        <w:rPr>
          <w:rFonts w:hint="eastAsia" w:eastAsia="方正小标宋简体"/>
          <w:b/>
          <w:kern w:val="0"/>
          <w:sz w:val="48"/>
          <w:szCs w:val="48"/>
        </w:rPr>
        <w:sectPr>
          <w:footerReference r:id="rId3" w:type="default"/>
          <w:pgSz w:w="11900" w:h="16820"/>
          <w:pgMar w:top="1871" w:right="1417" w:bottom="1616" w:left="1587" w:header="850" w:footer="1304" w:gutter="0"/>
          <w:pgNumType w:fmt="decimal"/>
          <w:cols w:space="0" w:num="1"/>
          <w:rtlGutter w:val="0"/>
          <w:docGrid w:linePitch="0" w:charSpace="0"/>
        </w:sectPr>
      </w:pPr>
      <w:r>
        <w:rPr>
          <w:rFonts w:hint="eastAsia" w:eastAsia="方正小标宋简体"/>
          <w:b/>
          <w:kern w:val="0"/>
          <w:sz w:val="48"/>
          <w:szCs w:val="48"/>
        </w:rPr>
        <w:t>202</w:t>
      </w:r>
      <w:r>
        <w:rPr>
          <w:rFonts w:hint="eastAsia" w:eastAsia="方正小标宋简体"/>
          <w:b/>
          <w:kern w:val="0"/>
          <w:sz w:val="48"/>
          <w:szCs w:val="48"/>
          <w:lang w:val="en-US" w:eastAsia="zh-CN"/>
        </w:rPr>
        <w:t>5</w:t>
      </w:r>
      <w:r>
        <w:rPr>
          <w:rFonts w:hint="eastAsia" w:eastAsia="方正小标宋简体"/>
          <w:b/>
          <w:kern w:val="0"/>
          <w:sz w:val="48"/>
          <w:szCs w:val="48"/>
        </w:rPr>
        <w:t>年</w:t>
      </w:r>
      <w:r>
        <w:rPr>
          <w:rFonts w:hint="eastAsia" w:eastAsia="方正小标宋简体"/>
          <w:b/>
          <w:kern w:val="0"/>
          <w:sz w:val="48"/>
          <w:szCs w:val="48"/>
          <w:lang w:val="en-US" w:eastAsia="zh-CN"/>
        </w:rPr>
        <w:t>11</w:t>
      </w:r>
      <w:r>
        <w:rPr>
          <w:rFonts w:hint="eastAsia" w:eastAsia="方正小标宋简体"/>
          <w:b/>
          <w:kern w:val="0"/>
          <w:sz w:val="48"/>
          <w:szCs w:val="48"/>
        </w:rPr>
        <w:t>月</w:t>
      </w:r>
    </w:p>
    <w:p w14:paraId="47C762E7">
      <w:pPr>
        <w:widowControl/>
        <w:jc w:val="center"/>
        <w:rPr>
          <w:rFonts w:eastAsia="方正小标宋简体"/>
          <w:b/>
          <w:kern w:val="0"/>
          <w:sz w:val="48"/>
          <w:szCs w:val="48"/>
        </w:rPr>
      </w:pPr>
      <w:r>
        <w:rPr>
          <w:rFonts w:hint="eastAsia" w:eastAsia="方正小标宋简体"/>
          <w:b/>
          <w:kern w:val="0"/>
          <w:sz w:val="48"/>
          <w:szCs w:val="48"/>
        </w:rPr>
        <w:t>目</w:t>
      </w:r>
      <w:r>
        <w:rPr>
          <w:rFonts w:hint="eastAsia" w:eastAsia="方正小标宋简体"/>
          <w:b/>
          <w:kern w:val="0"/>
          <w:sz w:val="48"/>
          <w:szCs w:val="48"/>
          <w:lang w:val="en-US" w:eastAsia="zh-CN"/>
        </w:rPr>
        <w:t xml:space="preserve">  </w:t>
      </w:r>
      <w:r>
        <w:rPr>
          <w:rFonts w:hint="eastAsia" w:eastAsia="方正小标宋简体"/>
          <w:b/>
          <w:kern w:val="0"/>
          <w:sz w:val="48"/>
          <w:szCs w:val="48"/>
        </w:rPr>
        <w:t>录</w:t>
      </w:r>
    </w:p>
    <w:p w14:paraId="4D2E5394">
      <w:pPr>
        <w:widowControl/>
        <w:spacing w:line="594" w:lineRule="exact"/>
        <w:jc w:val="center"/>
        <w:rPr>
          <w:rFonts w:eastAsia="方正小标宋简体"/>
          <w:kern w:val="0"/>
          <w:sz w:val="44"/>
          <w:szCs w:val="44"/>
        </w:rPr>
      </w:pPr>
    </w:p>
    <w:p w14:paraId="1FDF1B12">
      <w:pPr>
        <w:widowControl/>
        <w:jc w:val="left"/>
        <w:rPr>
          <w:rFonts w:hint="eastAsia" w:ascii="宋体" w:hAnsi="宋体" w:eastAsia="宋体" w:cs="宋体"/>
          <w:b/>
          <w:bCs/>
          <w:kern w:val="0"/>
          <w:szCs w:val="32"/>
        </w:rPr>
      </w:pPr>
      <w:r>
        <w:rPr>
          <w:rFonts w:hint="eastAsia" w:eastAsia="方正小标宋简体"/>
          <w:kern w:val="0"/>
          <w:szCs w:val="32"/>
        </w:rPr>
        <w:t>1</w:t>
      </w:r>
      <w:r>
        <w:rPr>
          <w:rFonts w:hint="eastAsia" w:ascii="宋体" w:hAnsi="宋体" w:eastAsia="宋体" w:cs="宋体"/>
          <w:b/>
          <w:bCs/>
          <w:kern w:val="0"/>
          <w:szCs w:val="32"/>
        </w:rPr>
        <w:t>、</w:t>
      </w:r>
      <w:r>
        <w:rPr>
          <w:rFonts w:hint="eastAsia" w:ascii="宋体" w:hAnsi="宋体" w:eastAsia="宋体" w:cs="宋体"/>
          <w:b/>
          <w:bCs/>
          <w:kern w:val="0"/>
          <w:szCs w:val="32"/>
          <w:lang w:eastAsia="zh-CN"/>
        </w:rPr>
        <w:t>2024年度部门整体支出绩效报告</w:t>
      </w:r>
    </w:p>
    <w:p w14:paraId="780B587A">
      <w:pPr>
        <w:pStyle w:val="2"/>
      </w:pPr>
    </w:p>
    <w:p w14:paraId="3DE01A39">
      <w:pPr>
        <w:widowControl/>
        <w:jc w:val="left"/>
        <w:rPr>
          <w:rFonts w:ascii="宋体" w:hAnsi="宋体" w:eastAsia="宋体" w:cs="宋体"/>
          <w:b/>
          <w:bCs/>
          <w:kern w:val="0"/>
          <w:szCs w:val="32"/>
        </w:rPr>
      </w:pPr>
      <w:r>
        <w:rPr>
          <w:rFonts w:hint="eastAsia" w:eastAsia="方正小标宋简体"/>
          <w:kern w:val="0"/>
          <w:szCs w:val="32"/>
        </w:rPr>
        <w:t>2</w:t>
      </w:r>
      <w:r>
        <w:rPr>
          <w:rFonts w:hint="eastAsia" w:ascii="宋体" w:hAnsi="宋体" w:eastAsia="宋体" w:cs="宋体"/>
          <w:b/>
          <w:bCs/>
          <w:kern w:val="0"/>
          <w:szCs w:val="32"/>
        </w:rPr>
        <w:t>、</w:t>
      </w:r>
      <w:r>
        <w:rPr>
          <w:rFonts w:hint="eastAsia" w:ascii="宋体" w:hAnsi="宋体" w:eastAsia="宋体" w:cs="宋体"/>
          <w:b/>
          <w:bCs/>
          <w:kern w:val="0"/>
          <w:szCs w:val="32"/>
          <w:lang w:eastAsia="zh-CN"/>
        </w:rPr>
        <w:t>2024年度部门整体支出绩效评价基础数据表</w:t>
      </w:r>
    </w:p>
    <w:p w14:paraId="12F44361">
      <w:pPr>
        <w:pStyle w:val="2"/>
        <w:rPr>
          <w:rFonts w:hint="eastAsia"/>
        </w:rPr>
      </w:pPr>
    </w:p>
    <w:p w14:paraId="09B0C3FC">
      <w:pPr>
        <w:widowControl/>
        <w:jc w:val="left"/>
        <w:rPr>
          <w:rFonts w:ascii="宋体" w:hAnsi="宋体" w:eastAsia="宋体" w:cs="宋体"/>
          <w:b/>
          <w:bCs/>
          <w:kern w:val="0"/>
          <w:szCs w:val="32"/>
        </w:rPr>
      </w:pPr>
      <w:r>
        <w:rPr>
          <w:rFonts w:hint="eastAsia" w:eastAsia="方正小标宋简体"/>
          <w:bCs/>
          <w:kern w:val="0"/>
          <w:szCs w:val="32"/>
        </w:rPr>
        <w:t>3</w:t>
      </w:r>
      <w:r>
        <w:rPr>
          <w:rFonts w:hint="eastAsia" w:ascii="宋体" w:hAnsi="宋体" w:eastAsia="宋体" w:cs="宋体"/>
          <w:b/>
          <w:bCs/>
          <w:kern w:val="0"/>
          <w:szCs w:val="32"/>
        </w:rPr>
        <w:t>、</w:t>
      </w:r>
      <w:r>
        <w:rPr>
          <w:rFonts w:hint="eastAsia" w:ascii="宋体" w:hAnsi="宋体" w:eastAsia="宋体" w:cs="宋体"/>
          <w:b/>
          <w:bCs/>
          <w:kern w:val="0"/>
          <w:szCs w:val="32"/>
          <w:lang w:eastAsia="zh-CN"/>
        </w:rPr>
        <w:t>2024年度部门整体支出绩效自评表</w:t>
      </w:r>
    </w:p>
    <w:p w14:paraId="24A8A384">
      <w:pPr>
        <w:pStyle w:val="2"/>
        <w:rPr>
          <w:rFonts w:hint="eastAsia"/>
        </w:rPr>
      </w:pPr>
    </w:p>
    <w:p w14:paraId="34388C4F">
      <w:pPr>
        <w:widowControl/>
        <w:jc w:val="left"/>
        <w:rPr>
          <w:rFonts w:hint="eastAsia" w:ascii="宋体" w:hAnsi="宋体" w:eastAsia="宋体" w:cs="宋体"/>
          <w:b/>
          <w:bCs/>
          <w:szCs w:val="32"/>
          <w:lang w:eastAsia="zh-CN"/>
        </w:rPr>
      </w:pPr>
      <w:r>
        <w:rPr>
          <w:rFonts w:hint="eastAsia" w:eastAsia="方正小标宋简体"/>
          <w:bCs/>
          <w:kern w:val="0"/>
          <w:szCs w:val="32"/>
        </w:rPr>
        <w:t>4、</w:t>
      </w:r>
      <w:r>
        <w:rPr>
          <w:rFonts w:hint="eastAsia" w:ascii="宋体" w:hAnsi="宋体" w:eastAsia="宋体" w:cs="宋体"/>
          <w:b/>
          <w:bCs/>
          <w:kern w:val="0"/>
          <w:szCs w:val="32"/>
          <w:lang w:eastAsia="zh-CN"/>
        </w:rPr>
        <w:t>2024年度项目支出绩效报告</w:t>
      </w:r>
    </w:p>
    <w:p w14:paraId="490BDD23">
      <w:pPr>
        <w:pStyle w:val="2"/>
      </w:pPr>
    </w:p>
    <w:p w14:paraId="747B2957">
      <w:pPr>
        <w:widowControl/>
        <w:jc w:val="left"/>
        <w:rPr>
          <w:rFonts w:hint="eastAsia" w:ascii="宋体" w:hAnsi="宋体" w:eastAsia="宋体" w:cs="宋体"/>
          <w:b/>
          <w:bCs/>
          <w:kern w:val="0"/>
          <w:szCs w:val="32"/>
          <w:lang w:eastAsia="zh-CN"/>
        </w:rPr>
      </w:pPr>
      <w:r>
        <w:rPr>
          <w:rFonts w:hint="eastAsia" w:ascii="宋体" w:hAnsi="宋体" w:eastAsia="宋体" w:cs="宋体"/>
          <w:b/>
          <w:bCs/>
          <w:kern w:val="0"/>
          <w:szCs w:val="32"/>
        </w:rPr>
        <w:t>5、</w:t>
      </w:r>
      <w:r>
        <w:rPr>
          <w:rFonts w:hint="eastAsia" w:ascii="宋体" w:hAnsi="宋体" w:eastAsia="宋体" w:cs="宋体"/>
          <w:b/>
          <w:bCs/>
          <w:kern w:val="0"/>
          <w:szCs w:val="32"/>
          <w:lang w:eastAsia="zh-CN"/>
        </w:rPr>
        <w:t>桃江县2024年度项目支出绩效自评表</w:t>
      </w:r>
    </w:p>
    <w:p w14:paraId="7016C126">
      <w:pPr>
        <w:pStyle w:val="2"/>
        <w:rPr>
          <w:rFonts w:hint="eastAsia"/>
        </w:rPr>
      </w:pPr>
    </w:p>
    <w:p w14:paraId="31122D99">
      <w:pPr>
        <w:pStyle w:val="2"/>
        <w:rPr>
          <w:rFonts w:ascii="宋体" w:hAnsi="宋体" w:eastAsia="宋体" w:cs="宋体"/>
          <w:b/>
          <w:bCs/>
          <w:kern w:val="0"/>
          <w:szCs w:val="32"/>
        </w:rPr>
      </w:pPr>
    </w:p>
    <w:p w14:paraId="7148101B"/>
    <w:p w14:paraId="398FCF25">
      <w:pPr>
        <w:pStyle w:val="2"/>
      </w:pPr>
    </w:p>
    <w:p w14:paraId="27BAB162"/>
    <w:p w14:paraId="742F35E5">
      <w:pPr>
        <w:spacing w:line="594" w:lineRule="exact"/>
        <w:jc w:val="left"/>
        <w:rPr>
          <w:rFonts w:eastAsia="黑体"/>
          <w:bCs/>
          <w:kern w:val="0"/>
          <w:szCs w:val="32"/>
        </w:rPr>
      </w:pPr>
    </w:p>
    <w:p w14:paraId="307253C5">
      <w:pPr>
        <w:spacing w:line="594" w:lineRule="exact"/>
        <w:jc w:val="left"/>
        <w:rPr>
          <w:rFonts w:hint="default" w:ascii="Times New Roman" w:hAnsi="Times New Roman" w:eastAsia="黑体" w:cs="Times New Roman"/>
          <w:bCs/>
          <w:kern w:val="0"/>
          <w:szCs w:val="32"/>
        </w:rPr>
      </w:pPr>
    </w:p>
    <w:p w14:paraId="7E8C28B2">
      <w:pPr>
        <w:spacing w:line="594" w:lineRule="exact"/>
        <w:jc w:val="left"/>
        <w:rPr>
          <w:rFonts w:hint="default" w:ascii="Times New Roman" w:hAnsi="Times New Roman" w:eastAsia="黑体" w:cs="Times New Roman"/>
          <w:bCs/>
          <w:kern w:val="0"/>
          <w:szCs w:val="32"/>
        </w:rPr>
      </w:pPr>
    </w:p>
    <w:p w14:paraId="3D131A16">
      <w:pPr>
        <w:spacing w:line="594" w:lineRule="exact"/>
        <w:jc w:val="left"/>
        <w:rPr>
          <w:rFonts w:hint="default" w:ascii="Times New Roman" w:hAnsi="Times New Roman" w:eastAsia="黑体" w:cs="Times New Roman"/>
          <w:bCs/>
          <w:kern w:val="0"/>
          <w:szCs w:val="32"/>
        </w:rPr>
      </w:pPr>
    </w:p>
    <w:p w14:paraId="4F820196">
      <w:pPr>
        <w:spacing w:line="594" w:lineRule="exact"/>
        <w:jc w:val="left"/>
        <w:rPr>
          <w:rFonts w:hint="default" w:ascii="Times New Roman" w:hAnsi="Times New Roman" w:eastAsia="黑体" w:cs="Times New Roman"/>
          <w:bCs/>
          <w:kern w:val="0"/>
          <w:szCs w:val="32"/>
        </w:rPr>
      </w:pPr>
    </w:p>
    <w:p w14:paraId="630CF4BC">
      <w:pPr>
        <w:spacing w:line="594" w:lineRule="exact"/>
        <w:jc w:val="left"/>
        <w:rPr>
          <w:rFonts w:hint="default" w:ascii="Times New Roman" w:hAnsi="Times New Roman" w:eastAsia="黑体" w:cs="Times New Roman"/>
          <w:bCs/>
          <w:kern w:val="0"/>
          <w:szCs w:val="32"/>
        </w:rPr>
      </w:pPr>
    </w:p>
    <w:p w14:paraId="571D987C">
      <w:pPr>
        <w:spacing w:line="594" w:lineRule="exact"/>
        <w:jc w:val="left"/>
        <w:rPr>
          <w:rFonts w:hint="default" w:ascii="Times New Roman" w:hAnsi="Times New Roman" w:eastAsia="黑体" w:cs="Times New Roman"/>
          <w:bCs/>
          <w:kern w:val="0"/>
          <w:szCs w:val="32"/>
        </w:rPr>
      </w:pPr>
    </w:p>
    <w:p w14:paraId="161145AA">
      <w:pPr>
        <w:spacing w:line="594" w:lineRule="exact"/>
        <w:jc w:val="left"/>
        <w:rPr>
          <w:rFonts w:hint="default" w:ascii="Times New Roman" w:hAnsi="Times New Roman" w:eastAsia="黑体" w:cs="Times New Roman"/>
          <w:bCs/>
          <w:kern w:val="0"/>
          <w:szCs w:val="32"/>
        </w:rPr>
      </w:pPr>
    </w:p>
    <w:p w14:paraId="7A66C26C">
      <w:pPr>
        <w:spacing w:line="594" w:lineRule="exact"/>
        <w:jc w:val="left"/>
        <w:rPr>
          <w:rFonts w:hint="default" w:ascii="Times New Roman" w:hAnsi="Times New Roman" w:eastAsia="黑体" w:cs="Times New Roman"/>
          <w:bCs/>
          <w:kern w:val="0"/>
          <w:szCs w:val="32"/>
        </w:rPr>
      </w:pPr>
    </w:p>
    <w:p w14:paraId="2F230D45">
      <w:pPr>
        <w:spacing w:line="594" w:lineRule="exact"/>
        <w:jc w:val="left"/>
        <w:rPr>
          <w:rFonts w:hint="default" w:ascii="Times New Roman" w:hAnsi="Times New Roman" w:eastAsia="黑体" w:cs="Times New Roman"/>
          <w:bCs/>
          <w:kern w:val="0"/>
          <w:szCs w:val="32"/>
        </w:rPr>
      </w:pPr>
    </w:p>
    <w:p w14:paraId="15CF254C">
      <w:pPr>
        <w:spacing w:line="594" w:lineRule="exact"/>
        <w:jc w:val="left"/>
        <w:rPr>
          <w:rFonts w:hint="default" w:ascii="Times New Roman" w:hAnsi="Times New Roman" w:eastAsia="黑体" w:cs="Times New Roman"/>
          <w:bCs/>
          <w:kern w:val="0"/>
          <w:szCs w:val="32"/>
        </w:rPr>
        <w:sectPr>
          <w:footerReference r:id="rId4" w:type="default"/>
          <w:pgSz w:w="11900" w:h="16820"/>
          <w:pgMar w:top="1871" w:right="1417" w:bottom="1616" w:left="1587" w:header="850" w:footer="1304" w:gutter="0"/>
          <w:pgNumType w:fmt="decimal" w:start="1"/>
          <w:cols w:space="0" w:num="1"/>
          <w:rtlGutter w:val="0"/>
          <w:docGrid w:linePitch="0" w:charSpace="0"/>
        </w:sectPr>
      </w:pPr>
    </w:p>
    <w:p w14:paraId="0989E6D1">
      <w:pPr>
        <w:spacing w:line="594" w:lineRule="exact"/>
        <w:jc w:val="left"/>
        <w:rPr>
          <w:rFonts w:hint="eastAsia" w:ascii="Times New Roman" w:hAnsi="Times New Roman" w:eastAsia="黑体" w:cs="Times New Roman"/>
          <w:bCs/>
          <w:kern w:val="0"/>
          <w:szCs w:val="32"/>
          <w:lang w:val="en-US" w:eastAsia="zh-CN"/>
        </w:rPr>
      </w:pPr>
      <w:r>
        <w:rPr>
          <w:rFonts w:hint="default" w:ascii="Times New Roman" w:hAnsi="Times New Roman" w:eastAsia="黑体" w:cs="Times New Roman"/>
          <w:bCs/>
          <w:kern w:val="0"/>
          <w:szCs w:val="32"/>
        </w:rPr>
        <w:t>附件</w:t>
      </w:r>
      <w:bookmarkEnd w:id="0"/>
      <w:r>
        <w:rPr>
          <w:rFonts w:hint="eastAsia" w:eastAsia="黑体" w:cs="Times New Roman"/>
          <w:bCs/>
          <w:kern w:val="0"/>
          <w:szCs w:val="32"/>
          <w:lang w:val="en-US" w:eastAsia="zh-CN"/>
        </w:rPr>
        <w:t>1</w:t>
      </w:r>
    </w:p>
    <w:p w14:paraId="39E21461">
      <w:pPr>
        <w:spacing w:line="594"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202</w:t>
      </w:r>
      <w:r>
        <w:rPr>
          <w:rFonts w:hint="eastAsia" w:eastAsia="方正小标宋简体" w:cs="Times New Roman"/>
          <w:kern w:val="0"/>
          <w:sz w:val="44"/>
          <w:szCs w:val="44"/>
          <w:lang w:val="en-US" w:eastAsia="zh-CN"/>
        </w:rPr>
        <w:t>4</w:t>
      </w:r>
      <w:r>
        <w:rPr>
          <w:rFonts w:hint="default" w:ascii="Times New Roman" w:hAnsi="Times New Roman" w:eastAsia="方正小标宋简体" w:cs="Times New Roman"/>
          <w:kern w:val="0"/>
          <w:sz w:val="44"/>
          <w:szCs w:val="44"/>
        </w:rPr>
        <w:t>年度部门整体支出绩效报告</w:t>
      </w:r>
    </w:p>
    <w:p w14:paraId="0AC148DB">
      <w:pPr>
        <w:spacing w:line="594" w:lineRule="exact"/>
        <w:jc w:val="left"/>
        <w:rPr>
          <w:rFonts w:hint="default" w:ascii="Times New Roman" w:hAnsi="Times New Roman" w:cs="Times New Roman"/>
          <w:kern w:val="0"/>
          <w:szCs w:val="32"/>
        </w:rPr>
      </w:pPr>
    </w:p>
    <w:p w14:paraId="1A3F61DF">
      <w:pPr>
        <w:spacing w:line="594" w:lineRule="exact"/>
        <w:ind w:firstLine="640" w:firstLineChars="200"/>
        <w:rPr>
          <w:rFonts w:hint="default" w:ascii="Times New Roman" w:hAnsi="Times New Roman" w:eastAsia="黑体" w:cs="Times New Roman"/>
          <w:kern w:val="0"/>
          <w:szCs w:val="32"/>
        </w:rPr>
      </w:pPr>
      <w:r>
        <w:rPr>
          <w:rFonts w:hint="default" w:ascii="Times New Roman" w:hAnsi="Times New Roman" w:eastAsia="黑体" w:cs="Times New Roman"/>
          <w:bCs/>
          <w:kern w:val="0"/>
          <w:szCs w:val="32"/>
        </w:rPr>
        <w:t xml:space="preserve"> 一、部门概况</w:t>
      </w:r>
    </w:p>
    <w:p w14:paraId="7B999504">
      <w:pPr>
        <w:spacing w:line="594" w:lineRule="exact"/>
        <w:ind w:firstLine="643" w:firstLineChars="200"/>
        <w:rPr>
          <w:rFonts w:hint="default" w:ascii="Times New Roman" w:hAnsi="Times New Roman" w:cs="Times New Roman"/>
          <w:b/>
          <w:bCs/>
          <w:kern w:val="0"/>
          <w:szCs w:val="32"/>
        </w:rPr>
      </w:pPr>
      <w:r>
        <w:rPr>
          <w:rFonts w:hint="default" w:ascii="Times New Roman" w:hAnsi="Times New Roman" w:cs="Times New Roman"/>
          <w:b/>
          <w:bCs/>
          <w:kern w:val="0"/>
          <w:szCs w:val="32"/>
        </w:rPr>
        <w:t>（一）部门基本情况</w:t>
      </w:r>
    </w:p>
    <w:p w14:paraId="6EC1989B">
      <w:pPr>
        <w:numPr>
          <w:ilvl w:val="0"/>
          <w:numId w:val="1"/>
        </w:numPr>
        <w:snapToGrid w:val="0"/>
        <w:spacing w:line="520" w:lineRule="exact"/>
        <w:ind w:left="6" w:leftChars="0" w:firstLine="640" w:firstLineChars="0"/>
        <w:rPr>
          <w:rFonts w:hint="default" w:ascii="Times New Roman" w:hAnsi="Times New Roman" w:eastAsia="仿宋_GB2312" w:cs="Times New Roman"/>
          <w:b/>
          <w:bCs/>
          <w:kern w:val="0"/>
          <w:szCs w:val="32"/>
          <w:lang w:val="en-US" w:eastAsia="zh-CN"/>
        </w:rPr>
      </w:pPr>
      <w:r>
        <w:rPr>
          <w:rFonts w:hint="default" w:ascii="Times New Roman" w:hAnsi="Times New Roman" w:eastAsia="仿宋_GB2312" w:cs="Times New Roman"/>
          <w:b/>
          <w:bCs/>
          <w:kern w:val="0"/>
          <w:szCs w:val="32"/>
          <w:lang w:val="en-US" w:eastAsia="zh-CN"/>
        </w:rPr>
        <w:t>部门机构设置及人员情况</w:t>
      </w:r>
    </w:p>
    <w:p w14:paraId="25076E18">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桃江县竹产业发展服务中心位于桃江县桃花江镇谷山路351号，为正科级公益一类事业单位。内设综合股（办公室）、发展规划股、科技服务股、项目建设股、宣传推广股五个股室。现有在职干职工</w:t>
      </w:r>
      <w:r>
        <w:rPr>
          <w:rFonts w:hint="eastAsia" w:cs="Times New Roman"/>
          <w:kern w:val="0"/>
          <w:szCs w:val="32"/>
          <w:lang w:val="en-US" w:eastAsia="zh-CN"/>
        </w:rPr>
        <w:t>18</w:t>
      </w:r>
      <w:r>
        <w:rPr>
          <w:rFonts w:hint="default" w:ascii="Times New Roman" w:hAnsi="Times New Roman" w:cs="Times New Roman"/>
          <w:kern w:val="0"/>
          <w:szCs w:val="32"/>
          <w:lang w:val="en-US" w:eastAsia="zh-CN"/>
        </w:rPr>
        <w:t>人，编办安排财政全额拨款人数25人。</w:t>
      </w:r>
    </w:p>
    <w:p w14:paraId="7A20AADE">
      <w:pPr>
        <w:numPr>
          <w:ilvl w:val="0"/>
          <w:numId w:val="1"/>
        </w:numPr>
        <w:snapToGrid w:val="0"/>
        <w:spacing w:line="520" w:lineRule="exact"/>
        <w:ind w:left="6" w:leftChars="0" w:firstLine="640" w:firstLineChars="0"/>
        <w:rPr>
          <w:rFonts w:hint="default" w:ascii="Times New Roman" w:hAnsi="Times New Roman" w:eastAsia="仿宋_GB2312" w:cs="Times New Roman"/>
          <w:b/>
          <w:bCs/>
          <w:kern w:val="0"/>
          <w:szCs w:val="32"/>
          <w:lang w:val="en-US" w:eastAsia="zh-CN"/>
        </w:rPr>
      </w:pPr>
      <w:r>
        <w:rPr>
          <w:rFonts w:hint="default" w:ascii="Times New Roman" w:hAnsi="Times New Roman" w:eastAsia="仿宋_GB2312" w:cs="Times New Roman"/>
          <w:b/>
          <w:bCs/>
          <w:kern w:val="0"/>
          <w:szCs w:val="32"/>
          <w:lang w:val="en-US" w:eastAsia="zh-CN"/>
        </w:rPr>
        <w:t>部门主要职能</w:t>
      </w:r>
    </w:p>
    <w:p w14:paraId="63AC2894">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（1）负责编制全县竹旅文体康产业融合发展规划，研究制定产业发展的政策、奖励办法和管理制度，经审批同意后组织实施。</w:t>
      </w:r>
    </w:p>
    <w:p w14:paraId="5E41EF55">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（2）负责全县竹旅文体康产业融合发展的指导、调度、督查、考核、奖励等工作，制定年度工作要点，统筹协调解决产业融合发展中的重大问题，促进产业有序健康发展。</w:t>
      </w:r>
    </w:p>
    <w:p w14:paraId="2495201F">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3）负责全县竹旅文体康产业融合发展的形象宣传推介、对外交流和咨询服务，制定对外宣传方案。负责竹旅文体康产业公共品牌商标的管理，组织制订品牌发展规划和品牌宣传推广规范，指导维护企业品牌权益。负责全县竹旅文体康产业融合发展重大活动的策划、组织、协调、推进工作。</w:t>
      </w:r>
    </w:p>
    <w:p w14:paraId="7AB27FFD">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4）负责指导全县笋竹产业基地和竹林道建设，培育优质高产笋竹产业基地；负责产学研对接，发挥竹旅文体康专家顾问团队的指导作用；负责提供笋竹产业技术、信息服务，开展专业技术知识培训、竹林经营培育及施肥技术研究，组织开展土壤及竹产品检测。</w:t>
      </w:r>
    </w:p>
    <w:p w14:paraId="647154F2">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（5）负责指导竹旅文体康行业协会规范化建设，对专业技术推广机构和群众性、专业性组织进行工作指导。</w:t>
      </w:r>
    </w:p>
    <w:p w14:paraId="42D5D024">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（6）负责规范全县笋竹产业种植、开发、市场流通等行为，引导创新产品的研发。</w:t>
      </w:r>
    </w:p>
    <w:p w14:paraId="576485B1">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（7）负责指导全县以竹为媒的生态旅游、乡村旅游、红色旅游发展和A级景区创建工作，引导企业开发旅游产品。</w:t>
      </w:r>
    </w:p>
    <w:p w14:paraId="2346F59A">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8）负责指导落实全县竹旅文体康产业融合发展产业链的招商引资工作；协调推进全县竹旅文体康产业融合发展重点项目的实施；负责督促落实竹旅文体康产业项目申报的部门联合会商机制，配合各部门做好立项争资工作。</w:t>
      </w:r>
    </w:p>
    <w:p w14:paraId="60E99934">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（9）配合相关部门做好竹产业发展突发事件的应急处置工作。</w:t>
      </w:r>
    </w:p>
    <w:p w14:paraId="2CF28833">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（10）完成县委、县政府交办的其他任务。</w:t>
      </w:r>
    </w:p>
    <w:p w14:paraId="768B01C9">
      <w:pPr>
        <w:numPr>
          <w:ilvl w:val="0"/>
          <w:numId w:val="1"/>
        </w:numPr>
        <w:snapToGrid w:val="0"/>
        <w:spacing w:line="520" w:lineRule="exact"/>
        <w:ind w:left="6" w:leftChars="0" w:firstLine="640" w:firstLineChars="0"/>
        <w:rPr>
          <w:rFonts w:hint="default" w:ascii="Times New Roman" w:hAnsi="Times New Roman" w:eastAsia="仿宋_GB2312" w:cs="Times New Roman"/>
          <w:b/>
          <w:bCs/>
          <w:kern w:val="0"/>
          <w:szCs w:val="32"/>
          <w:lang w:val="en-US" w:eastAsia="zh-CN"/>
        </w:rPr>
      </w:pPr>
      <w:r>
        <w:rPr>
          <w:rFonts w:hint="default" w:ascii="Times New Roman" w:hAnsi="Times New Roman" w:eastAsia="仿宋_GB2312" w:cs="Times New Roman"/>
          <w:b/>
          <w:bCs/>
          <w:kern w:val="0"/>
          <w:szCs w:val="32"/>
          <w:lang w:val="en-US" w:eastAsia="zh-CN"/>
        </w:rPr>
        <w:t>202</w:t>
      </w:r>
      <w:r>
        <w:rPr>
          <w:rFonts w:hint="eastAsia" w:cs="Times New Roman"/>
          <w:b/>
          <w:bCs/>
          <w:kern w:val="0"/>
          <w:szCs w:val="32"/>
          <w:lang w:val="en-US" w:eastAsia="zh-CN"/>
        </w:rPr>
        <w:t>4</w:t>
      </w:r>
      <w:r>
        <w:rPr>
          <w:rFonts w:hint="default" w:ascii="Times New Roman" w:hAnsi="Times New Roman" w:eastAsia="仿宋_GB2312" w:cs="Times New Roman"/>
          <w:b/>
          <w:bCs/>
          <w:kern w:val="0"/>
          <w:szCs w:val="32"/>
          <w:lang w:val="en-US" w:eastAsia="zh-CN"/>
        </w:rPr>
        <w:t>年工作重点</w:t>
      </w:r>
    </w:p>
    <w:p w14:paraId="625845AB">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cs="Times New Roman"/>
          <w:kern w:val="0"/>
          <w:szCs w:val="32"/>
          <w:lang w:val="en-US" w:eastAsia="zh-CN"/>
        </w:rPr>
      </w:pPr>
      <w:r>
        <w:rPr>
          <w:rFonts w:ascii="Times New Roman" w:hAnsi="Times New Roman" w:eastAsia="仿宋_GB2312"/>
          <w:color w:val="auto"/>
          <w:sz w:val="32"/>
          <w:szCs w:val="32"/>
          <w:lang w:val="en-US" w:eastAsia="zh-CN"/>
        </w:rPr>
        <w:t>按照</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做优一产</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做强二产</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做活三产</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lang w:val="en-US" w:eastAsia="zh-CN"/>
        </w:rPr>
        <w:t>的工作思路</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推动笋竹资源持续提质增效、笋竹产业持续提能升级、竹旅文体康产业持续融合创新，</w:t>
      </w:r>
      <w:r>
        <w:rPr>
          <w:rFonts w:ascii="Times New Roman" w:hAnsi="Times New Roman" w:eastAsia="仿宋_GB2312"/>
          <w:color w:val="auto"/>
          <w:sz w:val="32"/>
          <w:szCs w:val="32"/>
        </w:rPr>
        <w:t>打造绿色</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优质</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协同</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高效产业链群，实现</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产业融合增效</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城乡风貌增色</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竹农致富增收</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社会文明增信</w:t>
      </w:r>
      <w:r>
        <w:rPr>
          <w:rFonts w:ascii="Times New Roman" w:hAnsi="Times New Roman" w:eastAsia="仿宋_GB2312"/>
          <w:color w:val="auto"/>
          <w:sz w:val="32"/>
          <w:szCs w:val="32"/>
          <w:lang w:eastAsia="zh-CN"/>
        </w:rPr>
        <w:t>、</w:t>
      </w:r>
      <w:r>
        <w:rPr>
          <w:rFonts w:ascii="Times New Roman" w:hAnsi="Times New Roman" w:eastAsia="仿宋_GB2312"/>
          <w:color w:val="auto"/>
          <w:sz w:val="32"/>
          <w:szCs w:val="32"/>
        </w:rPr>
        <w:t>人民生活增彩</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，让竹</w:t>
      </w:r>
      <w:r>
        <w:rPr>
          <w:rFonts w:hint="eastAsia" w:ascii="Times New Roman" w:hAnsi="Times New Roman" w:eastAsia="仿宋_GB2312"/>
          <w:color w:val="auto"/>
          <w:sz w:val="32"/>
          <w:szCs w:val="32"/>
          <w:lang w:eastAsia="zh-CN"/>
        </w:rPr>
        <w:t>更好地服务</w:t>
      </w:r>
      <w:r>
        <w:rPr>
          <w:rFonts w:ascii="Times New Roman" w:hAnsi="Times New Roman" w:eastAsia="仿宋_GB2312"/>
          <w:color w:val="auto"/>
          <w:sz w:val="32"/>
          <w:szCs w:val="32"/>
        </w:rPr>
        <w:t>经济高质量发展和人民高品质生活。</w:t>
      </w:r>
    </w:p>
    <w:p w14:paraId="361C9136">
      <w:pPr>
        <w:keepNext w:val="0"/>
        <w:keepLines w:val="0"/>
        <w:pageBreakBefore w:val="0"/>
        <w:numPr>
          <w:ilvl w:val="0"/>
          <w:numId w:val="2"/>
        </w:numPr>
        <w:kinsoku/>
        <w:wordWrap/>
        <w:topLinePunct w:val="0"/>
        <w:autoSpaceDN/>
        <w:bidi w:val="0"/>
        <w:adjustRightInd/>
        <w:snapToGrid/>
        <w:spacing w:line="594" w:lineRule="atLeast"/>
        <w:ind w:left="0" w:leftChars="0" w:firstLine="640" w:firstLineChars="200"/>
        <w:textAlignment w:val="auto"/>
        <w:rPr>
          <w:rFonts w:hint="default"/>
          <w:lang w:val="en-US" w:eastAsia="zh-CN"/>
        </w:rPr>
      </w:pPr>
      <w:r>
        <w:rPr>
          <w:rFonts w:hint="eastAsia" w:ascii="Times New Roman" w:hAnsi="Times New Roman" w:eastAsia="仿宋_GB2312" w:cs="Times New Roman"/>
          <w:color w:val="auto"/>
          <w:kern w:val="2"/>
          <w:sz w:val="32"/>
          <w:szCs w:val="32"/>
          <w:lang w:val="en-US" w:eastAsia="zh-CN" w:bidi="ar-SA"/>
        </w:rPr>
        <w:t>以更强决心做优一产。聚焦将资源培优、竹林用好，促推发展效益提升、人民群众增收，持续加大稳产高效新型竹林经营主体培育力度，积极推进竹林规模流转和规模经营，新建林道</w:t>
      </w:r>
      <w:r>
        <w:rPr>
          <w:rFonts w:ascii="Times New Roman" w:hAnsi="Times New Roman" w:eastAsia="仿宋_GB2312" w:cs="Times New Roman"/>
          <w:color w:val="auto"/>
          <w:kern w:val="2"/>
          <w:sz w:val="32"/>
          <w:szCs w:val="32"/>
          <w:lang w:val="en-US" w:eastAsia="zh-CN" w:bidi="ar-SA"/>
        </w:rPr>
        <w:t>400</w:t>
      </w:r>
      <w:r>
        <w:rPr>
          <w:rFonts w:hint="eastAsia" w:ascii="Times New Roman" w:hAnsi="Times New Roman" w:eastAsia="仿宋_GB2312" w:cs="Times New Roman"/>
          <w:color w:val="auto"/>
          <w:kern w:val="2"/>
          <w:sz w:val="32"/>
          <w:szCs w:val="32"/>
          <w:lang w:val="en-US" w:eastAsia="zh-CN" w:bidi="ar-SA"/>
        </w:rPr>
        <w:t>公里、发展笋竹两用林基地</w:t>
      </w:r>
      <w:r>
        <w:rPr>
          <w:rFonts w:ascii="Times New Roman" w:hAnsi="Times New Roman" w:eastAsia="仿宋_GB2312" w:cs="Times New Roman"/>
          <w:color w:val="auto"/>
          <w:kern w:val="2"/>
          <w:sz w:val="32"/>
          <w:szCs w:val="32"/>
          <w:lang w:val="en-US" w:eastAsia="zh-CN" w:bidi="ar-SA"/>
        </w:rPr>
        <w:t>3000</w:t>
      </w:r>
      <w:r>
        <w:rPr>
          <w:rFonts w:hint="eastAsia" w:ascii="Times New Roman" w:hAnsi="Times New Roman" w:eastAsia="仿宋_GB2312" w:cs="Times New Roman"/>
          <w:color w:val="auto"/>
          <w:kern w:val="2"/>
          <w:sz w:val="32"/>
          <w:szCs w:val="32"/>
          <w:lang w:val="en-US" w:eastAsia="zh-CN" w:bidi="ar-SA"/>
        </w:rPr>
        <w:t>亩以上，重点培育</w:t>
      </w:r>
      <w:r>
        <w:rPr>
          <w:rFonts w:ascii="Times New Roman" w:hAnsi="Times New Roman" w:eastAsia="仿宋_GB2312" w:cs="Times New Roman"/>
          <w:color w:val="auto"/>
          <w:kern w:val="2"/>
          <w:sz w:val="32"/>
          <w:szCs w:val="32"/>
          <w:lang w:val="en-US" w:eastAsia="zh-CN" w:bidi="ar-SA"/>
        </w:rPr>
        <w:t>10</w:t>
      </w:r>
      <w:r>
        <w:rPr>
          <w:rFonts w:hint="eastAsia" w:ascii="Times New Roman" w:hAnsi="Times New Roman" w:eastAsia="仿宋_GB2312" w:cs="Times New Roman"/>
          <w:color w:val="auto"/>
          <w:kern w:val="2"/>
          <w:sz w:val="32"/>
          <w:szCs w:val="32"/>
          <w:lang w:val="en-US" w:eastAsia="zh-CN" w:bidi="ar-SA"/>
        </w:rPr>
        <w:t>个以上优质示范基地，稳步带动全县竹林基地系统提升。全力打赢竹蝗、竹青虫防治攻坚战，继续支持采笋伐竹专业队伍建设和竹种质资源保护基地建设，全面引导科学育笋采笋、培竹伐竹，提升竹材、竹笋品质。支持竹笋重点加工企业加快发展壮大，构建企业与村级集体、农户联合收笋、榨笋新模式，形成稳定供销链，实现鲜笋产量</w:t>
      </w:r>
      <w:r>
        <w:rPr>
          <w:rFonts w:ascii="Times New Roman" w:hAnsi="Times New Roman" w:eastAsia="仿宋_GB2312" w:cs="Times New Roman"/>
          <w:color w:val="auto"/>
          <w:kern w:val="2"/>
          <w:sz w:val="32"/>
          <w:szCs w:val="32"/>
          <w:lang w:val="en-US" w:eastAsia="zh-CN" w:bidi="ar-SA"/>
        </w:rPr>
        <w:t xml:space="preserve"> 1.8 </w:t>
      </w:r>
      <w:r>
        <w:rPr>
          <w:rFonts w:hint="eastAsia" w:ascii="Times New Roman" w:hAnsi="Times New Roman" w:eastAsia="仿宋_GB2312" w:cs="Times New Roman"/>
          <w:color w:val="auto"/>
          <w:kern w:val="2"/>
          <w:sz w:val="32"/>
          <w:szCs w:val="32"/>
          <w:lang w:val="en-US" w:eastAsia="zh-CN" w:bidi="ar-SA"/>
        </w:rPr>
        <w:t>亿斤以上。探索建立“两山”银行，大力发展竹下种养复合经营新模式，新发展复合种养基地</w:t>
      </w:r>
      <w:r>
        <w:rPr>
          <w:rFonts w:ascii="Times New Roman" w:hAnsi="Times New Roman" w:eastAsia="仿宋_GB2312" w:cs="Times New Roman"/>
          <w:color w:val="auto"/>
          <w:kern w:val="2"/>
          <w:sz w:val="32"/>
          <w:szCs w:val="32"/>
          <w:lang w:val="en-US" w:eastAsia="zh-CN" w:bidi="ar-SA"/>
        </w:rPr>
        <w:t xml:space="preserve"> 300 </w:t>
      </w:r>
      <w:r>
        <w:rPr>
          <w:rFonts w:hint="eastAsia" w:ascii="Times New Roman" w:hAnsi="Times New Roman" w:eastAsia="仿宋_GB2312" w:cs="Times New Roman"/>
          <w:color w:val="auto"/>
          <w:kern w:val="2"/>
          <w:sz w:val="32"/>
          <w:szCs w:val="32"/>
          <w:lang w:val="en-US" w:eastAsia="zh-CN" w:bidi="ar-SA"/>
        </w:rPr>
        <w:t>亩以上。</w:t>
      </w:r>
    </w:p>
    <w:p w14:paraId="14BEBC39">
      <w:pPr>
        <w:keepNext w:val="0"/>
        <w:keepLines w:val="0"/>
        <w:pageBreakBefore w:val="0"/>
        <w:numPr>
          <w:ilvl w:val="0"/>
          <w:numId w:val="2"/>
        </w:numPr>
        <w:kinsoku/>
        <w:wordWrap/>
        <w:topLinePunct w:val="0"/>
        <w:autoSpaceDN/>
        <w:bidi w:val="0"/>
        <w:adjustRightInd/>
        <w:snapToGrid/>
        <w:spacing w:line="594" w:lineRule="atLeast"/>
        <w:ind w:left="0" w:leftChars="0" w:firstLine="640" w:firstLineChars="200"/>
        <w:textAlignment w:val="auto"/>
        <w:rPr>
          <w:rFonts w:ascii="Times New Roman" w:hAnsi="仿宋_GB2312" w:eastAsia="仿宋_GB2312"/>
          <w:spacing w:val="0"/>
          <w:sz w:val="32"/>
          <w:szCs w:val="32"/>
        </w:rPr>
      </w:pPr>
      <w:r>
        <w:rPr>
          <w:rFonts w:hint="eastAsia" w:ascii="Times New Roman" w:hAnsi="仿宋_GB2312" w:eastAsia="仿宋_GB2312" w:cs="Times New Roman"/>
          <w:spacing w:val="0"/>
          <w:sz w:val="32"/>
          <w:szCs w:val="32"/>
        </w:rPr>
        <w:t>以更大力度做强二产。</w:t>
      </w:r>
      <w:r>
        <w:rPr>
          <w:rFonts w:hint="eastAsia" w:ascii="Times New Roman" w:hAnsi="仿宋_GB2312" w:eastAsia="仿宋_GB2312"/>
          <w:spacing w:val="0"/>
          <w:sz w:val="32"/>
          <w:szCs w:val="32"/>
        </w:rPr>
        <w:t>突出项目、科创“双轮驱动”，培强园区、产品“双向支撑”，实现竹业综合产值增长</w:t>
      </w:r>
      <w:r>
        <w:rPr>
          <w:rFonts w:ascii="Times New Roman" w:hAnsi="仿宋_GB2312" w:eastAsia="仿宋_GB2312"/>
          <w:spacing w:val="0"/>
          <w:sz w:val="32"/>
          <w:szCs w:val="32"/>
        </w:rPr>
        <w:t xml:space="preserve"> 8%</w:t>
      </w:r>
      <w:r>
        <w:rPr>
          <w:rFonts w:hint="eastAsia" w:ascii="Times New Roman" w:hAnsi="仿宋_GB2312" w:eastAsia="仿宋_GB2312"/>
          <w:spacing w:val="0"/>
          <w:sz w:val="32"/>
          <w:szCs w:val="32"/>
        </w:rPr>
        <w:t>以上。科学布局“一园五区多点”的笋竹加工体系，支持乡镇初级加工区扩容提质，加快建设更为精深高效、绿色循环的全竹利用体系，全力打造国家级生态竹木制造产业集群。抢抓“以竹代塑”新趋势，创造条件全力招大引强、招新引精，力争新引进笋竹加工利用项目</w:t>
      </w:r>
      <w:r>
        <w:rPr>
          <w:rFonts w:ascii="Times New Roman" w:hAnsi="仿宋_GB2312" w:eastAsia="仿宋_GB2312"/>
          <w:spacing w:val="0"/>
          <w:sz w:val="32"/>
          <w:szCs w:val="32"/>
        </w:rPr>
        <w:t>10</w:t>
      </w:r>
      <w:r>
        <w:rPr>
          <w:rFonts w:hint="eastAsia" w:ascii="Times New Roman" w:hAnsi="仿宋_GB2312" w:eastAsia="仿宋_GB2312"/>
          <w:spacing w:val="0"/>
          <w:sz w:val="32"/>
          <w:szCs w:val="32"/>
        </w:rPr>
        <w:t>个以上（投资过亿元项目</w:t>
      </w:r>
      <w:r>
        <w:rPr>
          <w:rFonts w:ascii="Times New Roman" w:hAnsi="仿宋_GB2312" w:eastAsia="仿宋_GB2312"/>
          <w:spacing w:val="0"/>
          <w:sz w:val="32"/>
          <w:szCs w:val="32"/>
        </w:rPr>
        <w:t>2</w:t>
      </w:r>
      <w:r>
        <w:rPr>
          <w:rFonts w:hint="eastAsia" w:ascii="Times New Roman" w:hAnsi="仿宋_GB2312" w:eastAsia="仿宋_GB2312"/>
          <w:spacing w:val="0"/>
          <w:sz w:val="32"/>
          <w:szCs w:val="32"/>
        </w:rPr>
        <w:t>个以上）、</w:t>
      </w:r>
      <w:r>
        <w:rPr>
          <w:rFonts w:ascii="Times New Roman" w:hAnsi="仿宋_GB2312" w:eastAsia="仿宋_GB2312"/>
          <w:spacing w:val="0"/>
          <w:sz w:val="32"/>
          <w:szCs w:val="32"/>
        </w:rPr>
        <w:t>1-2</w:t>
      </w:r>
      <w:r>
        <w:rPr>
          <w:rFonts w:hint="eastAsia" w:ascii="Times New Roman" w:hAnsi="仿宋_GB2312" w:eastAsia="仿宋_GB2312"/>
          <w:spacing w:val="0"/>
          <w:sz w:val="32"/>
          <w:szCs w:val="32"/>
        </w:rPr>
        <w:t>家全国有影响力的龙头企业，确保竹芝实业、鑫茂竹业、扶竹科技、钜亿二期、竹材科技四期等项目建成投产。积极争取省竹产业研究院落户桃江，加强产业发展基础性、关键性、创新性问题科技攻关，大力推动笋竹产品创新、技术革新，狠抓品牌培育，努力打造更具核心竞争力、全国影响力的桃江笋竹产品品牌体系。</w:t>
      </w:r>
    </w:p>
    <w:p w14:paraId="6B8A17D9">
      <w:pPr>
        <w:keepNext w:val="0"/>
        <w:keepLines w:val="0"/>
        <w:pageBreakBefore w:val="0"/>
        <w:numPr>
          <w:ilvl w:val="0"/>
          <w:numId w:val="2"/>
        </w:numPr>
        <w:kinsoku/>
        <w:wordWrap/>
        <w:topLinePunct w:val="0"/>
        <w:autoSpaceDN/>
        <w:bidi w:val="0"/>
        <w:adjustRightInd/>
        <w:snapToGrid/>
        <w:spacing w:line="594" w:lineRule="atLeast"/>
        <w:ind w:left="0" w:leftChars="0" w:firstLine="643" w:firstLineChars="200"/>
        <w:textAlignment w:val="auto"/>
        <w:rPr>
          <w:rFonts w:hint="default"/>
          <w:lang w:val="en-US" w:eastAsia="zh-CN"/>
        </w:rPr>
      </w:pPr>
      <w:r>
        <w:rPr>
          <w:rFonts w:hint="eastAsia" w:ascii="仿宋_GB2312" w:hAnsi="仿宋_GB2312" w:eastAsia="仿宋_GB2312" w:cs="仿宋_GB2312"/>
          <w:b/>
          <w:bCs w:val="0"/>
          <w:spacing w:val="0"/>
          <w:sz w:val="32"/>
          <w:szCs w:val="32"/>
          <w:lang w:val="en-US" w:eastAsia="zh-CN"/>
        </w:rPr>
        <w:t xml:space="preserve"> </w:t>
      </w:r>
      <w:r>
        <w:rPr>
          <w:rFonts w:hint="eastAsia" w:ascii="Times New Roman" w:hAnsi="仿宋_GB2312" w:eastAsia="仿宋_GB2312" w:cs="Times New Roman"/>
          <w:spacing w:val="0"/>
          <w:sz w:val="32"/>
          <w:szCs w:val="32"/>
        </w:rPr>
        <w:t>以更新举措做活三产。</w:t>
      </w:r>
      <w:r>
        <w:rPr>
          <w:rFonts w:hint="eastAsia" w:ascii="Times New Roman" w:hAnsi="仿宋_GB2312" w:eastAsia="仿宋_GB2312"/>
          <w:spacing w:val="0"/>
          <w:sz w:val="32"/>
          <w:szCs w:val="32"/>
        </w:rPr>
        <w:t>深度挖掘“楠竹之乡”“美人窝”底蕴内涵，做深做实做响“浪漫桃花江·竹乡遇见美”</w:t>
      </w:r>
      <w:r>
        <w:rPr>
          <w:rFonts w:ascii="Times New Roman" w:hAnsi="仿宋_GB2312" w:eastAsia="仿宋_GB2312"/>
          <w:spacing w:val="0"/>
          <w:sz w:val="32"/>
          <w:szCs w:val="32"/>
        </w:rPr>
        <w:t>360</w:t>
      </w:r>
      <w:r>
        <w:rPr>
          <w:rFonts w:hint="eastAsia" w:ascii="Times New Roman" w:hAnsi="仿宋_GB2312" w:eastAsia="仿宋_GB2312"/>
          <w:spacing w:val="0"/>
          <w:sz w:val="32"/>
          <w:szCs w:val="32"/>
        </w:rPr>
        <w:t>度“竹乡十美”体验品牌，加快推动产业、业态全方位融合增效。继续大力实施</w:t>
      </w:r>
      <w:r>
        <w:rPr>
          <w:rFonts w:ascii="Times New Roman" w:hAnsi="仿宋_GB2312" w:eastAsia="仿宋_GB2312"/>
          <w:spacing w:val="0"/>
          <w:sz w:val="32"/>
          <w:szCs w:val="32"/>
        </w:rPr>
        <w:t xml:space="preserve">A </w:t>
      </w:r>
      <w:r>
        <w:rPr>
          <w:rFonts w:hint="eastAsia" w:ascii="Times New Roman" w:hAnsi="仿宋_GB2312" w:eastAsia="仿宋_GB2312"/>
          <w:spacing w:val="0"/>
          <w:sz w:val="32"/>
          <w:szCs w:val="32"/>
        </w:rPr>
        <w:t>级景区创建提升行动，全力确保桃花江竹海景区顺利开园、火爆引燃，谋划推进二期项目，接续创建国家</w:t>
      </w:r>
      <w:r>
        <w:rPr>
          <w:rFonts w:ascii="Times New Roman" w:hAnsi="仿宋_GB2312" w:eastAsia="仿宋_GB2312"/>
          <w:spacing w:val="0"/>
          <w:sz w:val="32"/>
          <w:szCs w:val="32"/>
        </w:rPr>
        <w:t xml:space="preserve"> 5A </w:t>
      </w:r>
      <w:r>
        <w:rPr>
          <w:rFonts w:hint="eastAsia" w:ascii="Times New Roman" w:hAnsi="仿宋_GB2312" w:eastAsia="仿宋_GB2312"/>
          <w:spacing w:val="0"/>
          <w:sz w:val="32"/>
          <w:szCs w:val="32"/>
        </w:rPr>
        <w:t>级景区和国家级旅游度假区，积极推进洋泉湾、浮邱山、羞女山、罗溪瀑布、张子清红色教育基地等创</w:t>
      </w:r>
      <w:r>
        <w:rPr>
          <w:rFonts w:ascii="Times New Roman" w:hAnsi="仿宋_GB2312" w:eastAsia="仿宋_GB2312"/>
          <w:spacing w:val="0"/>
          <w:sz w:val="32"/>
          <w:szCs w:val="32"/>
        </w:rPr>
        <w:t>A</w:t>
      </w:r>
      <w:r>
        <w:rPr>
          <w:rFonts w:hint="eastAsia" w:ascii="Times New Roman" w:hAnsi="仿宋_GB2312" w:eastAsia="仿宋_GB2312"/>
          <w:spacing w:val="0"/>
          <w:sz w:val="32"/>
          <w:szCs w:val="32"/>
        </w:rPr>
        <w:t>升级，争创省级工业旅游示范区，创建省级乡村旅游重点村、五星级乡村旅游区各</w:t>
      </w:r>
      <w:r>
        <w:rPr>
          <w:rFonts w:ascii="Times New Roman" w:hAnsi="仿宋_GB2312" w:eastAsia="仿宋_GB2312"/>
          <w:spacing w:val="0"/>
          <w:sz w:val="32"/>
          <w:szCs w:val="32"/>
        </w:rPr>
        <w:t xml:space="preserve"> 1</w:t>
      </w:r>
      <w:r>
        <w:rPr>
          <w:rFonts w:hint="eastAsia" w:ascii="Times New Roman" w:hAnsi="仿宋_GB2312" w:eastAsia="仿宋_GB2312"/>
          <w:spacing w:val="0"/>
          <w:sz w:val="32"/>
          <w:szCs w:val="32"/>
        </w:rPr>
        <w:t>个以上，着力探索羞女湖国家湿地公园生态产品价值实现机制，包装丰富“桃江竹福”“竹乡臻品”等旅游产品品牌，大力开发竹乡民宿、健康养生、研学体验等业态，创新发展假日经济、网红经济、夜间经济、体育经济等新经济，培育康养游、体验游、红色游、研学游等特色旅游线路。扎实开展竹产品竹文化“六进”活动，全力争创国家“以竹代塑”应用推广基地。高标准举办或承办湖南省竹产业高质量发展大会、益阳市文旅融合发展大会等特色活动，持续扩大竹旅文体康产业融合发展影响力。</w:t>
      </w:r>
    </w:p>
    <w:p w14:paraId="5AC65496">
      <w:pPr>
        <w:spacing w:line="594" w:lineRule="exact"/>
        <w:ind w:firstLine="643" w:firstLineChars="200"/>
        <w:rPr>
          <w:rFonts w:hint="default" w:ascii="Times New Roman" w:hAnsi="Times New Roman" w:cs="Times New Roman"/>
          <w:kern w:val="0"/>
          <w:szCs w:val="32"/>
        </w:rPr>
      </w:pPr>
      <w:r>
        <w:rPr>
          <w:rFonts w:hint="default" w:ascii="Times New Roman" w:hAnsi="Times New Roman" w:cs="Times New Roman"/>
          <w:b/>
          <w:bCs/>
          <w:kern w:val="0"/>
          <w:szCs w:val="32"/>
        </w:rPr>
        <w:t>（二）部门整体支出规模、使用方向和主要内容、涉及范围等。</w:t>
      </w:r>
    </w:p>
    <w:p w14:paraId="614917A4">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根据县委县政府文件及财政部门下达的指标通知，202</w:t>
      </w:r>
      <w:r>
        <w:rPr>
          <w:rFonts w:hint="eastAsia" w:cs="Times New Roman"/>
          <w:kern w:val="0"/>
          <w:szCs w:val="32"/>
          <w:lang w:val="en-US" w:eastAsia="zh-CN"/>
        </w:rPr>
        <w:t>4</w:t>
      </w:r>
      <w:r>
        <w:rPr>
          <w:rFonts w:hint="default" w:ascii="Times New Roman" w:hAnsi="Times New Roman" w:cs="Times New Roman"/>
          <w:kern w:val="0"/>
          <w:szCs w:val="32"/>
          <w:lang w:val="en-US" w:eastAsia="zh-CN"/>
        </w:rPr>
        <w:t>年度，我中心财政拨款收入为</w:t>
      </w:r>
      <w:r>
        <w:rPr>
          <w:rFonts w:hint="eastAsia" w:cs="Times New Roman"/>
          <w:kern w:val="0"/>
          <w:szCs w:val="32"/>
          <w:lang w:val="en-US" w:eastAsia="zh-CN"/>
        </w:rPr>
        <w:t>1591.69</w:t>
      </w:r>
      <w:r>
        <w:rPr>
          <w:rFonts w:hint="default" w:ascii="Times New Roman" w:hAnsi="Times New Roman" w:cs="Times New Roman"/>
          <w:kern w:val="0"/>
          <w:szCs w:val="32"/>
          <w:lang w:val="en-US" w:eastAsia="zh-CN"/>
        </w:rPr>
        <w:t>万元，财政拨款支出为</w:t>
      </w:r>
      <w:r>
        <w:rPr>
          <w:rFonts w:hint="eastAsia" w:cs="Times New Roman"/>
          <w:kern w:val="0"/>
          <w:szCs w:val="32"/>
          <w:lang w:val="en-US" w:eastAsia="zh-CN"/>
        </w:rPr>
        <w:t>1591.69</w:t>
      </w:r>
      <w:r>
        <w:rPr>
          <w:rFonts w:hint="default" w:ascii="Times New Roman" w:hAnsi="Times New Roman" w:cs="Times New Roman"/>
          <w:kern w:val="0"/>
          <w:szCs w:val="32"/>
          <w:lang w:val="en-US" w:eastAsia="zh-CN"/>
        </w:rPr>
        <w:t>万元。</w:t>
      </w:r>
    </w:p>
    <w:p w14:paraId="5C9D3CA0">
      <w:pPr>
        <w:numPr>
          <w:ilvl w:val="0"/>
          <w:numId w:val="3"/>
        </w:numPr>
        <w:spacing w:line="594" w:lineRule="exact"/>
        <w:ind w:left="-3" w:leftChars="0" w:firstLine="643" w:firstLineChars="0"/>
        <w:rPr>
          <w:rFonts w:hint="default" w:ascii="Times New Roman" w:hAnsi="Times New Roman" w:cs="Times New Roman"/>
          <w:b/>
          <w:bCs/>
          <w:color w:val="auto"/>
          <w:kern w:val="0"/>
          <w:szCs w:val="32"/>
        </w:rPr>
      </w:pPr>
      <w:r>
        <w:rPr>
          <w:rFonts w:hint="default" w:ascii="Times New Roman" w:hAnsi="Times New Roman" w:cs="Times New Roman"/>
          <w:b/>
          <w:bCs/>
          <w:color w:val="auto"/>
          <w:kern w:val="0"/>
          <w:szCs w:val="32"/>
        </w:rPr>
        <w:t>绩效目标设立情况，主要包括部门中长期绩效目标和年度绩效目标。</w:t>
      </w:r>
    </w:p>
    <w:p w14:paraId="22DE0632">
      <w:pPr>
        <w:pStyle w:val="2"/>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根据县委县政府《桃江县促进竹旅文体康产业融合发展的若干意见》《桃江县促进竹旅文体康产业融合发展的奖励办法》文件精神，我中心制定了《桃江县笋竹丰产基地建设标准》《桃江县竹林道建设标准》等系列文件，每年县财政预算安排资金1000万元以上、整合归集项目资金5000万元以上，用于推动竹旅文体康产业融合发展。制定了《桃江县竹产业发展服务中心202</w:t>
      </w:r>
      <w:r>
        <w:rPr>
          <w:rFonts w:hint="eastAsia"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年度</w:t>
      </w:r>
      <w:r>
        <w:rPr>
          <w:rFonts w:hint="eastAsia" w:cs="Times New Roman"/>
          <w:kern w:val="0"/>
          <w:sz w:val="32"/>
          <w:szCs w:val="32"/>
          <w:lang w:val="en-US" w:eastAsia="zh-CN" w:bidi="ar-SA"/>
        </w:rPr>
        <w:t>平时考核方案</w:t>
      </w:r>
      <w:r>
        <w:rPr>
          <w:rFonts w:hint="default" w:ascii="Times New Roman" w:hAnsi="Times New Roman" w:eastAsia="仿宋_GB2312" w:cs="Times New Roman"/>
          <w:kern w:val="0"/>
          <w:sz w:val="32"/>
          <w:szCs w:val="32"/>
          <w:lang w:val="en-US" w:eastAsia="zh-CN" w:bidi="ar-SA"/>
        </w:rPr>
        <w:t>》，对中心全年度各项工作实施考核。</w:t>
      </w:r>
    </w:p>
    <w:p w14:paraId="5F984B1C">
      <w:pPr>
        <w:spacing w:line="594" w:lineRule="exact"/>
        <w:ind w:firstLine="640" w:firstLineChars="200"/>
        <w:rPr>
          <w:rFonts w:hint="default" w:ascii="Times New Roman" w:hAnsi="Times New Roman" w:cs="Times New Roman"/>
          <w:kern w:val="0"/>
          <w:szCs w:val="32"/>
        </w:rPr>
      </w:pPr>
      <w:r>
        <w:rPr>
          <w:rFonts w:hint="default" w:ascii="Times New Roman" w:hAnsi="Times New Roman" w:eastAsia="黑体" w:cs="Times New Roman"/>
          <w:bCs/>
          <w:kern w:val="0"/>
          <w:szCs w:val="32"/>
        </w:rPr>
        <w:t>二、部门整体支出管理及使用情况分析</w:t>
      </w:r>
    </w:p>
    <w:p w14:paraId="0DDCF881">
      <w:pPr>
        <w:spacing w:line="594" w:lineRule="exact"/>
        <w:ind w:firstLine="640" w:firstLineChars="200"/>
        <w:rPr>
          <w:rFonts w:hint="default" w:ascii="Times New Roman" w:hAnsi="Times New Roman" w:eastAsia="楷体_GB2312" w:cs="Times New Roman"/>
          <w:kern w:val="0"/>
          <w:szCs w:val="32"/>
        </w:rPr>
      </w:pPr>
      <w:r>
        <w:rPr>
          <w:rFonts w:hint="default" w:ascii="Times New Roman" w:hAnsi="Times New Roman" w:eastAsia="楷体_GB2312" w:cs="Times New Roman"/>
          <w:kern w:val="0"/>
          <w:szCs w:val="32"/>
        </w:rPr>
        <w:t>（一）基本支出</w:t>
      </w:r>
    </w:p>
    <w:p w14:paraId="2752FBB3">
      <w:pPr>
        <w:keepNext w:val="0"/>
        <w:keepLines w:val="0"/>
        <w:pageBreakBefore w:val="0"/>
        <w:numPr>
          <w:ilvl w:val="0"/>
          <w:numId w:val="0"/>
        </w:numPr>
        <w:kinsoku/>
        <w:wordWrap/>
        <w:topLinePunct w:val="0"/>
        <w:autoSpaceDN/>
        <w:bidi w:val="0"/>
        <w:adjustRightInd/>
        <w:snapToGrid/>
        <w:spacing w:line="594" w:lineRule="atLeast"/>
        <w:ind w:firstLine="643" w:firstLineChars="200"/>
        <w:textAlignment w:val="auto"/>
        <w:rPr>
          <w:rFonts w:hint="default" w:ascii="Times New Roman" w:hAnsi="Times New Roman" w:cs="Times New Roman"/>
          <w:lang w:val="en-US" w:eastAsia="zh-CN"/>
        </w:rPr>
      </w:pPr>
      <w:r>
        <w:rPr>
          <w:rFonts w:hint="default" w:ascii="Times New Roman" w:hAnsi="Times New Roman" w:eastAsia="仿宋" w:cs="Times New Roman"/>
          <w:b/>
          <w:bCs/>
          <w:lang w:val="en-US" w:eastAsia="zh-CN"/>
        </w:rPr>
        <w:t xml:space="preserve">1. </w:t>
      </w:r>
      <w:r>
        <w:rPr>
          <w:rFonts w:hint="default" w:ascii="Times New Roman" w:hAnsi="Times New Roman" w:cs="Times New Roman"/>
          <w:lang w:val="en-US" w:eastAsia="zh-CN"/>
        </w:rPr>
        <w:t>202</w:t>
      </w:r>
      <w:r>
        <w:rPr>
          <w:rFonts w:hint="eastAsia" w:cs="Times New Roman"/>
          <w:lang w:val="en-US" w:eastAsia="zh-CN"/>
        </w:rPr>
        <w:t>4</w:t>
      </w:r>
      <w:r>
        <w:rPr>
          <w:rFonts w:hint="default" w:ascii="Times New Roman" w:hAnsi="Times New Roman" w:cs="Times New Roman"/>
          <w:lang w:val="en-US" w:eastAsia="zh-CN"/>
        </w:rPr>
        <w:t>年我中心一般公共财政预算拨款收入</w:t>
      </w:r>
      <w:r>
        <w:rPr>
          <w:rFonts w:hint="eastAsia" w:cs="Times New Roman"/>
          <w:kern w:val="0"/>
          <w:szCs w:val="32"/>
          <w:lang w:val="en-US" w:eastAsia="zh-CN"/>
        </w:rPr>
        <w:t>1591.69</w:t>
      </w:r>
      <w:r>
        <w:rPr>
          <w:rFonts w:hint="default" w:ascii="Times New Roman" w:hAnsi="Times New Roman" w:cs="Times New Roman"/>
          <w:lang w:val="en-US" w:eastAsia="zh-CN"/>
        </w:rPr>
        <w:t>万元，一般公共财政预算拨款支出</w:t>
      </w:r>
      <w:r>
        <w:rPr>
          <w:rFonts w:hint="eastAsia" w:cs="Times New Roman"/>
          <w:kern w:val="0"/>
          <w:szCs w:val="32"/>
          <w:lang w:val="en-US" w:eastAsia="zh-CN"/>
        </w:rPr>
        <w:t>1591.69</w:t>
      </w:r>
      <w:r>
        <w:rPr>
          <w:rFonts w:hint="default" w:ascii="Times New Roman" w:hAnsi="Times New Roman" w:cs="Times New Roman"/>
          <w:lang w:val="en-US" w:eastAsia="zh-CN"/>
        </w:rPr>
        <w:t>万元。年初预算</w:t>
      </w:r>
      <w:r>
        <w:rPr>
          <w:rFonts w:hint="eastAsia" w:cs="Times New Roman"/>
          <w:bCs w:val="0"/>
          <w:color w:val="auto"/>
          <w:sz w:val="32"/>
          <w:szCs w:val="32"/>
          <w:highlight w:val="none"/>
          <w:lang w:val="en-US" w:eastAsia="zh-CN"/>
        </w:rPr>
        <w:t>258.08</w:t>
      </w:r>
      <w:r>
        <w:rPr>
          <w:rFonts w:hint="default" w:ascii="Times New Roman" w:hAnsi="Times New Roman" w:cs="Times New Roman"/>
          <w:lang w:val="en-US" w:eastAsia="zh-CN"/>
        </w:rPr>
        <w:t>万元，另追加预算</w:t>
      </w:r>
      <w:r>
        <w:rPr>
          <w:rFonts w:hint="eastAsia" w:cs="Times New Roman"/>
          <w:lang w:val="en-US" w:eastAsia="zh-CN"/>
        </w:rPr>
        <w:t>1333.61</w:t>
      </w:r>
      <w:r>
        <w:rPr>
          <w:rFonts w:hint="default" w:ascii="Times New Roman" w:hAnsi="Times New Roman" w:cs="Times New Roman"/>
          <w:lang w:val="en-US" w:eastAsia="zh-CN"/>
        </w:rPr>
        <w:t>万元，</w:t>
      </w:r>
      <w:r>
        <w:rPr>
          <w:rFonts w:hint="default" w:ascii="Times New Roman" w:hAnsi="Times New Roman" w:eastAsia="仿宋_GB2312" w:cs="Times New Roman"/>
          <w:color w:val="auto"/>
          <w:sz w:val="32"/>
          <w:szCs w:val="32"/>
          <w:lang w:eastAsia="zh-CN"/>
        </w:rPr>
        <w:t>全年总预算</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为</w:t>
      </w:r>
      <w:r>
        <w:rPr>
          <w:rFonts w:hint="eastAsia" w:cs="Times New Roman"/>
          <w:bCs w:val="0"/>
          <w:color w:val="auto"/>
          <w:sz w:val="32"/>
          <w:szCs w:val="32"/>
          <w:highlight w:val="none"/>
          <w:lang w:val="en-US" w:eastAsia="zh-CN"/>
        </w:rPr>
        <w:t>1591.69</w:t>
      </w:r>
      <w:r>
        <w:rPr>
          <w:rFonts w:hint="default" w:ascii="Times New Roman" w:hAnsi="Times New Roman" w:eastAsia="仿宋_GB2312" w:cs="Times New Roman"/>
          <w:color w:val="auto"/>
          <w:sz w:val="32"/>
          <w:szCs w:val="32"/>
          <w:highlight w:val="none"/>
        </w:rPr>
        <w:t>万元</w:t>
      </w:r>
      <w:r>
        <w:rPr>
          <w:rFonts w:hint="default" w:ascii="Times New Roman" w:hAnsi="Times New Roman" w:cs="Times New Roman"/>
          <w:lang w:val="en-US" w:eastAsia="zh-CN"/>
        </w:rPr>
        <w:t>。其中基本支出</w:t>
      </w:r>
      <w:r>
        <w:rPr>
          <w:rFonts w:hint="eastAsia" w:cs="Times New Roman"/>
          <w:lang w:val="en-US" w:eastAsia="zh-CN"/>
        </w:rPr>
        <w:t>329.91</w:t>
      </w:r>
      <w:r>
        <w:rPr>
          <w:rFonts w:hint="default" w:ascii="Times New Roman" w:hAnsi="Times New Roman" w:cs="Times New Roman"/>
          <w:lang w:val="en-US" w:eastAsia="zh-CN"/>
        </w:rPr>
        <w:t>万元，项目支出</w:t>
      </w:r>
      <w:r>
        <w:rPr>
          <w:rFonts w:hint="eastAsia" w:cs="Times New Roman"/>
          <w:lang w:val="en-US" w:eastAsia="zh-CN"/>
        </w:rPr>
        <w:t>1261.78</w:t>
      </w:r>
      <w:r>
        <w:rPr>
          <w:rFonts w:hint="default" w:ascii="Times New Roman" w:hAnsi="Times New Roman" w:cs="Times New Roman"/>
          <w:lang w:val="en-US" w:eastAsia="zh-CN"/>
        </w:rPr>
        <w:t>万元。基本支出中：人员经费支出</w:t>
      </w:r>
      <w:r>
        <w:rPr>
          <w:rFonts w:hint="eastAsia" w:cs="Times New Roman"/>
          <w:lang w:val="en-US" w:eastAsia="zh-CN"/>
        </w:rPr>
        <w:t>204.51</w:t>
      </w:r>
      <w:r>
        <w:rPr>
          <w:rFonts w:hint="default" w:ascii="Times New Roman" w:hAnsi="Times New Roman" w:cs="Times New Roman"/>
          <w:lang w:val="en-US" w:eastAsia="zh-CN"/>
        </w:rPr>
        <w:t>万元、公用经费支出</w:t>
      </w:r>
      <w:r>
        <w:rPr>
          <w:rFonts w:hint="eastAsia" w:cs="Times New Roman"/>
          <w:lang w:val="en-US" w:eastAsia="zh-CN"/>
        </w:rPr>
        <w:t>125.40</w:t>
      </w:r>
      <w:r>
        <w:rPr>
          <w:rFonts w:hint="default" w:ascii="Times New Roman" w:hAnsi="Times New Roman" w:cs="Times New Roman"/>
          <w:lang w:val="en-US" w:eastAsia="zh-CN"/>
        </w:rPr>
        <w:t>万元。</w:t>
      </w:r>
    </w:p>
    <w:p w14:paraId="6FB0E935">
      <w:pPr>
        <w:keepNext w:val="0"/>
        <w:keepLines w:val="0"/>
        <w:pageBreakBefore w:val="0"/>
        <w:numPr>
          <w:ilvl w:val="0"/>
          <w:numId w:val="0"/>
        </w:numPr>
        <w:kinsoku/>
        <w:wordWrap/>
        <w:topLinePunct w:val="0"/>
        <w:autoSpaceDN/>
        <w:bidi w:val="0"/>
        <w:adjustRightInd/>
        <w:snapToGrid/>
        <w:spacing w:line="594" w:lineRule="atLeast"/>
        <w:ind w:firstLine="643" w:firstLineChars="200"/>
        <w:textAlignment w:val="auto"/>
        <w:rPr>
          <w:rFonts w:hint="default" w:ascii="Times New Roman" w:hAnsi="Times New Roman" w:eastAsia="仿宋" w:cs="Times New Roman"/>
          <w:b/>
          <w:bCs/>
          <w:lang w:val="en-US" w:eastAsia="zh-CN"/>
        </w:rPr>
      </w:pPr>
      <w:r>
        <w:rPr>
          <w:rFonts w:hint="default" w:ascii="Times New Roman" w:hAnsi="Times New Roman" w:eastAsia="仿宋" w:cs="Times New Roman"/>
          <w:b/>
          <w:bCs/>
          <w:lang w:val="en-US" w:eastAsia="zh-CN"/>
        </w:rPr>
        <w:t>2.“三公经费”支出情况</w:t>
      </w:r>
    </w:p>
    <w:p w14:paraId="0D23994E">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kern w:val="0"/>
          <w:szCs w:val="32"/>
          <w:lang w:val="en-US" w:eastAsia="zh-CN"/>
        </w:rPr>
        <w:t>202</w:t>
      </w:r>
      <w:r>
        <w:rPr>
          <w:rFonts w:hint="eastAsia" w:cs="Times New Roman"/>
          <w:kern w:val="0"/>
          <w:szCs w:val="32"/>
          <w:lang w:val="en-US" w:eastAsia="zh-CN"/>
        </w:rPr>
        <w:t>4</w:t>
      </w:r>
      <w:r>
        <w:rPr>
          <w:rFonts w:hint="default" w:ascii="Times New Roman" w:hAnsi="Times New Roman" w:cs="Times New Roman"/>
          <w:kern w:val="0"/>
          <w:szCs w:val="32"/>
          <w:lang w:val="en-US" w:eastAsia="zh-CN"/>
        </w:rPr>
        <w:t>年“三公经费”支出3.81万元，因公出国（境）费支出0元；公务接待费支出3.81万元；公务用车0元。</w:t>
      </w:r>
    </w:p>
    <w:p w14:paraId="0484B2FE">
      <w:pPr>
        <w:keepNext w:val="0"/>
        <w:keepLines w:val="0"/>
        <w:pageBreakBefore w:val="0"/>
        <w:numPr>
          <w:ilvl w:val="0"/>
          <w:numId w:val="4"/>
        </w:numPr>
        <w:kinsoku/>
        <w:wordWrap/>
        <w:topLinePunct w:val="0"/>
        <w:autoSpaceDN/>
        <w:bidi w:val="0"/>
        <w:adjustRightInd/>
        <w:snapToGrid/>
        <w:spacing w:line="594" w:lineRule="atLeast"/>
        <w:ind w:left="6" w:leftChars="0" w:firstLine="640" w:firstLineChars="0"/>
        <w:textAlignment w:val="auto"/>
        <w:rPr>
          <w:rFonts w:hint="default" w:ascii="Times New Roman" w:hAnsi="Times New Roman" w:eastAsia="仿宋" w:cs="Times New Roman"/>
          <w:b/>
          <w:bCs w:val="0"/>
          <w:kern w:val="0"/>
          <w:szCs w:val="32"/>
          <w:lang w:val="en-US" w:eastAsia="zh-CN"/>
        </w:rPr>
      </w:pPr>
      <w:r>
        <w:rPr>
          <w:rFonts w:hint="default" w:ascii="Times New Roman" w:hAnsi="Times New Roman" w:eastAsia="仿宋" w:cs="Times New Roman"/>
          <w:b/>
          <w:bCs w:val="0"/>
          <w:kern w:val="0"/>
          <w:szCs w:val="32"/>
          <w:lang w:val="en-US" w:eastAsia="zh-CN"/>
        </w:rPr>
        <w:t>公用经费支出情况</w:t>
      </w:r>
    </w:p>
    <w:p w14:paraId="329E201D">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w:t>
      </w:r>
      <w:r>
        <w:rPr>
          <w:rFonts w:hint="eastAsia" w:cs="Times New Roman"/>
          <w:lang w:val="en-US" w:eastAsia="zh-CN"/>
        </w:rPr>
        <w:t>4</w:t>
      </w:r>
      <w:r>
        <w:rPr>
          <w:rFonts w:hint="default" w:ascii="Times New Roman" w:hAnsi="Times New Roman" w:cs="Times New Roman"/>
          <w:lang w:val="en-US" w:eastAsia="zh-CN"/>
        </w:rPr>
        <w:t>年我中心公用经费支出</w:t>
      </w:r>
      <w:r>
        <w:rPr>
          <w:rFonts w:hint="eastAsia" w:cs="Times New Roman"/>
          <w:lang w:val="en-US" w:eastAsia="zh-CN"/>
        </w:rPr>
        <w:t>125.40</w:t>
      </w:r>
      <w:r>
        <w:rPr>
          <w:rFonts w:hint="default" w:ascii="Times New Roman" w:hAnsi="Times New Roman" w:cs="Times New Roman"/>
          <w:lang w:val="en-US" w:eastAsia="zh-CN"/>
        </w:rPr>
        <w:t>万元，其中商品和服务支出</w:t>
      </w:r>
      <w:r>
        <w:rPr>
          <w:rFonts w:hint="eastAsia" w:cs="Times New Roman"/>
          <w:lang w:val="en-US" w:eastAsia="zh-CN"/>
        </w:rPr>
        <w:t>122.51</w:t>
      </w:r>
      <w:r>
        <w:rPr>
          <w:rFonts w:hint="default" w:ascii="Times New Roman" w:hAnsi="Times New Roman" w:cs="Times New Roman"/>
          <w:lang w:val="en-US" w:eastAsia="zh-CN"/>
        </w:rPr>
        <w:t>万元、资本性支出</w:t>
      </w:r>
      <w:r>
        <w:rPr>
          <w:rFonts w:hint="eastAsia" w:cs="Times New Roman"/>
          <w:lang w:val="en-US" w:eastAsia="zh-CN"/>
        </w:rPr>
        <w:t>2.89</w:t>
      </w:r>
      <w:r>
        <w:rPr>
          <w:rFonts w:hint="default" w:ascii="Times New Roman" w:hAnsi="Times New Roman" w:cs="Times New Roman"/>
          <w:lang w:val="en-US" w:eastAsia="zh-CN"/>
        </w:rPr>
        <w:t>万元。</w:t>
      </w:r>
    </w:p>
    <w:p w14:paraId="1D94DB0C">
      <w:pPr>
        <w:tabs>
          <w:tab w:val="left" w:pos="3396"/>
        </w:tabs>
        <w:spacing w:line="594" w:lineRule="exact"/>
        <w:ind w:firstLine="640" w:firstLineChars="200"/>
        <w:rPr>
          <w:rFonts w:hint="default" w:ascii="Times New Roman" w:hAnsi="Times New Roman" w:eastAsia="楷体_GB2312" w:cs="Times New Roman"/>
          <w:kern w:val="0"/>
          <w:szCs w:val="32"/>
        </w:rPr>
      </w:pPr>
      <w:r>
        <w:rPr>
          <w:rFonts w:hint="default" w:ascii="Times New Roman" w:hAnsi="Times New Roman" w:eastAsia="楷体_GB2312" w:cs="Times New Roman"/>
          <w:kern w:val="0"/>
          <w:szCs w:val="32"/>
        </w:rPr>
        <w:t>（二）项目支出</w:t>
      </w:r>
      <w:r>
        <w:rPr>
          <w:rFonts w:hint="default" w:ascii="Times New Roman" w:hAnsi="Times New Roman" w:eastAsia="楷体_GB2312" w:cs="Times New Roman"/>
          <w:kern w:val="0"/>
          <w:szCs w:val="32"/>
        </w:rPr>
        <w:tab/>
      </w:r>
    </w:p>
    <w:p w14:paraId="158922E7">
      <w:pPr>
        <w:keepNext w:val="0"/>
        <w:keepLines w:val="0"/>
        <w:pageBreakBefore w:val="0"/>
        <w:numPr>
          <w:ilvl w:val="0"/>
          <w:numId w:val="0"/>
        </w:numPr>
        <w:kinsoku/>
        <w:wordWrap/>
        <w:topLinePunct w:val="0"/>
        <w:autoSpaceDN/>
        <w:bidi w:val="0"/>
        <w:adjustRightInd/>
        <w:snapToGrid/>
        <w:spacing w:line="594" w:lineRule="atLeast"/>
        <w:ind w:firstLine="643" w:firstLineChars="200"/>
        <w:textAlignment w:val="auto"/>
        <w:rPr>
          <w:rFonts w:hint="default" w:ascii="Times New Roman" w:hAnsi="Times New Roman" w:cs="Times New Roman"/>
          <w:b/>
          <w:bCs/>
          <w:lang w:val="en-US" w:eastAsia="zh-CN"/>
        </w:rPr>
      </w:pPr>
      <w:r>
        <w:rPr>
          <w:rFonts w:hint="default" w:ascii="Times New Roman" w:hAnsi="Times New Roman" w:eastAsia="仿宋" w:cs="Times New Roman"/>
          <w:b/>
          <w:bCs/>
          <w:lang w:val="en-US" w:eastAsia="zh-CN"/>
        </w:rPr>
        <w:t>1.</w:t>
      </w:r>
      <w:r>
        <w:rPr>
          <w:rFonts w:hint="default" w:ascii="Times New Roman" w:hAnsi="Times New Roman" w:cs="Times New Roman"/>
          <w:b/>
          <w:bCs/>
          <w:lang w:val="en-US" w:eastAsia="zh-CN"/>
        </w:rPr>
        <w:t>项目资金安排落实、总投入等情况分析</w:t>
      </w:r>
    </w:p>
    <w:p w14:paraId="2B30A3D8">
      <w:pPr>
        <w:keepNext w:val="0"/>
        <w:keepLines w:val="0"/>
        <w:pageBreakBefore w:val="0"/>
        <w:numPr>
          <w:ilvl w:val="0"/>
          <w:numId w:val="0"/>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本年度项目资金安排为</w:t>
      </w:r>
      <w:r>
        <w:rPr>
          <w:rFonts w:hint="eastAsia" w:cs="Times New Roman"/>
          <w:lang w:val="en-US" w:eastAsia="zh-CN"/>
        </w:rPr>
        <w:t>1261.78</w:t>
      </w:r>
      <w:r>
        <w:rPr>
          <w:rFonts w:hint="default" w:ascii="Times New Roman" w:hAnsi="Times New Roman" w:cs="Times New Roman"/>
          <w:lang w:val="en-US" w:eastAsia="zh-CN"/>
        </w:rPr>
        <w:t>万元，项目资金到位情况良好，到位资金保障了项目的顺利落实，较好地促进了桃江县竹旅文体康产业的融合发展。</w:t>
      </w:r>
    </w:p>
    <w:p w14:paraId="4BC13642">
      <w:pPr>
        <w:keepNext w:val="0"/>
        <w:keepLines w:val="0"/>
        <w:pageBreakBefore w:val="0"/>
        <w:numPr>
          <w:ilvl w:val="0"/>
          <w:numId w:val="0"/>
        </w:numPr>
        <w:tabs>
          <w:tab w:val="left" w:pos="605"/>
        </w:tabs>
        <w:kinsoku/>
        <w:wordWrap/>
        <w:topLinePunct w:val="0"/>
        <w:autoSpaceDN/>
        <w:bidi w:val="0"/>
        <w:adjustRightInd/>
        <w:snapToGrid/>
        <w:spacing w:line="594" w:lineRule="atLeast"/>
        <w:ind w:firstLine="643" w:firstLineChars="200"/>
        <w:textAlignment w:val="auto"/>
        <w:rPr>
          <w:rFonts w:hint="default" w:ascii="Times New Roman" w:hAnsi="Times New Roman" w:cs="Times New Roman"/>
          <w:lang w:val="en-US" w:eastAsia="zh-CN"/>
        </w:rPr>
      </w:pPr>
      <w:r>
        <w:rPr>
          <w:rFonts w:hint="default" w:ascii="Times New Roman" w:hAnsi="Times New Roman" w:eastAsia="仿宋" w:cs="Times New Roman"/>
          <w:b/>
          <w:bCs/>
          <w:lang w:val="en-US" w:eastAsia="zh-CN"/>
        </w:rPr>
        <w:t>2.项目资金实际使用情况分析</w:t>
      </w:r>
    </w:p>
    <w:p w14:paraId="38051072">
      <w:pPr>
        <w:pStyle w:val="2"/>
        <w:keepNext w:val="0"/>
        <w:keepLines w:val="0"/>
        <w:pageBreakBefore w:val="0"/>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我中心项目支出</w:t>
      </w:r>
      <w:r>
        <w:rPr>
          <w:rFonts w:hint="eastAsia" w:cs="Times New Roman"/>
          <w:lang w:val="en-US" w:eastAsia="zh-CN"/>
        </w:rPr>
        <w:t xml:space="preserve"> 1261.78</w:t>
      </w:r>
      <w:r>
        <w:rPr>
          <w:rFonts w:hint="default" w:ascii="Times New Roman" w:hAnsi="Times New Roman" w:cs="Times New Roman"/>
          <w:lang w:val="en-US" w:eastAsia="zh-CN"/>
        </w:rPr>
        <w:t>万元，具体如下：</w:t>
      </w:r>
    </w:p>
    <w:p w14:paraId="06BF6FC1">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default" w:ascii="Times New Roman" w:hAnsi="Times New Roman" w:cs="Times New Roman"/>
          <w:highlight w:val="none"/>
          <w:lang w:val="en-US" w:eastAsia="zh-CN"/>
        </w:rPr>
      </w:pPr>
      <w:r>
        <w:rPr>
          <w:rFonts w:hint="default" w:ascii="Times New Roman" w:hAnsi="Times New Roman" w:cs="Times New Roman"/>
          <w:lang w:val="en-US" w:eastAsia="zh-CN"/>
        </w:rPr>
        <w:t>（1）竹旅文体康产业融合发展奖补资金：根据《202</w:t>
      </w:r>
      <w:r>
        <w:rPr>
          <w:rFonts w:hint="eastAsia" w:cs="Times New Roman"/>
          <w:lang w:val="en-US" w:eastAsia="zh-CN"/>
        </w:rPr>
        <w:t>3</w:t>
      </w:r>
      <w:r>
        <w:rPr>
          <w:rFonts w:hint="default" w:ascii="Times New Roman" w:hAnsi="Times New Roman" w:cs="Times New Roman"/>
          <w:lang w:val="en-US" w:eastAsia="zh-CN"/>
        </w:rPr>
        <w:t>年度竹旅文体康产业融合发展工作要点》(桃竹旅办发〔202</w:t>
      </w:r>
      <w:r>
        <w:rPr>
          <w:rFonts w:hint="eastAsia" w:cs="Times New Roman"/>
          <w:lang w:val="en-US" w:eastAsia="zh-CN"/>
        </w:rPr>
        <w:t>3</w:t>
      </w:r>
      <w:r>
        <w:rPr>
          <w:rFonts w:hint="default" w:ascii="Times New Roman" w:hAnsi="Times New Roman" w:cs="Times New Roman"/>
          <w:lang w:val="en-US" w:eastAsia="zh-CN"/>
        </w:rPr>
        <w:t>〕</w:t>
      </w:r>
      <w:r>
        <w:rPr>
          <w:rFonts w:hint="eastAsia" w:cs="Times New Roman"/>
          <w:lang w:val="en-US" w:eastAsia="zh-CN"/>
        </w:rPr>
        <w:t>11</w:t>
      </w:r>
      <w:r>
        <w:rPr>
          <w:rFonts w:hint="default" w:ascii="Times New Roman" w:hAnsi="Times New Roman" w:cs="Times New Roman"/>
          <w:lang w:val="en-US" w:eastAsia="zh-CN"/>
        </w:rPr>
        <w:t>号)和《桃江县促进竹旅文体康产业融合发展的奖励办法》(桃政发〔202</w:t>
      </w:r>
      <w:r>
        <w:rPr>
          <w:rFonts w:hint="eastAsia" w:cs="Times New Roman"/>
          <w:lang w:val="en-US" w:eastAsia="zh-CN"/>
        </w:rPr>
        <w:t>3</w:t>
      </w:r>
      <w:r>
        <w:rPr>
          <w:rFonts w:hint="default" w:ascii="Times New Roman" w:hAnsi="Times New Roman" w:cs="Times New Roman"/>
          <w:lang w:val="en-US" w:eastAsia="zh-CN"/>
        </w:rPr>
        <w:t>〕1</w:t>
      </w:r>
      <w:r>
        <w:rPr>
          <w:rFonts w:hint="eastAsia" w:cs="Times New Roman"/>
          <w:lang w:val="en-US" w:eastAsia="zh-CN"/>
        </w:rPr>
        <w:t>2</w:t>
      </w:r>
      <w:r>
        <w:rPr>
          <w:rFonts w:hint="default" w:ascii="Times New Roman" w:hAnsi="Times New Roman" w:cs="Times New Roman"/>
          <w:lang w:val="en-US" w:eastAsia="zh-CN"/>
        </w:rPr>
        <w:t>号)文件精神，发放竹旅文体康产业融合发展</w:t>
      </w:r>
      <w:r>
        <w:rPr>
          <w:rFonts w:hint="default" w:ascii="Times New Roman" w:hAnsi="Times New Roman" w:cs="Times New Roman"/>
          <w:highlight w:val="none"/>
          <w:lang w:val="en-US" w:eastAsia="zh-CN"/>
        </w:rPr>
        <w:t>奖补资金</w:t>
      </w:r>
      <w:r>
        <w:rPr>
          <w:rFonts w:hint="eastAsia" w:cs="Times New Roman"/>
          <w:kern w:val="0"/>
          <w:szCs w:val="32"/>
          <w:lang w:val="en-US" w:eastAsia="zh-CN"/>
        </w:rPr>
        <w:t>957.91</w:t>
      </w:r>
      <w:r>
        <w:rPr>
          <w:rFonts w:hint="default" w:ascii="Times New Roman" w:hAnsi="Times New Roman" w:cs="Times New Roman"/>
          <w:highlight w:val="none"/>
          <w:lang w:val="en-US" w:eastAsia="zh-CN"/>
        </w:rPr>
        <w:t>万元，</w:t>
      </w:r>
      <w:r>
        <w:rPr>
          <w:rFonts w:hint="default" w:ascii="Times New Roman" w:hAnsi="Times New Roman" w:eastAsia="仿宋_GB2312" w:cs="Times New Roman"/>
          <w:sz w:val="32"/>
          <w:szCs w:val="32"/>
          <w:highlight w:val="none"/>
          <w:lang w:val="en-US" w:eastAsia="zh-CN"/>
        </w:rPr>
        <w:t>我中心按照奖补资金预安排方案，已全部拨付到各单位。</w:t>
      </w:r>
    </w:p>
    <w:p w14:paraId="7EF3B493">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竹产业高质量发展县</w:t>
      </w:r>
      <w:r>
        <w:rPr>
          <w:rFonts w:hint="default" w:ascii="Times New Roman" w:hAnsi="Times New Roman" w:cs="Times New Roman"/>
          <w:lang w:val="en-US" w:eastAsia="zh-CN"/>
        </w:rPr>
        <w:t>：</w:t>
      </w:r>
      <w:r>
        <w:rPr>
          <w:rFonts w:hint="eastAsia" w:ascii="Times New Roman" w:hAnsi="Times New Roman" w:cs="Times New Roman"/>
          <w:lang w:val="en-US" w:eastAsia="zh-CN"/>
        </w:rPr>
        <w:t>用于发放竹旅文体康产业融合发展奖补资金超出预算部分，共181.</w:t>
      </w:r>
      <w:r>
        <w:rPr>
          <w:rFonts w:hint="eastAsia" w:cs="Times New Roman"/>
          <w:lang w:val="en-US" w:eastAsia="zh-CN"/>
        </w:rPr>
        <w:t>45</w:t>
      </w:r>
      <w:r>
        <w:rPr>
          <w:rFonts w:hint="eastAsia" w:ascii="Times New Roman" w:hAnsi="Times New Roman" w:cs="Times New Roman"/>
          <w:lang w:val="en-US" w:eastAsia="zh-CN"/>
        </w:rPr>
        <w:t>万元。</w:t>
      </w:r>
      <w:r>
        <w:rPr>
          <w:rFonts w:hint="default" w:ascii="Times New Roman" w:hAnsi="Times New Roman" w:cs="Times New Roman"/>
          <w:lang w:val="en-US" w:eastAsia="zh-CN"/>
        </w:rPr>
        <w:t>我中心按照奖补资金安排方案，已全部拨付到位。</w:t>
      </w:r>
    </w:p>
    <w:p w14:paraId="6FE73F3F">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（3）</w:t>
      </w:r>
      <w:r>
        <w:rPr>
          <w:rFonts w:hint="eastAsia" w:ascii="Times New Roman" w:hAnsi="Times New Roman" w:cs="Times New Roman"/>
          <w:lang w:val="en-US" w:eastAsia="zh-CN"/>
        </w:rPr>
        <w:t>产业高质量发展推进专项经费：47.77万元，</w:t>
      </w:r>
      <w:r>
        <w:rPr>
          <w:rFonts w:hint="default" w:ascii="Times New Roman" w:hAnsi="Times New Roman" w:cs="Times New Roman"/>
          <w:lang w:val="en-US" w:eastAsia="zh-CN"/>
        </w:rPr>
        <w:t>已全部用于我中心</w:t>
      </w:r>
      <w:r>
        <w:rPr>
          <w:rFonts w:hint="eastAsia" w:cs="Times New Roman"/>
          <w:lang w:val="en-US" w:eastAsia="zh-CN"/>
        </w:rPr>
        <w:t>承办2024年“以竹代塑”产业高质量发展推进大会</w:t>
      </w:r>
      <w:r>
        <w:rPr>
          <w:rFonts w:hint="default" w:ascii="Times New Roman" w:hAnsi="Times New Roman" w:cs="Times New Roman"/>
          <w:lang w:val="en-US" w:eastAsia="zh-CN"/>
        </w:rPr>
        <w:t>。</w:t>
      </w:r>
    </w:p>
    <w:p w14:paraId="6ADFC431">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（4）</w:t>
      </w:r>
      <w:r>
        <w:rPr>
          <w:rFonts w:hint="eastAsia" w:ascii="Times New Roman" w:hAnsi="Times New Roman" w:cs="Times New Roman"/>
          <w:lang w:val="en-US" w:eastAsia="zh-CN"/>
        </w:rPr>
        <w:t>竹旅文体康产业融合发展工作推进大会专项经费：9.9万元，</w:t>
      </w:r>
      <w:r>
        <w:rPr>
          <w:rFonts w:hint="default" w:ascii="Times New Roman" w:hAnsi="Times New Roman" w:cs="Times New Roman"/>
          <w:lang w:val="en-US" w:eastAsia="zh-CN"/>
        </w:rPr>
        <w:t>已全部用于我中心推进竹旅文体康产业融合发展工作。</w:t>
      </w:r>
    </w:p>
    <w:p w14:paraId="71539072">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eastAsia" w:cs="Times New Roman"/>
          <w:lang w:val="en-US" w:eastAsia="zh-CN"/>
        </w:rPr>
      </w:pPr>
      <w:r>
        <w:rPr>
          <w:rFonts w:hint="default" w:ascii="Times New Roman" w:hAnsi="Times New Roman" w:cs="Times New Roman"/>
          <w:lang w:val="en-US" w:eastAsia="zh-CN"/>
        </w:rPr>
        <w:t>（5）</w:t>
      </w:r>
      <w:r>
        <w:rPr>
          <w:rFonts w:hint="eastAsia" w:ascii="Times New Roman" w:hAnsi="Times New Roman" w:cs="Times New Roman"/>
          <w:lang w:val="en-US" w:eastAsia="zh-CN"/>
        </w:rPr>
        <w:t>“以竹代塑”实施方案咨询服务费：28万元，</w:t>
      </w:r>
      <w:r>
        <w:rPr>
          <w:rFonts w:hint="eastAsia" w:cs="Times New Roman"/>
          <w:lang w:val="en-US" w:eastAsia="zh-CN"/>
        </w:rPr>
        <w:t>已全部用于桃江县创建国家“以竹代塑”应用推广基地实施方案咨询服务费前期费用。</w:t>
      </w:r>
    </w:p>
    <w:p w14:paraId="34122725">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6</w:t>
      </w:r>
      <w:r>
        <w:rPr>
          <w:rFonts w:hint="default" w:ascii="Times New Roman" w:hAnsi="Times New Roman" w:cs="Times New Roman"/>
          <w:lang w:val="en-US" w:eastAsia="zh-CN"/>
        </w:rPr>
        <w:t>）</w:t>
      </w:r>
      <w:r>
        <w:rPr>
          <w:rFonts w:hint="eastAsia" w:ascii="Times New Roman" w:hAnsi="Times New Roman" w:cs="Times New Roman"/>
          <w:lang w:val="en-US" w:eastAsia="zh-CN"/>
        </w:rPr>
        <w:t>2023年真抓实干督查激励获奖事项奖金：10万元，</w:t>
      </w:r>
      <w:r>
        <w:rPr>
          <w:rFonts w:hint="default" w:ascii="Times New Roman" w:hAnsi="Times New Roman" w:cs="Times New Roman"/>
          <w:lang w:val="en-US" w:eastAsia="zh-CN"/>
        </w:rPr>
        <w:t>已全部用于我中心推进竹旅文体康产业融合发展工作。</w:t>
      </w:r>
    </w:p>
    <w:p w14:paraId="1F01491B">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7</w:t>
      </w:r>
      <w:r>
        <w:rPr>
          <w:rFonts w:hint="default" w:ascii="Times New Roman" w:hAnsi="Times New Roman" w:cs="Times New Roman"/>
          <w:lang w:val="en-US" w:eastAsia="zh-CN"/>
        </w:rPr>
        <w:t>）</w:t>
      </w:r>
      <w:r>
        <w:rPr>
          <w:rFonts w:hint="eastAsia" w:ascii="Times New Roman" w:hAnsi="Times New Roman" w:cs="Times New Roman"/>
          <w:lang w:val="en-US" w:eastAsia="zh-CN"/>
        </w:rPr>
        <w:t>2023年重点项目建设考核资金：10万元，</w:t>
      </w:r>
      <w:r>
        <w:rPr>
          <w:rFonts w:hint="default" w:ascii="Times New Roman" w:hAnsi="Times New Roman" w:cs="Times New Roman"/>
          <w:lang w:val="en-US" w:eastAsia="zh-CN"/>
        </w:rPr>
        <w:t>已全部用于我中心推进竹旅文体康产业融合发展工作。</w:t>
      </w:r>
    </w:p>
    <w:p w14:paraId="30E74EC2">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8</w:t>
      </w:r>
      <w:r>
        <w:rPr>
          <w:rFonts w:hint="default" w:ascii="Times New Roman" w:hAnsi="Times New Roman" w:cs="Times New Roman"/>
          <w:lang w:val="en-US" w:eastAsia="zh-CN"/>
        </w:rPr>
        <w:t>）</w:t>
      </w:r>
      <w:r>
        <w:rPr>
          <w:rFonts w:hint="eastAsia" w:ascii="Times New Roman" w:hAnsi="Times New Roman" w:cs="Times New Roman"/>
          <w:lang w:val="en-US" w:eastAsia="zh-CN"/>
        </w:rPr>
        <w:t>2023年度竹旅文体康产业融合发展考核奖励资金：10万元，</w:t>
      </w:r>
      <w:r>
        <w:rPr>
          <w:rFonts w:hint="default" w:ascii="Times New Roman" w:hAnsi="Times New Roman" w:cs="Times New Roman"/>
          <w:lang w:val="en-US" w:eastAsia="zh-CN"/>
        </w:rPr>
        <w:t>已全部用于我中心推进竹旅文体康产业融合发展工作。</w:t>
      </w:r>
    </w:p>
    <w:p w14:paraId="5B3629B7">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9</w:t>
      </w:r>
      <w:r>
        <w:rPr>
          <w:rFonts w:hint="default" w:ascii="Times New Roman" w:hAnsi="Times New Roman" w:cs="Times New Roman"/>
          <w:lang w:val="en-US" w:eastAsia="zh-CN"/>
        </w:rPr>
        <w:t>）</w:t>
      </w:r>
      <w:r>
        <w:rPr>
          <w:rFonts w:hint="eastAsia" w:ascii="Times New Roman" w:hAnsi="Times New Roman" w:cs="Times New Roman"/>
          <w:lang w:val="en-US" w:eastAsia="zh-CN"/>
        </w:rPr>
        <w:t>2023年人才引进生活补贴：5.44万元，已全部拨付到位。</w:t>
      </w:r>
    </w:p>
    <w:p w14:paraId="1CBB90B7">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10</w:t>
      </w:r>
      <w:r>
        <w:rPr>
          <w:rFonts w:hint="default" w:ascii="Times New Roman" w:hAnsi="Times New Roman" w:cs="Times New Roman"/>
          <w:lang w:val="en-US" w:eastAsia="zh-CN"/>
        </w:rPr>
        <w:t>）</w:t>
      </w:r>
      <w:r>
        <w:rPr>
          <w:rFonts w:hint="eastAsia" w:ascii="Times New Roman" w:hAnsi="Times New Roman" w:cs="Times New Roman"/>
          <w:lang w:val="en-US" w:eastAsia="zh-CN"/>
        </w:rPr>
        <w:t>2023年度全市真抓实干督查激励工作先进个人奖励：0.15万元，已全部用于我中心先进个人奖励。</w:t>
      </w:r>
    </w:p>
    <w:p w14:paraId="0DAB456A">
      <w:pPr>
        <w:pStyle w:val="2"/>
        <w:keepNext w:val="0"/>
        <w:keepLines w:val="0"/>
        <w:pageBreakBefore w:val="0"/>
        <w:numPr>
          <w:ilvl w:val="0"/>
          <w:numId w:val="0"/>
        </w:numPr>
        <w:kinsoku/>
        <w:wordWrap/>
        <w:topLinePunct w:val="0"/>
        <w:autoSpaceDN/>
        <w:bidi w:val="0"/>
        <w:adjustRightInd/>
        <w:snapToGrid/>
        <w:spacing w:line="594" w:lineRule="atLeast"/>
        <w:ind w:left="6" w:leftChars="0" w:firstLine="640" w:firstLineChars="0"/>
        <w:textAlignment w:val="auto"/>
        <w:rPr>
          <w:rFonts w:hint="eastAsia"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11</w:t>
      </w:r>
      <w:r>
        <w:rPr>
          <w:rFonts w:hint="default" w:ascii="Times New Roman" w:hAnsi="Times New Roman" w:cs="Times New Roman"/>
          <w:lang w:val="en-US" w:eastAsia="zh-CN"/>
        </w:rPr>
        <w:t>）</w:t>
      </w:r>
      <w:r>
        <w:rPr>
          <w:rFonts w:hint="eastAsia" w:ascii="Times New Roman" w:hAnsi="Times New Roman" w:cs="Times New Roman"/>
          <w:lang w:val="en-US" w:eastAsia="zh-CN"/>
        </w:rPr>
        <w:t>202</w:t>
      </w:r>
      <w:r>
        <w:rPr>
          <w:rFonts w:hint="eastAsia" w:cs="Times New Roman"/>
          <w:lang w:val="en-US" w:eastAsia="zh-CN"/>
        </w:rPr>
        <w:t>4年驻村第一书记工作经费：1万元，已全部拨付到位。</w:t>
      </w:r>
    </w:p>
    <w:p w14:paraId="3195FD71">
      <w:pPr>
        <w:pStyle w:val="2"/>
        <w:numPr>
          <w:ilvl w:val="0"/>
          <w:numId w:val="0"/>
        </w:numPr>
        <w:ind w:left="6" w:leftChars="0" w:firstLine="640" w:firstLineChars="0"/>
        <w:rPr>
          <w:rFonts w:hint="default"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12</w:t>
      </w:r>
      <w:r>
        <w:rPr>
          <w:rFonts w:hint="default" w:ascii="Times New Roman" w:hAnsi="Times New Roman" w:cs="Times New Roman"/>
          <w:lang w:val="en-US" w:eastAsia="zh-CN"/>
        </w:rPr>
        <w:t>）</w:t>
      </w:r>
      <w:r>
        <w:rPr>
          <w:rFonts w:hint="eastAsia" w:ascii="Times New Roman" w:hAnsi="Times New Roman" w:cs="Times New Roman"/>
          <w:lang w:val="en-US" w:eastAsia="zh-CN"/>
        </w:rPr>
        <w:t>竹旅文体康产业融合发展奖补资金：结转</w:t>
      </w:r>
      <w:r>
        <w:rPr>
          <w:rFonts w:hint="default" w:ascii="Times New Roman" w:hAnsi="Times New Roman" w:cs="Times New Roman"/>
          <w:lang w:val="en-US" w:eastAsia="zh-CN"/>
        </w:rPr>
        <w:t>上年奖补资金</w:t>
      </w:r>
      <w:r>
        <w:rPr>
          <w:rFonts w:hint="eastAsia" w:ascii="Times New Roman" w:hAnsi="Times New Roman" w:cs="Times New Roman"/>
          <w:lang w:val="en-US" w:eastAsia="zh-CN"/>
        </w:rPr>
        <w:t>0.16万元</w:t>
      </w:r>
      <w:r>
        <w:rPr>
          <w:rFonts w:hint="eastAsia" w:cs="Times New Roman"/>
          <w:lang w:val="en-US" w:eastAsia="zh-CN"/>
        </w:rPr>
        <w:t>，</w:t>
      </w:r>
      <w:r>
        <w:rPr>
          <w:rFonts w:hint="default" w:ascii="Times New Roman" w:hAnsi="Times New Roman" w:cs="Times New Roman"/>
          <w:highlight w:val="none"/>
          <w:lang w:val="en-US" w:eastAsia="zh-CN"/>
        </w:rPr>
        <w:t>已全部用于我中心推进竹旅文体康产业融合发展工作。</w:t>
      </w:r>
    </w:p>
    <w:p w14:paraId="1A7050AF">
      <w:pPr>
        <w:spacing w:line="594" w:lineRule="exact"/>
        <w:ind w:firstLine="640" w:firstLineChars="200"/>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三、项目组织实施情况分析</w:t>
      </w:r>
    </w:p>
    <w:p w14:paraId="51750896">
      <w:pPr>
        <w:pStyle w:val="5"/>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94" w:lineRule="atLeas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竹旅文体康产业融合发展奖补</w:t>
      </w:r>
      <w:r>
        <w:rPr>
          <w:rFonts w:hint="default" w:ascii="Times New Roman" w:hAnsi="Times New Roman" w:cs="Times New Roman"/>
          <w:sz w:val="32"/>
          <w:szCs w:val="32"/>
          <w:lang w:val="en-US" w:eastAsia="zh-CN"/>
        </w:rPr>
        <w:t>项目</w:t>
      </w:r>
      <w:r>
        <w:rPr>
          <w:rFonts w:hint="default" w:ascii="Times New Roman" w:hAnsi="Times New Roman" w:eastAsia="仿宋_GB2312" w:cs="Times New Roman"/>
          <w:sz w:val="32"/>
          <w:szCs w:val="32"/>
          <w:lang w:val="en-US" w:eastAsia="zh-CN"/>
        </w:rPr>
        <w:t>根据《2023年度竹旅文体康产业融合发展工作要点》(桃竹旅办发〔2023〕11号)和《桃江县促进竹旅文体康产业融合发展的奖励办法》(桃政发〔2023〕12号)文件精神，经县财政局</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县纪委监委驻县农业农村局纪检组、县文旅广体局、县林业局、县竹产业发展服务中心共同参与，对全县2023年竹旅文体康拟奖补项目进行了实地验收与评选，通过反复研究、逐项审核</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初步拟定了《2023年度竹旅文体康产业融合发展财政奖补资金安排方案》</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确定25项奖补项目共计奖补资金1181.5</w:t>
      </w:r>
      <w:r>
        <w:rPr>
          <w:rFonts w:hint="eastAsia" w:cs="Times New Roman"/>
          <w:sz w:val="32"/>
          <w:szCs w:val="32"/>
          <w:lang w:val="en-US" w:eastAsia="zh-CN"/>
        </w:rPr>
        <w:t>7</w:t>
      </w:r>
      <w:r>
        <w:rPr>
          <w:rFonts w:hint="default" w:ascii="Times New Roman" w:hAnsi="Times New Roman" w:eastAsia="仿宋_GB2312" w:cs="Times New Roman"/>
          <w:sz w:val="32"/>
          <w:szCs w:val="32"/>
          <w:lang w:val="en-US" w:eastAsia="zh-CN"/>
        </w:rPr>
        <w:t>万元</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《2023 年度竹旅文体康产业融合发展财政奖补资金安排方案》已经县人民政府第5次常务会议审议通过，县人民政府同意由县财政拨付预算专项资金1000万元，超出预算的奖补资金从竹产业高质量发展项目资金中列支。其中由我中心发放竹旅文体康产业融合发展奖补资金共</w:t>
      </w:r>
      <w:r>
        <w:rPr>
          <w:rFonts w:hint="eastAsia" w:cs="Times New Roman"/>
          <w:sz w:val="32"/>
          <w:szCs w:val="32"/>
          <w:lang w:val="en-US" w:eastAsia="zh-CN"/>
        </w:rPr>
        <w:t>957.91</w:t>
      </w:r>
      <w:r>
        <w:rPr>
          <w:rFonts w:hint="default" w:ascii="Times New Roman" w:hAnsi="Times New Roman" w:eastAsia="仿宋_GB2312" w:cs="Times New Roman"/>
          <w:sz w:val="32"/>
          <w:szCs w:val="32"/>
          <w:lang w:val="en-US" w:eastAsia="zh-CN"/>
        </w:rPr>
        <w:t>万元，已全部拨付到位。</w:t>
      </w:r>
    </w:p>
    <w:p w14:paraId="36FDCC3F">
      <w:pPr>
        <w:pStyle w:val="5"/>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94" w:lineRule="atLeast"/>
        <w:ind w:left="0" w:leftChars="0"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竹产业高质量发展县项目根据</w:t>
      </w:r>
      <w:r>
        <w:rPr>
          <w:rFonts w:hint="default" w:ascii="Times New Roman" w:hAnsi="Times New Roman" w:eastAsia="仿宋_GB2312" w:cs="Times New Roman"/>
          <w:sz w:val="32"/>
          <w:szCs w:val="32"/>
          <w:lang w:val="en-US" w:eastAsia="zh-CN"/>
        </w:rPr>
        <w:t>《2023 年度竹旅文体康产业融合发展财政奖补资金安排方案》县人民政府同意由县财政拨付预算专项资金1000万元，超出预算的奖补资金从竹产业高质量发展项目资金中列支。</w:t>
      </w:r>
      <w:r>
        <w:rPr>
          <w:rFonts w:hint="eastAsia" w:cs="Times New Roman"/>
          <w:sz w:val="32"/>
          <w:szCs w:val="32"/>
          <w:lang w:val="en-US" w:eastAsia="zh-CN"/>
        </w:rPr>
        <w:t>其中由我中心发放竹旅文体康产业融合发展奖补资金超出预算部分共181.45万元，已全部拨付到位。</w:t>
      </w:r>
    </w:p>
    <w:p w14:paraId="38076AAF">
      <w:pPr>
        <w:pStyle w:val="5"/>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94" w:lineRule="atLeast"/>
        <w:ind w:left="0" w:leftChars="0" w:firstLine="640" w:firstLineChars="200"/>
        <w:jc w:val="both"/>
        <w:textAlignment w:val="auto"/>
        <w:rPr>
          <w:rFonts w:hint="eastAsia" w:cs="Times New Roman"/>
          <w:sz w:val="32"/>
          <w:szCs w:val="32"/>
          <w:lang w:val="en-US" w:eastAsia="zh-CN"/>
        </w:rPr>
      </w:pPr>
      <w:r>
        <w:rPr>
          <w:rFonts w:hint="eastAsia" w:cs="Times New Roman"/>
          <w:sz w:val="32"/>
          <w:szCs w:val="32"/>
          <w:lang w:val="en-US" w:eastAsia="zh-CN"/>
        </w:rPr>
        <w:t>2024年“以竹代塑”产业高质量发展推进会专项经费，根据习近平总书记向国际竹藤组织成立二十五周年志庆暨第二届世界竹藤大会致贺信中关于“以竹代塑”的有关精神，落实《加快“以竹代塑”发展三年行动计划》（发改环资〔2023〕1375号）相关要求，大力推动“以竹代塑”发展，由中国循环经济协会主办、桃江县人民政府承办了 2024“以竹代塑”产业高质量发展推进会，预算大会经费48.74万元，实际产生费用47.77万元，已全部拨付到位。</w:t>
      </w:r>
    </w:p>
    <w:p w14:paraId="1362FD61">
      <w:pPr>
        <w:pStyle w:val="5"/>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94" w:lineRule="atLeast"/>
        <w:ind w:left="0" w:leftChars="0" w:firstLine="640" w:firstLineChars="200"/>
        <w:jc w:val="both"/>
        <w:textAlignment w:val="auto"/>
        <w:rPr>
          <w:rFonts w:hint="default" w:cs="Times New Roman"/>
          <w:sz w:val="32"/>
          <w:szCs w:val="32"/>
          <w:lang w:val="en-US" w:eastAsia="zh-CN"/>
        </w:rPr>
      </w:pPr>
      <w:r>
        <w:rPr>
          <w:rFonts w:hint="default" w:cs="Times New Roman"/>
          <w:sz w:val="32"/>
          <w:szCs w:val="32"/>
          <w:lang w:val="en-US" w:eastAsia="zh-CN"/>
        </w:rPr>
        <w:t>上述项目在实施过程中，严格遵守了项目资金管理制度，竣工验收手续执行了支出审批规定。</w:t>
      </w:r>
    </w:p>
    <w:p w14:paraId="1225BD3B">
      <w:pPr>
        <w:spacing w:line="594" w:lineRule="exact"/>
        <w:ind w:firstLine="640" w:firstLineChars="200"/>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四、部门整体支出绩效情况分析</w:t>
      </w:r>
    </w:p>
    <w:p w14:paraId="08FD454B">
      <w:pPr>
        <w:keepNext w:val="0"/>
        <w:keepLines w:val="0"/>
        <w:pageBreakBefore w:val="0"/>
        <w:widowControl w:val="0"/>
        <w:numPr>
          <w:ilvl w:val="0"/>
          <w:numId w:val="0"/>
        </w:numPr>
        <w:kinsoku/>
        <w:wordWrap/>
        <w:overflowPunct/>
        <w:topLinePunct w:val="0"/>
        <w:autoSpaceDE/>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b w:val="0"/>
          <w:bCs w:val="0"/>
          <w:color w:val="auto"/>
          <w:spacing w:val="0"/>
          <w:kern w:val="2"/>
          <w:sz w:val="32"/>
          <w:szCs w:val="32"/>
          <w:lang w:val="en-US" w:eastAsia="zh-CN" w:bidi="ar-SA"/>
        </w:rPr>
        <w:t>2024年，我中心牵头制定了《桃江县竹旅文体康产业融合发展工作要点》，重点推进十大工程、78项具体工作任务，除了16项工作因上级政策调整等客观原因未完成，其他62项工作均已完成。具体情况汇报如下：</w:t>
      </w:r>
    </w:p>
    <w:p w14:paraId="000777F3">
      <w:pPr>
        <w:keepNext w:val="0"/>
        <w:keepLines w:val="0"/>
        <w:pageBreakBefore w:val="0"/>
        <w:numPr>
          <w:ilvl w:val="0"/>
          <w:numId w:val="5"/>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竹林资源培育持续发力。巩</w:t>
      </w:r>
      <w:r>
        <w:rPr>
          <w:rFonts w:hint="eastAsia" w:cs="Times New Roman"/>
          <w:kern w:val="0"/>
          <w:szCs w:val="32"/>
          <w:lang w:val="en-US" w:eastAsia="zh-CN"/>
        </w:rPr>
        <w:t>固</w:t>
      </w:r>
      <w:r>
        <w:rPr>
          <w:rFonts w:hint="default" w:ascii="Times New Roman" w:hAnsi="Times New Roman" w:cs="Times New Roman"/>
          <w:kern w:val="0"/>
          <w:szCs w:val="32"/>
          <w:lang w:val="en-US" w:eastAsia="zh-CN"/>
        </w:rPr>
        <w:t>2022—2023年全县新建笋竹两用林基地14000亩</w:t>
      </w:r>
      <w:r>
        <w:rPr>
          <w:rFonts w:hint="eastAsia" w:cs="Times New Roman"/>
          <w:kern w:val="0"/>
          <w:szCs w:val="32"/>
          <w:lang w:val="en-US" w:eastAsia="zh-CN"/>
        </w:rPr>
        <w:t>；</w:t>
      </w:r>
      <w:r>
        <w:rPr>
          <w:rFonts w:hint="default" w:ascii="Times New Roman" w:hAnsi="Times New Roman" w:cs="Times New Roman"/>
          <w:kern w:val="0"/>
          <w:szCs w:val="32"/>
          <w:lang w:val="en-US" w:eastAsia="zh-CN"/>
        </w:rPr>
        <w:t>新建竹林道200公里以上、笋竹两用林基地3000亩、复合经营示范基地300亩、竹种质资源圃40亩、实现竹笋加工量2亿斤；新发展笋竹专业合作社、家庭农场各3家；“‘五个引领’助力竹产业拔节向上”获农业农村部典型案例推介。</w:t>
      </w:r>
    </w:p>
    <w:p w14:paraId="78F0B734">
      <w:pPr>
        <w:keepNext w:val="0"/>
        <w:keepLines w:val="0"/>
        <w:pageBreakBefore w:val="0"/>
        <w:numPr>
          <w:ilvl w:val="0"/>
          <w:numId w:val="5"/>
        </w:numPr>
        <w:kinsoku/>
        <w:wordWrap/>
        <w:topLinePunct w:val="0"/>
        <w:autoSpaceDN/>
        <w:bidi w:val="0"/>
        <w:adjustRightInd/>
        <w:snapToGrid/>
        <w:spacing w:line="594" w:lineRule="atLeast"/>
        <w:ind w:firstLine="640" w:firstLineChars="200"/>
        <w:textAlignment w:val="auto"/>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园区发展布局初步成形。</w:t>
      </w:r>
      <w:r>
        <w:rPr>
          <w:rFonts w:ascii="Times New Roman" w:hAnsi="Times New Roman" w:eastAsia="仿宋_GB2312"/>
          <w:b w:val="0"/>
          <w:bCs w:val="0"/>
          <w:color w:val="000000"/>
          <w:spacing w:val="0"/>
          <w:sz w:val="32"/>
          <w:szCs w:val="32"/>
          <w:lang w:val="en-US" w:eastAsia="zh-CN"/>
        </w:rPr>
        <w:t>完成对全县“一园五区多点产业布局”的优化调整。</w:t>
      </w:r>
      <w:r>
        <w:rPr>
          <w:rFonts w:hint="eastAsia" w:ascii="Times New Roman" w:hAnsi="Times New Roman" w:eastAsia="仿宋_GB2312"/>
          <w:b w:val="0"/>
          <w:bCs w:val="0"/>
          <w:color w:val="000000"/>
          <w:spacing w:val="0"/>
          <w:sz w:val="32"/>
          <w:szCs w:val="32"/>
          <w:lang w:val="en-US" w:eastAsia="zh-CN"/>
        </w:rPr>
        <w:t>桃江</w:t>
      </w:r>
      <w:r>
        <w:rPr>
          <w:rFonts w:ascii="Times New Roman" w:hAnsi="Times New Roman" w:eastAsia="仿宋_GB2312"/>
          <w:b w:val="0"/>
          <w:bCs w:val="0"/>
          <w:color w:val="000000"/>
          <w:spacing w:val="0"/>
          <w:sz w:val="32"/>
          <w:szCs w:val="32"/>
          <w:lang w:val="en-US" w:eastAsia="zh-CN"/>
        </w:rPr>
        <w:t>高新区正在积极谋划建设投资超50亿元的竹基新材料产业园</w:t>
      </w:r>
      <w:r>
        <w:rPr>
          <w:rFonts w:hint="eastAsia" w:ascii="Times New Roman" w:hAnsi="Times New Roman" w:eastAsia="仿宋_GB2312"/>
          <w:b w:val="0"/>
          <w:bCs w:val="0"/>
          <w:color w:val="000000"/>
          <w:spacing w:val="0"/>
          <w:sz w:val="32"/>
          <w:szCs w:val="32"/>
          <w:lang w:val="en-US" w:eastAsia="zh-CN"/>
        </w:rPr>
        <w:t>；</w:t>
      </w:r>
      <w:r>
        <w:rPr>
          <w:rFonts w:ascii="Times New Roman" w:hAnsi="Times New Roman" w:eastAsia="仿宋_GB2312"/>
          <w:b w:val="0"/>
          <w:bCs w:val="0"/>
          <w:color w:val="000000"/>
          <w:spacing w:val="0"/>
          <w:sz w:val="32"/>
          <w:szCs w:val="32"/>
          <w:lang w:val="en-US" w:eastAsia="zh-CN"/>
        </w:rPr>
        <w:t>湖南竹产业电商园已签订投资合同。马迹塘笋竹特色产业园5万平方米标准化厂房建设已开始施工图深化设计；</w:t>
      </w:r>
      <w:r>
        <w:rPr>
          <w:rFonts w:hint="eastAsia" w:ascii="Times New Roman" w:hAnsi="Times New Roman" w:eastAsia="仿宋_GB2312"/>
          <w:b w:val="0"/>
          <w:bCs w:val="0"/>
          <w:color w:val="000000"/>
          <w:spacing w:val="0"/>
          <w:sz w:val="32"/>
          <w:szCs w:val="32"/>
          <w:lang w:val="en-US" w:eastAsia="zh-CN"/>
        </w:rPr>
        <w:t>武潭、大栗港、</w:t>
      </w:r>
      <w:r>
        <w:rPr>
          <w:rFonts w:ascii="Times New Roman" w:hAnsi="Times New Roman" w:eastAsia="仿宋_GB2312"/>
          <w:b w:val="0"/>
          <w:bCs w:val="0"/>
          <w:color w:val="000000"/>
          <w:spacing w:val="0"/>
          <w:sz w:val="32"/>
          <w:szCs w:val="32"/>
          <w:lang w:val="en-US" w:eastAsia="zh-CN"/>
        </w:rPr>
        <w:t>鸬鹚渡等乡镇初级加工区建设正在积极推进中。</w:t>
      </w:r>
    </w:p>
    <w:p w14:paraId="6EDA03E6">
      <w:pPr>
        <w:keepNext w:val="0"/>
        <w:keepLines w:val="0"/>
        <w:pageBreakBefore w:val="0"/>
        <w:numPr>
          <w:ilvl w:val="0"/>
          <w:numId w:val="5"/>
        </w:numPr>
        <w:kinsoku/>
        <w:wordWrap/>
        <w:topLinePunct w:val="0"/>
        <w:autoSpaceDN/>
        <w:bidi w:val="0"/>
        <w:adjustRightInd/>
        <w:snapToGrid/>
        <w:spacing w:line="594" w:lineRule="atLeast"/>
        <w:ind w:left="0" w:leftChars="0" w:firstLine="640" w:firstLineChars="200"/>
        <w:textAlignment w:val="auto"/>
        <w:rPr>
          <w:rFonts w:ascii="Times New Roman" w:hAnsi="Times New Roman" w:eastAsia="楷体_GB2312"/>
          <w:b/>
          <w:bCs/>
          <w:color w:val="000000"/>
          <w:spacing w:val="0"/>
          <w:sz w:val="32"/>
          <w:szCs w:val="32"/>
          <w:lang w:val="en-US" w:eastAsia="zh-CN"/>
        </w:rPr>
      </w:pPr>
      <w:r>
        <w:rPr>
          <w:rFonts w:hint="default" w:ascii="Times New Roman" w:hAnsi="Times New Roman" w:cs="Times New Roman"/>
          <w:kern w:val="0"/>
          <w:szCs w:val="32"/>
          <w:lang w:val="en-US" w:eastAsia="zh-CN"/>
        </w:rPr>
        <w:t>项目建设取得重要成果。</w:t>
      </w:r>
      <w:r>
        <w:rPr>
          <w:rFonts w:ascii="Times New Roman" w:hAnsi="Times New Roman" w:eastAsia="仿宋_GB2312"/>
          <w:b w:val="0"/>
          <w:bCs w:val="0"/>
          <w:color w:val="000000"/>
          <w:spacing w:val="0"/>
          <w:sz w:val="32"/>
          <w:szCs w:val="32"/>
          <w:lang w:val="en-US" w:eastAsia="zh-CN"/>
        </w:rPr>
        <w:t>大力实施精准招商，目前已引进竹旅文体康产业融合发展项目20个，总投资24.59亿元</w:t>
      </w:r>
      <w:r>
        <w:rPr>
          <w:rFonts w:hint="eastAsia" w:ascii="Times New Roman" w:hAnsi="Times New Roman" w:eastAsia="仿宋_GB2312"/>
          <w:b w:val="0"/>
          <w:bCs w:val="0"/>
          <w:color w:val="000000"/>
          <w:spacing w:val="0"/>
          <w:sz w:val="32"/>
          <w:szCs w:val="32"/>
          <w:lang w:val="en-US" w:eastAsia="zh-CN"/>
        </w:rPr>
        <w:t>；</w:t>
      </w:r>
      <w:r>
        <w:rPr>
          <w:rFonts w:ascii="Times New Roman" w:hAnsi="Times New Roman" w:eastAsia="仿宋_GB2312"/>
          <w:b w:val="0"/>
          <w:bCs w:val="0"/>
          <w:color w:val="000000"/>
          <w:spacing w:val="0"/>
          <w:sz w:val="32"/>
          <w:szCs w:val="32"/>
          <w:lang w:val="en-US" w:eastAsia="zh-CN"/>
        </w:rPr>
        <w:t>大栗港全竹综合利用等19个项目开工建设</w:t>
      </w:r>
      <w:r>
        <w:rPr>
          <w:rFonts w:hint="eastAsia" w:ascii="Times New Roman" w:hAnsi="Times New Roman" w:eastAsia="仿宋_GB2312"/>
          <w:b w:val="0"/>
          <w:bCs w:val="0"/>
          <w:color w:val="000000"/>
          <w:spacing w:val="0"/>
          <w:sz w:val="32"/>
          <w:szCs w:val="32"/>
          <w:lang w:val="en-US" w:eastAsia="zh-CN"/>
        </w:rPr>
        <w:t>，其中</w:t>
      </w:r>
      <w:r>
        <w:rPr>
          <w:rFonts w:ascii="Times New Roman" w:hAnsi="Times New Roman" w:eastAsia="仿宋_GB2312"/>
          <w:b w:val="0"/>
          <w:bCs w:val="0"/>
          <w:color w:val="000000"/>
          <w:spacing w:val="0"/>
          <w:sz w:val="32"/>
          <w:szCs w:val="32"/>
          <w:lang w:val="en-US" w:eastAsia="zh-CN"/>
        </w:rPr>
        <w:t>竹腾科技、竹芝实业等13个项目建成投产。</w:t>
      </w:r>
      <w:r>
        <w:rPr>
          <w:rFonts w:hint="eastAsia" w:ascii="Times New Roman" w:hAnsi="Times New Roman" w:eastAsia="仿宋_GB2312"/>
          <w:b w:val="0"/>
          <w:bCs w:val="0"/>
          <w:color w:val="000000"/>
          <w:spacing w:val="0"/>
          <w:sz w:val="32"/>
          <w:szCs w:val="32"/>
          <w:lang w:val="en-US" w:eastAsia="zh-CN"/>
        </w:rPr>
        <w:t>县直单位共计</w:t>
      </w:r>
      <w:r>
        <w:rPr>
          <w:rFonts w:ascii="Times New Roman" w:hAnsi="Times New Roman" w:eastAsia="仿宋_GB2312"/>
          <w:b w:val="0"/>
          <w:bCs w:val="0"/>
          <w:color w:val="000000"/>
          <w:spacing w:val="0"/>
          <w:sz w:val="32"/>
          <w:szCs w:val="32"/>
          <w:lang w:val="en-US" w:eastAsia="zh-CN"/>
        </w:rPr>
        <w:t>整合项目资金2.6亿元</w:t>
      </w:r>
      <w:r>
        <w:rPr>
          <w:rFonts w:hint="eastAsia" w:ascii="Times New Roman" w:hAnsi="Times New Roman" w:eastAsia="仿宋_GB2312"/>
          <w:b w:val="0"/>
          <w:bCs w:val="0"/>
          <w:color w:val="000000"/>
          <w:spacing w:val="0"/>
          <w:sz w:val="32"/>
          <w:szCs w:val="32"/>
          <w:lang w:val="en-US" w:eastAsia="zh-CN"/>
        </w:rPr>
        <w:t>；对接各大银行</w:t>
      </w:r>
      <w:r>
        <w:rPr>
          <w:rFonts w:ascii="Times New Roman" w:hAnsi="Times New Roman" w:eastAsia="仿宋_GB2312"/>
          <w:b w:val="0"/>
          <w:bCs w:val="0"/>
          <w:color w:val="000000"/>
          <w:spacing w:val="0"/>
          <w:sz w:val="32"/>
          <w:szCs w:val="32"/>
          <w:lang w:val="en-US" w:eastAsia="zh-CN"/>
        </w:rPr>
        <w:t>开通“笋竹贷”业务，共发放笋竹贷款39.58亿元</w:t>
      </w:r>
      <w:r>
        <w:rPr>
          <w:rFonts w:hint="eastAsia"/>
          <w:b w:val="0"/>
          <w:bCs w:val="0"/>
          <w:color w:val="000000"/>
          <w:spacing w:val="0"/>
          <w:sz w:val="32"/>
          <w:szCs w:val="32"/>
          <w:lang w:val="en-US" w:eastAsia="zh-CN"/>
        </w:rPr>
        <w:t>。</w:t>
      </w:r>
    </w:p>
    <w:p w14:paraId="2D30C000">
      <w:pPr>
        <w:keepNext w:val="0"/>
        <w:keepLines w:val="0"/>
        <w:pageBreakBefore w:val="0"/>
        <w:numPr>
          <w:ilvl w:val="0"/>
          <w:numId w:val="5"/>
        </w:numPr>
        <w:kinsoku/>
        <w:wordWrap/>
        <w:topLinePunct w:val="0"/>
        <w:autoSpaceDN/>
        <w:bidi w:val="0"/>
        <w:adjustRightInd/>
        <w:snapToGrid/>
        <w:spacing w:line="594" w:lineRule="atLeast"/>
        <w:ind w:left="0" w:leftChars="0" w:firstLine="640" w:firstLineChars="200"/>
        <w:textAlignment w:val="auto"/>
        <w:rPr>
          <w:rFonts w:ascii="Times New Roman" w:hAnsi="Times New Roman" w:eastAsia="楷体_GB2312"/>
          <w:b/>
          <w:bCs/>
          <w:color w:val="000000"/>
          <w:spacing w:val="0"/>
          <w:sz w:val="32"/>
          <w:szCs w:val="32"/>
          <w:lang w:val="en-US" w:eastAsia="zh-CN"/>
        </w:rPr>
      </w:pPr>
      <w:r>
        <w:rPr>
          <w:rFonts w:hint="default" w:ascii="Times New Roman" w:hAnsi="Times New Roman" w:cs="Times New Roman"/>
          <w:kern w:val="0"/>
          <w:szCs w:val="32"/>
          <w:lang w:val="en-US" w:eastAsia="zh-CN"/>
        </w:rPr>
        <w:t>科技创新能力不断增强</w:t>
      </w:r>
      <w:r>
        <w:rPr>
          <w:rFonts w:ascii="Times New Roman" w:hAnsi="Times New Roman" w:eastAsia="楷体_GB2312"/>
          <w:b w:val="0"/>
          <w:bCs w:val="0"/>
          <w:color w:val="000000"/>
          <w:spacing w:val="0"/>
          <w:sz w:val="32"/>
          <w:szCs w:val="32"/>
          <w:lang w:val="en-US" w:eastAsia="zh-CN"/>
        </w:rPr>
        <w:t>。</w:t>
      </w:r>
      <w:r>
        <w:rPr>
          <w:rFonts w:ascii="Times New Roman" w:hAnsi="Times New Roman" w:eastAsia="仿宋_GB2312"/>
          <w:b w:val="0"/>
          <w:bCs w:val="0"/>
          <w:color w:val="000000"/>
          <w:spacing w:val="0"/>
          <w:sz w:val="32"/>
          <w:szCs w:val="32"/>
          <w:lang w:val="en-US" w:eastAsia="zh-CN"/>
        </w:rPr>
        <w:t>省林业局批复同意成立湖南省新质竹产业研究院并落户桃江；波恩贝、麓上住工等2家企业成功申报省林业产业化龙头企业</w:t>
      </w:r>
      <w:r>
        <w:rPr>
          <w:rFonts w:hint="eastAsia" w:ascii="Times New Roman" w:hAnsi="Times New Roman" w:eastAsia="仿宋_GB2312"/>
          <w:b w:val="0"/>
          <w:bCs w:val="0"/>
          <w:color w:val="000000"/>
          <w:spacing w:val="0"/>
          <w:sz w:val="32"/>
          <w:szCs w:val="32"/>
          <w:lang w:val="en-US" w:eastAsia="zh-CN"/>
        </w:rPr>
        <w:t>。</w:t>
      </w:r>
      <w:r>
        <w:rPr>
          <w:rFonts w:ascii="Times New Roman" w:hAnsi="Times New Roman" w:eastAsia="仿宋_GB2312"/>
          <w:b w:val="0"/>
          <w:bCs w:val="0"/>
          <w:color w:val="000000"/>
          <w:spacing w:val="0"/>
          <w:sz w:val="32"/>
          <w:szCs w:val="32"/>
          <w:lang w:val="en-US" w:eastAsia="zh-CN"/>
        </w:rPr>
        <w:t>竹材科技</w:t>
      </w:r>
      <w:r>
        <w:rPr>
          <w:rFonts w:hint="eastAsia" w:ascii="Times New Roman" w:hAnsi="Times New Roman" w:eastAsia="仿宋_GB2312"/>
          <w:b w:val="0"/>
          <w:bCs w:val="0"/>
          <w:color w:val="000000"/>
          <w:spacing w:val="0"/>
          <w:sz w:val="32"/>
          <w:szCs w:val="32"/>
          <w:lang w:val="en-US" w:eastAsia="zh-CN"/>
        </w:rPr>
        <w:t>、</w:t>
      </w:r>
      <w:r>
        <w:rPr>
          <w:rFonts w:ascii="Times New Roman" w:hAnsi="Times New Roman" w:eastAsia="仿宋_GB2312"/>
          <w:b w:val="0"/>
          <w:bCs w:val="0"/>
          <w:color w:val="000000"/>
          <w:spacing w:val="0"/>
          <w:sz w:val="32"/>
          <w:szCs w:val="32"/>
          <w:lang w:val="en-US" w:eastAsia="zh-CN"/>
        </w:rPr>
        <w:t>万维竹业</w:t>
      </w:r>
      <w:r>
        <w:rPr>
          <w:rFonts w:hint="eastAsia" w:ascii="Times New Roman" w:hAnsi="Times New Roman" w:eastAsia="仿宋_GB2312"/>
          <w:b w:val="0"/>
          <w:bCs w:val="0"/>
          <w:color w:val="000000"/>
          <w:spacing w:val="0"/>
          <w:sz w:val="32"/>
          <w:szCs w:val="32"/>
          <w:lang w:val="en-US" w:eastAsia="zh-CN"/>
        </w:rPr>
        <w:t>、竹缘林科、波恩贝竹木等企业与各大院校教授</w:t>
      </w:r>
      <w:r>
        <w:rPr>
          <w:rFonts w:ascii="Times New Roman" w:hAnsi="Times New Roman" w:eastAsia="仿宋_GB2312"/>
          <w:b w:val="0"/>
          <w:bCs w:val="0"/>
          <w:color w:val="000000"/>
          <w:spacing w:val="0"/>
          <w:sz w:val="32"/>
          <w:szCs w:val="32"/>
          <w:lang w:val="en-US" w:eastAsia="zh-CN"/>
        </w:rPr>
        <w:t>合作开展产学研合作</w:t>
      </w:r>
      <w:r>
        <w:rPr>
          <w:rFonts w:hint="eastAsia" w:ascii="Times New Roman" w:hAnsi="Times New Roman" w:eastAsia="仿宋_GB2312"/>
          <w:b w:val="0"/>
          <w:bCs w:val="0"/>
          <w:color w:val="000000"/>
          <w:spacing w:val="0"/>
          <w:sz w:val="32"/>
          <w:szCs w:val="32"/>
          <w:lang w:val="en-US" w:eastAsia="zh-CN"/>
        </w:rPr>
        <w:t>；</w:t>
      </w:r>
      <w:r>
        <w:rPr>
          <w:rFonts w:ascii="Times New Roman" w:hAnsi="Times New Roman" w:eastAsia="仿宋_GB2312"/>
          <w:b w:val="0"/>
          <w:bCs w:val="0"/>
          <w:color w:val="000000"/>
          <w:spacing w:val="0"/>
          <w:sz w:val="32"/>
          <w:szCs w:val="32"/>
          <w:lang w:val="en-US" w:eastAsia="zh-CN"/>
        </w:rPr>
        <w:t>已与中麻所签订战略合作协议，开展了桃江竹笋健康属性等方面的研究。</w:t>
      </w:r>
    </w:p>
    <w:p w14:paraId="33B84278">
      <w:pPr>
        <w:keepNext w:val="0"/>
        <w:keepLines w:val="0"/>
        <w:pageBreakBefore w:val="0"/>
        <w:numPr>
          <w:ilvl w:val="0"/>
          <w:numId w:val="5"/>
        </w:numPr>
        <w:kinsoku/>
        <w:wordWrap/>
        <w:topLinePunct w:val="0"/>
        <w:autoSpaceDN/>
        <w:bidi w:val="0"/>
        <w:adjustRightInd/>
        <w:snapToGrid/>
        <w:spacing w:line="594" w:lineRule="atLeast"/>
        <w:ind w:left="0" w:leftChars="0" w:firstLine="640" w:firstLineChars="200"/>
        <w:textAlignment w:val="auto"/>
        <w:rPr>
          <w:rFonts w:hint="default"/>
          <w:lang w:val="en-US" w:eastAsia="zh-CN"/>
        </w:rPr>
      </w:pPr>
      <w:r>
        <w:rPr>
          <w:rFonts w:hint="default" w:ascii="Times New Roman" w:hAnsi="Times New Roman" w:cs="Times New Roman"/>
          <w:kern w:val="0"/>
          <w:szCs w:val="32"/>
          <w:lang w:val="en-US" w:eastAsia="zh-CN"/>
        </w:rPr>
        <w:t>品牌宣传推介亮点纷呈。</w:t>
      </w:r>
      <w:r>
        <w:rPr>
          <w:rFonts w:ascii="Times New Roman" w:hAnsi="Times New Roman" w:eastAsia="仿宋_GB2312"/>
          <w:b w:val="0"/>
          <w:bCs w:val="0"/>
          <w:color w:val="000000"/>
          <w:spacing w:val="0"/>
          <w:sz w:val="32"/>
          <w:szCs w:val="32"/>
          <w:lang w:val="en-US" w:eastAsia="zh-CN"/>
        </w:rPr>
        <w:t>2024年共发表新闻稿件780篇，其中《人民日报》纸媒版面头条上稿1篇、客户端上稿2篇，央视刊播4条；先后举办或承办益阳市文旅融合发展大会、全国2024“以竹代塑”产业高质量发展推进会等节会活动；“全笋宴”获国家文旅部推荐；桃江作为湖南省唯一受邀地方单位参加国家林草局组织和国家发改委、财政部等十三个部办委参加的“以竹代塑”座谈会，会上县长推荐桃江经验。</w:t>
      </w:r>
    </w:p>
    <w:p w14:paraId="1EB4F817">
      <w:pPr>
        <w:keepNext w:val="0"/>
        <w:keepLines w:val="0"/>
        <w:pageBreakBefore w:val="0"/>
        <w:numPr>
          <w:ilvl w:val="0"/>
          <w:numId w:val="5"/>
        </w:numPr>
        <w:kinsoku/>
        <w:wordWrap/>
        <w:topLinePunct w:val="0"/>
        <w:autoSpaceDN/>
        <w:bidi w:val="0"/>
        <w:adjustRightInd/>
        <w:snapToGrid/>
        <w:spacing w:line="594" w:lineRule="atLeast"/>
        <w:ind w:left="0" w:leftChars="0" w:firstLine="640" w:firstLineChars="200"/>
        <w:textAlignment w:val="auto"/>
        <w:rPr>
          <w:rFonts w:ascii="Times New Roman" w:hAnsi="Times New Roman" w:eastAsia="仿宋_GB2312"/>
          <w:b w:val="0"/>
          <w:bCs w:val="0"/>
          <w:color w:val="000000"/>
          <w:spacing w:val="0"/>
          <w:sz w:val="32"/>
          <w:szCs w:val="32"/>
          <w:lang w:val="en-US" w:eastAsia="zh-CN"/>
        </w:rPr>
      </w:pPr>
      <w:r>
        <w:rPr>
          <w:rFonts w:hint="default" w:ascii="Times New Roman" w:hAnsi="Times New Roman" w:cs="Times New Roman"/>
          <w:kern w:val="0"/>
          <w:szCs w:val="32"/>
          <w:lang w:val="en-US" w:eastAsia="zh-CN"/>
        </w:rPr>
        <w:t>产业融合发展成效显著。</w:t>
      </w:r>
      <w:r>
        <w:rPr>
          <w:rFonts w:ascii="Times New Roman" w:hAnsi="Times New Roman" w:eastAsia="仿宋_GB2312"/>
          <w:b w:val="0"/>
          <w:bCs w:val="0"/>
          <w:color w:val="000000"/>
          <w:spacing w:val="0"/>
          <w:sz w:val="32"/>
          <w:szCs w:val="32"/>
          <w:lang w:val="en-US" w:eastAsia="zh-CN"/>
        </w:rPr>
        <w:t>桃花江竹海景区、修山“小洱海”国际露营基地、三堂街水岸小镇提质升级，张子清红色教育基地、莫应丰书屋完成建设。罗溪村获评全国三星级地质文化村、省级森林康养基地，新增国家3A级旅游景区2家和省级星级乡村旅游点、旅游民宿6家。开发桃江一日游精品旅游线路6条、两日游精品旅游线路2条、三日游精品旅游线路1条。</w:t>
      </w:r>
    </w:p>
    <w:p w14:paraId="1BDFEC8C">
      <w:pPr>
        <w:spacing w:line="594" w:lineRule="exact"/>
        <w:ind w:firstLine="640" w:firstLineChars="200"/>
        <w:rPr>
          <w:rFonts w:hint="default" w:ascii="Times New Roman" w:hAnsi="Times New Roman" w:cs="Times New Roman"/>
          <w:kern w:val="0"/>
          <w:szCs w:val="32"/>
        </w:rPr>
      </w:pPr>
      <w:r>
        <w:rPr>
          <w:rFonts w:hint="default" w:ascii="Times New Roman" w:hAnsi="Times New Roman" w:eastAsia="黑体" w:cs="Times New Roman"/>
          <w:bCs/>
          <w:kern w:val="0"/>
          <w:szCs w:val="32"/>
        </w:rPr>
        <w:t>五、绩效评价工作开展情况</w:t>
      </w:r>
    </w:p>
    <w:p w14:paraId="274698FC">
      <w:pPr>
        <w:spacing w:line="594" w:lineRule="exact"/>
        <w:ind w:firstLine="640" w:firstLineChars="200"/>
        <w:rPr>
          <w:rFonts w:hint="default" w:ascii="Times New Roman" w:hAnsi="Times New Roman" w:cs="Times New Roman"/>
        </w:rPr>
      </w:pPr>
      <w:r>
        <w:rPr>
          <w:rFonts w:hint="default" w:ascii="Times New Roman" w:hAnsi="Times New Roman" w:cs="Times New Roman"/>
        </w:rPr>
        <w:t>（一）绩效评价</w:t>
      </w:r>
      <w:r>
        <w:rPr>
          <w:rFonts w:hint="default" w:ascii="Times New Roman" w:hAnsi="Times New Roman" w:cs="Times New Roman"/>
          <w:kern w:val="0"/>
          <w:szCs w:val="32"/>
        </w:rPr>
        <w:t>目的</w:t>
      </w:r>
    </w:p>
    <w:p w14:paraId="23D5400B">
      <w:pPr>
        <w:spacing w:line="594" w:lineRule="exact"/>
        <w:ind w:firstLine="640" w:firstLineChars="200"/>
        <w:rPr>
          <w:rFonts w:hint="default" w:ascii="Times New Roman" w:hAnsi="Times New Roman" w:cs="Times New Roman"/>
        </w:rPr>
      </w:pPr>
      <w:r>
        <w:rPr>
          <w:rFonts w:hint="default" w:ascii="Times New Roman" w:hAnsi="Times New Roman" w:cs="Times New Roman"/>
        </w:rPr>
        <w:t>本次绩效评价的目的是为了全面分析和综合评价我中心本级财政预算资金使用管理情况，进一步规范完善资金使用管理制度，为切实提高财政资金使用效益，强化预算支出的责任和效率提供参考依据。</w:t>
      </w:r>
    </w:p>
    <w:p w14:paraId="0B6C462A">
      <w:pPr>
        <w:spacing w:line="594" w:lineRule="exact"/>
        <w:ind w:firstLine="640" w:firstLineChars="200"/>
        <w:rPr>
          <w:rFonts w:hint="default" w:ascii="Times New Roman" w:hAnsi="Times New Roman" w:cs="Times New Roman"/>
        </w:rPr>
      </w:pPr>
      <w:r>
        <w:rPr>
          <w:rFonts w:hint="default" w:ascii="Times New Roman" w:hAnsi="Times New Roman" w:cs="Times New Roman"/>
        </w:rPr>
        <w:t>（二）绩效</w:t>
      </w:r>
      <w:r>
        <w:rPr>
          <w:rFonts w:hint="default" w:ascii="Times New Roman" w:hAnsi="Times New Roman" w:cs="Times New Roman"/>
          <w:kern w:val="0"/>
          <w:szCs w:val="32"/>
        </w:rPr>
        <w:t>评价</w:t>
      </w:r>
      <w:r>
        <w:rPr>
          <w:rFonts w:hint="default" w:ascii="Times New Roman" w:hAnsi="Times New Roman" w:cs="Times New Roman"/>
        </w:rPr>
        <w:t>工作过程</w:t>
      </w:r>
    </w:p>
    <w:p w14:paraId="4D8FB6F8">
      <w:pPr>
        <w:spacing w:line="594" w:lineRule="exact"/>
        <w:ind w:firstLine="640" w:firstLineChars="200"/>
        <w:rPr>
          <w:rFonts w:hint="default" w:ascii="Times New Roman" w:hAnsi="Times New Roman" w:cs="Times New Roman"/>
        </w:rPr>
      </w:pPr>
      <w:r>
        <w:rPr>
          <w:rFonts w:hint="default" w:ascii="Times New Roman" w:hAnsi="Times New Roman" w:cs="Times New Roman"/>
        </w:rPr>
        <w:t>我中心按照县财政局绩效评价工作要求，第一阶段为前期准备：由综合办公室牵头，组织有关业务股室制定了方案，明确部门单位责任，成立了中心绩效评价领导小组，由单位主要负责人、财务负责人、股室及办公室工作人员组成。第二阶段开展自评：根据上一阶段任务布置，按照</w:t>
      </w:r>
      <w:r>
        <w:rPr>
          <w:rFonts w:hint="default" w:ascii="Times New Roman" w:hAnsi="Times New Roman" w:cs="Times New Roman"/>
          <w:kern w:val="0"/>
          <w:szCs w:val="32"/>
        </w:rPr>
        <w:t>要求</w:t>
      </w:r>
      <w:r>
        <w:rPr>
          <w:rFonts w:hint="default" w:ascii="Times New Roman" w:hAnsi="Times New Roman" w:cs="Times New Roman"/>
        </w:rPr>
        <w:t>开展自评工作，按照年初确定的绩效目标和考核办法，每季度各股室开展自评、中心绩效办收集整理资料交中心领导点评，年末绩效考核办组织综合评价；第三阶段为出具评价报告：我中心发展规划股联合相关股室查阅相关文件资料和财务凭证，收集资料进行定量定性分析，综合评价后出具绩效评价报告。通过对财政支出绩效评价，强化财政支出绩效理念，科学合理地编制年度预算，切实发挥了财政资金的资源配置作用，全面推动了中心工作的创新健康发展。</w:t>
      </w:r>
    </w:p>
    <w:p w14:paraId="34F18864">
      <w:pPr>
        <w:spacing w:line="594" w:lineRule="exact"/>
        <w:ind w:firstLine="640" w:firstLineChars="200"/>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六、存在的主要问题</w:t>
      </w:r>
    </w:p>
    <w:p w14:paraId="54357E4B">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从202</w:t>
      </w:r>
      <w:r>
        <w:rPr>
          <w:rFonts w:hint="eastAsia" w:cs="Times New Roman"/>
          <w:kern w:val="0"/>
          <w:szCs w:val="32"/>
          <w:lang w:val="en-US" w:eastAsia="zh-CN"/>
        </w:rPr>
        <w:t>4</w:t>
      </w:r>
      <w:r>
        <w:rPr>
          <w:rFonts w:hint="default" w:ascii="Times New Roman" w:hAnsi="Times New Roman" w:cs="Times New Roman"/>
          <w:kern w:val="0"/>
          <w:szCs w:val="32"/>
        </w:rPr>
        <w:t>年度部门整体预算收支出各指标完成情况看，部门整体预算的编制、执行和管理过程以及职能发挥和履职效益总体较好，但也还存在以下问题：</w:t>
      </w:r>
    </w:p>
    <w:p w14:paraId="46BAF2C1">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1</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预算资金不能及时到位，一些支出没有及时结算。导致资金未能及时使用，影响整体支出的预算完成率。</w:t>
      </w:r>
    </w:p>
    <w:p w14:paraId="46C3525E">
      <w:pPr>
        <w:spacing w:line="594" w:lineRule="exact"/>
        <w:ind w:firstLine="640" w:firstLineChars="200"/>
        <w:rPr>
          <w:rFonts w:hint="default" w:ascii="Times New Roman" w:hAnsi="Times New Roman" w:eastAsia="仿宋_GB2312" w:cs="Times New Roman"/>
          <w:kern w:val="0"/>
          <w:szCs w:val="32"/>
          <w:lang w:eastAsia="zh-CN"/>
        </w:rPr>
      </w:pPr>
      <w:r>
        <w:rPr>
          <w:rFonts w:hint="default" w:ascii="Times New Roman" w:hAnsi="Times New Roman" w:cs="Times New Roman"/>
          <w:kern w:val="0"/>
          <w:szCs w:val="32"/>
        </w:rPr>
        <w:t>2</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人员素质有待进一步提高</w:t>
      </w:r>
      <w:r>
        <w:rPr>
          <w:rFonts w:hint="default" w:ascii="Times New Roman" w:hAnsi="Times New Roman" w:cs="Times New Roman"/>
          <w:kern w:val="0"/>
          <w:szCs w:val="32"/>
          <w:lang w:eastAsia="zh-CN"/>
        </w:rPr>
        <w:t>。</w:t>
      </w:r>
    </w:p>
    <w:p w14:paraId="390CF27C">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由于预算绩效管理工作涉及面广，专业性强，加上缺乏系统的培训，相关人员对预算绩效管理理解不充分，对预算绩效管理业务不精通，在一定程度上影响了绩效评价工作质量。</w:t>
      </w:r>
    </w:p>
    <w:p w14:paraId="0E457155">
      <w:pPr>
        <w:spacing w:line="594" w:lineRule="exact"/>
        <w:ind w:firstLine="640" w:firstLineChars="200"/>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七、改进措施和有关建议</w:t>
      </w:r>
    </w:p>
    <w:p w14:paraId="6C5C0D2C">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1、细化预算编制工作</w:t>
      </w:r>
    </w:p>
    <w:p w14:paraId="157BB1B5">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进一步加强</w:t>
      </w:r>
      <w:r>
        <w:rPr>
          <w:rFonts w:hint="default" w:ascii="Times New Roman" w:hAnsi="Times New Roman" w:cs="Times New Roman"/>
          <w:kern w:val="0"/>
          <w:szCs w:val="32"/>
          <w:lang w:eastAsia="zh-CN"/>
        </w:rPr>
        <w:t>中心</w:t>
      </w:r>
      <w:r>
        <w:rPr>
          <w:rFonts w:hint="default" w:ascii="Times New Roman" w:hAnsi="Times New Roman" w:cs="Times New Roman"/>
          <w:kern w:val="0"/>
          <w:szCs w:val="32"/>
        </w:rPr>
        <w:t>内各股室的预算管理意识,严格预算编制的相关制度和要求</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规范预算编制程序。公用经费根据单位的年度工作重点和项目专项工作规划</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本着“勤俭节约、保障运转”的原则进行预算的编制。进一步提高预算编制的科学性、合理性、严谨性和可控性。</w:t>
      </w:r>
    </w:p>
    <w:p w14:paraId="1526C79E">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2、加强预算执行管理</w:t>
      </w:r>
    </w:p>
    <w:p w14:paraId="7958C851">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遵循预算管理办法</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从严控制年中追加预算规模。对于年度无法预计的临时追加的相关工作所需费用</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严格按照预算调整追加程序,逐级申报报批,有效降低预算控制率。</w:t>
      </w:r>
    </w:p>
    <w:p w14:paraId="6213DC86">
      <w:pPr>
        <w:numPr>
          <w:ilvl w:val="0"/>
          <w:numId w:val="6"/>
        </w:numPr>
        <w:spacing w:line="594" w:lineRule="exact"/>
        <w:ind w:firstLine="640" w:firstLineChars="200"/>
        <w:rPr>
          <w:rFonts w:hint="default" w:ascii="Times New Roman" w:hAnsi="Times New Roman" w:cs="Times New Roman"/>
          <w:color w:val="000000"/>
          <w:sz w:val="30"/>
          <w:szCs w:val="30"/>
        </w:rPr>
      </w:pPr>
      <w:r>
        <w:rPr>
          <w:rFonts w:hint="eastAsia" w:cs="Times New Roman"/>
          <w:kern w:val="0"/>
          <w:szCs w:val="32"/>
          <w:lang w:eastAsia="zh-CN"/>
        </w:rPr>
        <w:t>提升专业化水平和执行力</w:t>
      </w:r>
    </w:p>
    <w:p w14:paraId="52D81B1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000000"/>
          <w:sz w:val="30"/>
          <w:szCs w:val="30"/>
        </w:rPr>
      </w:pPr>
      <w:r>
        <w:rPr>
          <w:rFonts w:hint="eastAsia" w:cs="Times New Roman"/>
          <w:kern w:val="0"/>
          <w:szCs w:val="32"/>
          <w:lang w:eastAsia="zh-CN"/>
        </w:rPr>
        <w:t>加强财务人员的指导和培训，增强财务人员业务能力、专业素质和思想水平。</w:t>
      </w:r>
    </w:p>
    <w:p w14:paraId="1A9E1A0D">
      <w:pPr>
        <w:widowControl w:val="0"/>
        <w:kinsoku/>
        <w:autoSpaceDE/>
        <w:autoSpaceDN/>
        <w:adjustRightInd/>
        <w:snapToGrid/>
        <w:spacing w:line="594" w:lineRule="exact"/>
        <w:jc w:val="left"/>
        <w:textAlignment w:val="auto"/>
        <w:rPr>
          <w:rFonts w:hint="default" w:ascii="Times New Roman" w:hAnsi="Times New Roman" w:eastAsia="黑体" w:cs="Times New Roman"/>
          <w:bCs/>
          <w:snapToGrid/>
          <w:color w:val="000000"/>
          <w:kern w:val="0"/>
          <w:sz w:val="32"/>
          <w:szCs w:val="32"/>
          <w:lang w:val="en-US" w:eastAsia="zh-CN"/>
        </w:rPr>
      </w:pPr>
      <w:r>
        <w:rPr>
          <w:rFonts w:ascii="Times New Roman" w:hAnsi="Times New Roman" w:eastAsia="黑体" w:cs="Times New Roman"/>
          <w:bCs/>
          <w:snapToGrid/>
          <w:color w:val="000000"/>
          <w:kern w:val="0"/>
          <w:sz w:val="32"/>
          <w:szCs w:val="32"/>
          <w:lang w:eastAsia="zh-CN"/>
        </w:rPr>
        <w:t>附件</w:t>
      </w:r>
      <w:r>
        <w:rPr>
          <w:rFonts w:hint="eastAsia" w:ascii="Times New Roman" w:hAnsi="Times New Roman" w:eastAsia="黑体" w:cs="Times New Roman"/>
          <w:bCs/>
          <w:snapToGrid/>
          <w:color w:val="000000"/>
          <w:kern w:val="0"/>
          <w:sz w:val="32"/>
          <w:szCs w:val="32"/>
          <w:lang w:val="en-US" w:eastAsia="zh-CN"/>
        </w:rPr>
        <w:t>2</w:t>
      </w:r>
    </w:p>
    <w:p w14:paraId="1438505A">
      <w:pPr>
        <w:kinsoku w:val="0"/>
        <w:autoSpaceDE w:val="0"/>
        <w:autoSpaceDN w:val="0"/>
        <w:adjustRightInd w:val="0"/>
        <w:snapToGrid w:val="0"/>
        <w:spacing w:before="86" w:line="261" w:lineRule="auto"/>
        <w:ind w:left="3710" w:right="832" w:hanging="2729"/>
        <w:jc w:val="left"/>
        <w:textAlignment w:val="baseline"/>
        <w:rPr>
          <w:rFonts w:ascii="Times New Roman" w:hAnsi="Times New Roman" w:eastAsia="方正小标宋简体" w:cs="Times New Roman"/>
          <w:bCs/>
          <w:snapToGrid/>
          <w:color w:val="000000"/>
          <w:kern w:val="0"/>
          <w:sz w:val="44"/>
          <w:szCs w:val="44"/>
          <w:lang w:val="en-US" w:eastAsia="zh-CN" w:bidi="ar-SA"/>
        </w:rPr>
      </w:pPr>
      <w:r>
        <w:rPr>
          <w:rFonts w:ascii="Times New Roman" w:hAnsi="Times New Roman" w:eastAsia="方正小标宋简体" w:cs="Times New Roman"/>
          <w:bCs/>
          <w:snapToGrid/>
          <w:color w:val="000000"/>
          <w:kern w:val="0"/>
          <w:sz w:val="44"/>
          <w:szCs w:val="44"/>
          <w:lang w:val="en-US" w:eastAsia="zh-CN" w:bidi="ar-SA"/>
        </w:rPr>
        <w:t>桃江县2024年度部门整体支出绩效评价基础数据表</w:t>
      </w:r>
    </w:p>
    <w:p w14:paraId="6963A713">
      <w:pPr>
        <w:widowControl/>
        <w:kinsoku w:val="0"/>
        <w:autoSpaceDE w:val="0"/>
        <w:autoSpaceDN w:val="0"/>
        <w:adjustRightInd w:val="0"/>
        <w:snapToGrid w:val="0"/>
        <w:spacing w:line="81" w:lineRule="exact"/>
        <w:jc w:val="left"/>
        <w:textAlignment w:val="baseline"/>
        <w:rPr>
          <w:rFonts w:ascii="Arial" w:hAnsi="Arial" w:eastAsia="Arial" w:cs="Arial"/>
          <w:snapToGrid w:val="0"/>
          <w:color w:val="000000"/>
          <w:kern w:val="0"/>
          <w:sz w:val="21"/>
          <w:szCs w:val="21"/>
          <w:lang w:eastAsia="en-US"/>
        </w:rPr>
      </w:pPr>
    </w:p>
    <w:tbl>
      <w:tblPr>
        <w:tblStyle w:val="9"/>
        <w:tblW w:w="100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4"/>
        <w:gridCol w:w="567"/>
        <w:gridCol w:w="1007"/>
        <w:gridCol w:w="836"/>
        <w:gridCol w:w="1335"/>
        <w:gridCol w:w="1021"/>
        <w:gridCol w:w="1061"/>
      </w:tblGrid>
      <w:tr w14:paraId="08C4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214" w:type="dxa"/>
            <w:vMerge w:val="restart"/>
            <w:tcBorders>
              <w:bottom w:val="nil"/>
            </w:tcBorders>
            <w:vAlign w:val="top"/>
          </w:tcPr>
          <w:p w14:paraId="286955D7">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6A94EF7C">
            <w:pPr>
              <w:widowControl/>
              <w:kinsoku w:val="0"/>
              <w:autoSpaceDE w:val="0"/>
              <w:autoSpaceDN w:val="0"/>
              <w:adjustRightInd w:val="0"/>
              <w:snapToGrid w:val="0"/>
              <w:spacing w:before="71" w:line="219" w:lineRule="auto"/>
              <w:ind w:left="784"/>
              <w:jc w:val="left"/>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财政供养人员情况(人</w:t>
            </w:r>
            <w:r>
              <w:rPr>
                <w:rFonts w:ascii="宋体" w:hAnsi="宋体" w:eastAsia="宋体" w:cs="宋体"/>
                <w:snapToGrid w:val="0"/>
                <w:color w:val="000000"/>
                <w:spacing w:val="4"/>
                <w:kern w:val="0"/>
                <w:sz w:val="22"/>
                <w:szCs w:val="22"/>
                <w:lang w:eastAsia="en-US"/>
              </w:rPr>
              <w:t>)</w:t>
            </w:r>
          </w:p>
        </w:tc>
        <w:tc>
          <w:tcPr>
            <w:tcW w:w="1574" w:type="dxa"/>
            <w:gridSpan w:val="2"/>
            <w:vAlign w:val="top"/>
          </w:tcPr>
          <w:p w14:paraId="6E6105B8">
            <w:pPr>
              <w:widowControl w:val="0"/>
              <w:kinsoku/>
              <w:autoSpaceDE w:val="0"/>
              <w:autoSpaceDN w:val="0"/>
              <w:adjustRightInd/>
              <w:snapToGrid/>
              <w:spacing w:line="36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编制数</w:t>
            </w:r>
          </w:p>
        </w:tc>
        <w:tc>
          <w:tcPr>
            <w:tcW w:w="2171" w:type="dxa"/>
            <w:gridSpan w:val="2"/>
            <w:vAlign w:val="top"/>
          </w:tcPr>
          <w:p w14:paraId="288921B9">
            <w:pPr>
              <w:widowControl w:val="0"/>
              <w:kinsoku/>
              <w:autoSpaceDE w:val="0"/>
              <w:autoSpaceDN w:val="0"/>
              <w:adjustRightInd/>
              <w:snapToGrid/>
              <w:spacing w:line="36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2024年实际在职人数</w:t>
            </w:r>
          </w:p>
        </w:tc>
        <w:tc>
          <w:tcPr>
            <w:tcW w:w="2082" w:type="dxa"/>
            <w:gridSpan w:val="2"/>
            <w:vAlign w:val="top"/>
          </w:tcPr>
          <w:p w14:paraId="14F3540A">
            <w:pPr>
              <w:widowControl w:val="0"/>
              <w:kinsoku/>
              <w:autoSpaceDE w:val="0"/>
              <w:autoSpaceDN w:val="0"/>
              <w:adjustRightInd/>
              <w:snapToGrid/>
              <w:spacing w:line="360" w:lineRule="exact"/>
              <w:ind w:firstLine="720" w:firstLineChars="300"/>
              <w:jc w:val="both"/>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控制率</w:t>
            </w:r>
          </w:p>
        </w:tc>
      </w:tr>
      <w:tr w14:paraId="7E60A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4214" w:type="dxa"/>
            <w:vMerge w:val="continue"/>
            <w:tcBorders>
              <w:top w:val="nil"/>
            </w:tcBorders>
            <w:vAlign w:val="top"/>
          </w:tcPr>
          <w:p w14:paraId="362CAD0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574" w:type="dxa"/>
            <w:gridSpan w:val="2"/>
            <w:vAlign w:val="top"/>
          </w:tcPr>
          <w:p w14:paraId="43A9931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Arial" w:hAnsi="Arial" w:eastAsia="宋体" w:cs="Arial"/>
                <w:snapToGrid/>
                <w:color w:val="000000"/>
                <w:kern w:val="21"/>
                <w:sz w:val="21"/>
                <w:szCs w:val="21"/>
                <w:lang w:val="en-US" w:eastAsia="zh-CN"/>
              </w:rPr>
            </w:pPr>
            <w:r>
              <w:rPr>
                <w:rFonts w:hint="eastAsia" w:ascii="Times New Roman" w:hAnsi="Times New Roman" w:eastAsia="宋体" w:cs="Times New Roman"/>
                <w:snapToGrid/>
                <w:color w:val="000000"/>
                <w:kern w:val="0"/>
                <w:sz w:val="24"/>
                <w:szCs w:val="24"/>
                <w:lang w:val="en-US" w:eastAsia="zh-CN"/>
              </w:rPr>
              <w:t>25</w:t>
            </w:r>
          </w:p>
        </w:tc>
        <w:tc>
          <w:tcPr>
            <w:tcW w:w="2171" w:type="dxa"/>
            <w:gridSpan w:val="2"/>
            <w:vAlign w:val="top"/>
          </w:tcPr>
          <w:p w14:paraId="7119FD9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w:t>
            </w:r>
            <w:r>
              <w:rPr>
                <w:rFonts w:hint="eastAsia" w:eastAsia="宋体" w:cs="Times New Roman"/>
                <w:snapToGrid/>
                <w:color w:val="000000"/>
                <w:kern w:val="0"/>
                <w:sz w:val="24"/>
                <w:szCs w:val="24"/>
                <w:lang w:val="en-US" w:eastAsia="zh-CN"/>
              </w:rPr>
              <w:t>8</w:t>
            </w:r>
          </w:p>
        </w:tc>
        <w:tc>
          <w:tcPr>
            <w:tcW w:w="2082" w:type="dxa"/>
            <w:gridSpan w:val="2"/>
            <w:vAlign w:val="top"/>
          </w:tcPr>
          <w:p w14:paraId="23A2DEA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r>
              <w:rPr>
                <w:rFonts w:hint="eastAsia" w:eastAsia="宋体" w:cs="Times New Roman"/>
                <w:snapToGrid/>
                <w:color w:val="000000"/>
                <w:kern w:val="0"/>
                <w:sz w:val="24"/>
                <w:szCs w:val="24"/>
                <w:lang w:val="en-US" w:eastAsia="zh-CN"/>
              </w:rPr>
              <w:t>72</w:t>
            </w:r>
          </w:p>
        </w:tc>
      </w:tr>
      <w:tr w14:paraId="01969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4214" w:type="dxa"/>
            <w:vAlign w:val="top"/>
          </w:tcPr>
          <w:p w14:paraId="7D45BF0D">
            <w:pPr>
              <w:widowControl/>
              <w:kinsoku w:val="0"/>
              <w:autoSpaceDE w:val="0"/>
              <w:autoSpaceDN w:val="0"/>
              <w:adjustRightInd w:val="0"/>
              <w:snapToGrid w:val="0"/>
              <w:spacing w:before="120" w:line="220" w:lineRule="auto"/>
              <w:ind w:left="654"/>
              <w:jc w:val="left"/>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经费控制情况(万元)</w:t>
            </w:r>
          </w:p>
        </w:tc>
        <w:tc>
          <w:tcPr>
            <w:tcW w:w="1574" w:type="dxa"/>
            <w:gridSpan w:val="2"/>
            <w:vAlign w:val="top"/>
          </w:tcPr>
          <w:p w14:paraId="1E50ACD3">
            <w:pPr>
              <w:widowControl w:val="0"/>
              <w:kinsoku/>
              <w:autoSpaceDE w:val="0"/>
              <w:autoSpaceDN w:val="0"/>
              <w:adjustRightInd/>
              <w:snapToGrid/>
              <w:spacing w:line="36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2023年决算数</w:t>
            </w:r>
          </w:p>
        </w:tc>
        <w:tc>
          <w:tcPr>
            <w:tcW w:w="2171" w:type="dxa"/>
            <w:gridSpan w:val="2"/>
            <w:vAlign w:val="top"/>
          </w:tcPr>
          <w:p w14:paraId="60C5B5AF">
            <w:pPr>
              <w:widowControl w:val="0"/>
              <w:kinsoku/>
              <w:autoSpaceDE w:val="0"/>
              <w:autoSpaceDN w:val="0"/>
              <w:adjustRightInd/>
              <w:snapToGrid/>
              <w:spacing w:line="36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2024年预算数</w:t>
            </w:r>
          </w:p>
        </w:tc>
        <w:tc>
          <w:tcPr>
            <w:tcW w:w="2082" w:type="dxa"/>
            <w:gridSpan w:val="2"/>
            <w:vAlign w:val="top"/>
          </w:tcPr>
          <w:p w14:paraId="43DA6699">
            <w:pPr>
              <w:widowControl w:val="0"/>
              <w:kinsoku/>
              <w:autoSpaceDE w:val="0"/>
              <w:autoSpaceDN w:val="0"/>
              <w:adjustRightInd/>
              <w:snapToGrid/>
              <w:spacing w:line="36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2024年决算数</w:t>
            </w:r>
          </w:p>
        </w:tc>
      </w:tr>
      <w:tr w14:paraId="64BC7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15966065">
            <w:pPr>
              <w:widowControl w:val="0"/>
              <w:kinsoku/>
              <w:autoSpaceDE w:val="0"/>
              <w:autoSpaceDN w:val="0"/>
              <w:adjustRightInd/>
              <w:snapToGrid/>
              <w:spacing w:line="360" w:lineRule="exact"/>
              <w:jc w:val="both"/>
              <w:textAlignment w:val="auto"/>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三公经费：</w:t>
            </w:r>
          </w:p>
        </w:tc>
        <w:tc>
          <w:tcPr>
            <w:tcW w:w="1574" w:type="dxa"/>
            <w:gridSpan w:val="2"/>
            <w:vAlign w:val="top"/>
          </w:tcPr>
          <w:p w14:paraId="7587922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3.81</w:t>
            </w:r>
          </w:p>
        </w:tc>
        <w:tc>
          <w:tcPr>
            <w:tcW w:w="2171" w:type="dxa"/>
            <w:gridSpan w:val="2"/>
            <w:vAlign w:val="top"/>
          </w:tcPr>
          <w:p w14:paraId="57BA87B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3.81</w:t>
            </w:r>
          </w:p>
        </w:tc>
        <w:tc>
          <w:tcPr>
            <w:tcW w:w="2082" w:type="dxa"/>
            <w:gridSpan w:val="2"/>
            <w:vAlign w:val="top"/>
          </w:tcPr>
          <w:p w14:paraId="0E6B07D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3.81</w:t>
            </w:r>
          </w:p>
        </w:tc>
      </w:tr>
      <w:tr w14:paraId="55319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4214" w:type="dxa"/>
            <w:vAlign w:val="top"/>
          </w:tcPr>
          <w:p w14:paraId="63D24304">
            <w:pPr>
              <w:widowControl/>
              <w:kinsoku w:val="0"/>
              <w:autoSpaceDE w:val="0"/>
              <w:autoSpaceDN w:val="0"/>
              <w:adjustRightInd w:val="0"/>
              <w:snapToGrid w:val="0"/>
              <w:spacing w:before="111" w:line="219" w:lineRule="auto"/>
              <w:ind w:firstLine="480" w:firstLineChars="200"/>
              <w:jc w:val="both"/>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1、公务用车购置和维护经费</w:t>
            </w:r>
          </w:p>
        </w:tc>
        <w:tc>
          <w:tcPr>
            <w:tcW w:w="1574" w:type="dxa"/>
            <w:gridSpan w:val="2"/>
            <w:vAlign w:val="top"/>
          </w:tcPr>
          <w:p w14:paraId="518C427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46A5232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082" w:type="dxa"/>
            <w:gridSpan w:val="2"/>
            <w:vAlign w:val="top"/>
          </w:tcPr>
          <w:p w14:paraId="01B767D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r>
      <w:tr w14:paraId="1B74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4214" w:type="dxa"/>
            <w:vAlign w:val="top"/>
          </w:tcPr>
          <w:p w14:paraId="70DDAFB2">
            <w:pPr>
              <w:widowControl/>
              <w:kinsoku w:val="0"/>
              <w:autoSpaceDE w:val="0"/>
              <w:autoSpaceDN w:val="0"/>
              <w:adjustRightInd w:val="0"/>
              <w:snapToGrid w:val="0"/>
              <w:spacing w:before="122" w:line="219" w:lineRule="auto"/>
              <w:ind w:left="424"/>
              <w:jc w:val="left"/>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其中：公车购置</w:t>
            </w:r>
          </w:p>
        </w:tc>
        <w:tc>
          <w:tcPr>
            <w:tcW w:w="1574" w:type="dxa"/>
            <w:gridSpan w:val="2"/>
            <w:vAlign w:val="top"/>
          </w:tcPr>
          <w:p w14:paraId="2B1F6BD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4796D60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082" w:type="dxa"/>
            <w:gridSpan w:val="2"/>
            <w:vAlign w:val="top"/>
          </w:tcPr>
          <w:p w14:paraId="34AD8C6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r>
      <w:tr w14:paraId="4EBB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4214" w:type="dxa"/>
            <w:vAlign w:val="top"/>
          </w:tcPr>
          <w:p w14:paraId="6BBAA916">
            <w:pPr>
              <w:widowControl/>
              <w:kinsoku w:val="0"/>
              <w:autoSpaceDE w:val="0"/>
              <w:autoSpaceDN w:val="0"/>
              <w:adjustRightInd w:val="0"/>
              <w:snapToGrid w:val="0"/>
              <w:spacing w:before="113" w:line="219" w:lineRule="auto"/>
              <w:ind w:left="1254"/>
              <w:jc w:val="left"/>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公车运行维护</w:t>
            </w:r>
          </w:p>
        </w:tc>
        <w:tc>
          <w:tcPr>
            <w:tcW w:w="1574" w:type="dxa"/>
            <w:gridSpan w:val="2"/>
            <w:vAlign w:val="top"/>
          </w:tcPr>
          <w:p w14:paraId="3164373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056F30F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082" w:type="dxa"/>
            <w:gridSpan w:val="2"/>
            <w:vAlign w:val="top"/>
          </w:tcPr>
          <w:p w14:paraId="7F3F1C8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r>
      <w:tr w14:paraId="0CADA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0540667F">
            <w:pPr>
              <w:widowControl/>
              <w:kinsoku w:val="0"/>
              <w:autoSpaceDE w:val="0"/>
              <w:autoSpaceDN w:val="0"/>
              <w:adjustRightInd w:val="0"/>
              <w:snapToGrid w:val="0"/>
              <w:spacing w:before="123" w:line="220" w:lineRule="auto"/>
              <w:ind w:left="424"/>
              <w:jc w:val="left"/>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2、出国经费</w:t>
            </w:r>
          </w:p>
        </w:tc>
        <w:tc>
          <w:tcPr>
            <w:tcW w:w="1574" w:type="dxa"/>
            <w:gridSpan w:val="2"/>
            <w:vAlign w:val="top"/>
          </w:tcPr>
          <w:p w14:paraId="23B84F4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3A9F8DC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082" w:type="dxa"/>
            <w:gridSpan w:val="2"/>
            <w:vAlign w:val="top"/>
          </w:tcPr>
          <w:p w14:paraId="4FD2093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r>
      <w:tr w14:paraId="1517C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2ADDC403">
            <w:pPr>
              <w:widowControl/>
              <w:kinsoku w:val="0"/>
              <w:autoSpaceDE w:val="0"/>
              <w:autoSpaceDN w:val="0"/>
              <w:adjustRightInd w:val="0"/>
              <w:snapToGrid w:val="0"/>
              <w:spacing w:before="123" w:line="220" w:lineRule="auto"/>
              <w:ind w:left="424"/>
              <w:jc w:val="left"/>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3、公务接待</w:t>
            </w:r>
          </w:p>
        </w:tc>
        <w:tc>
          <w:tcPr>
            <w:tcW w:w="1574" w:type="dxa"/>
            <w:gridSpan w:val="2"/>
            <w:vAlign w:val="top"/>
          </w:tcPr>
          <w:p w14:paraId="3A0EABD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3.81</w:t>
            </w:r>
          </w:p>
        </w:tc>
        <w:tc>
          <w:tcPr>
            <w:tcW w:w="2171" w:type="dxa"/>
            <w:gridSpan w:val="2"/>
            <w:vAlign w:val="top"/>
          </w:tcPr>
          <w:p w14:paraId="240A24C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3.81</w:t>
            </w:r>
          </w:p>
        </w:tc>
        <w:tc>
          <w:tcPr>
            <w:tcW w:w="2082" w:type="dxa"/>
            <w:gridSpan w:val="2"/>
            <w:vAlign w:val="top"/>
          </w:tcPr>
          <w:p w14:paraId="77A347B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3.81</w:t>
            </w:r>
          </w:p>
        </w:tc>
      </w:tr>
      <w:tr w14:paraId="4AB83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4214" w:type="dxa"/>
            <w:vAlign w:val="top"/>
          </w:tcPr>
          <w:p w14:paraId="4486E4F3">
            <w:pPr>
              <w:widowControl/>
              <w:kinsoku w:val="0"/>
              <w:autoSpaceDE w:val="0"/>
              <w:autoSpaceDN w:val="0"/>
              <w:adjustRightInd w:val="0"/>
              <w:snapToGrid w:val="0"/>
              <w:spacing w:before="123" w:line="220" w:lineRule="auto"/>
              <w:jc w:val="left"/>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项目支出：</w:t>
            </w:r>
          </w:p>
        </w:tc>
        <w:tc>
          <w:tcPr>
            <w:tcW w:w="1574" w:type="dxa"/>
            <w:gridSpan w:val="2"/>
            <w:vAlign w:val="top"/>
          </w:tcPr>
          <w:p w14:paraId="594D54C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1051.42</w:t>
            </w:r>
          </w:p>
        </w:tc>
        <w:tc>
          <w:tcPr>
            <w:tcW w:w="2171" w:type="dxa"/>
            <w:gridSpan w:val="2"/>
            <w:vAlign w:val="top"/>
          </w:tcPr>
          <w:p w14:paraId="1C70952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1261.78</w:t>
            </w:r>
          </w:p>
        </w:tc>
        <w:tc>
          <w:tcPr>
            <w:tcW w:w="2082" w:type="dxa"/>
            <w:gridSpan w:val="2"/>
            <w:vAlign w:val="top"/>
          </w:tcPr>
          <w:p w14:paraId="363964C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1261.78</w:t>
            </w:r>
          </w:p>
        </w:tc>
      </w:tr>
      <w:tr w14:paraId="2A7F6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0CE0DD47">
            <w:pPr>
              <w:widowControl/>
              <w:kinsoku w:val="0"/>
              <w:autoSpaceDE w:val="0"/>
              <w:autoSpaceDN w:val="0"/>
              <w:adjustRightInd w:val="0"/>
              <w:snapToGrid w:val="0"/>
              <w:spacing w:before="124" w:line="219" w:lineRule="auto"/>
              <w:ind w:left="424"/>
              <w:jc w:val="left"/>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1、</w:t>
            </w:r>
            <w:r>
              <w:rPr>
                <w:rFonts w:hint="eastAsia" w:ascii="Arial" w:hAnsi="Arial" w:eastAsia="宋体" w:cs="Arial"/>
                <w:snapToGrid w:val="0"/>
                <w:color w:val="000000"/>
                <w:kern w:val="0"/>
                <w:sz w:val="24"/>
                <w:szCs w:val="21"/>
                <w:lang w:val="en-US" w:eastAsia="zh-CN"/>
              </w:rPr>
              <w:t>竹产业奖补资金（</w:t>
            </w:r>
            <w:r>
              <w:rPr>
                <w:rFonts w:hint="eastAsia" w:ascii="Times New Roman" w:hAnsi="Times New Roman" w:eastAsia="宋体" w:cs="Times New Roman"/>
                <w:snapToGrid/>
                <w:color w:val="000000"/>
                <w:kern w:val="0"/>
                <w:sz w:val="24"/>
                <w:szCs w:val="24"/>
                <w:lang w:val="en-US" w:eastAsia="zh-CN"/>
              </w:rPr>
              <w:t>2023</w:t>
            </w:r>
            <w:r>
              <w:rPr>
                <w:rFonts w:hint="eastAsia" w:ascii="Arial" w:hAnsi="Arial" w:eastAsia="宋体" w:cs="Arial"/>
                <w:snapToGrid w:val="0"/>
                <w:color w:val="000000"/>
                <w:kern w:val="0"/>
                <w:sz w:val="24"/>
                <w:szCs w:val="21"/>
                <w:lang w:val="en-US" w:eastAsia="zh-CN"/>
              </w:rPr>
              <w:t>年）</w:t>
            </w:r>
          </w:p>
        </w:tc>
        <w:tc>
          <w:tcPr>
            <w:tcW w:w="1574" w:type="dxa"/>
            <w:gridSpan w:val="2"/>
            <w:vAlign w:val="top"/>
          </w:tcPr>
          <w:p w14:paraId="0CAD6EB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1.78</w:t>
            </w:r>
          </w:p>
        </w:tc>
        <w:tc>
          <w:tcPr>
            <w:tcW w:w="2171" w:type="dxa"/>
            <w:gridSpan w:val="2"/>
            <w:vAlign w:val="top"/>
          </w:tcPr>
          <w:p w14:paraId="1785E28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0.16</w:t>
            </w:r>
          </w:p>
        </w:tc>
        <w:tc>
          <w:tcPr>
            <w:tcW w:w="2082" w:type="dxa"/>
            <w:gridSpan w:val="2"/>
            <w:vAlign w:val="top"/>
          </w:tcPr>
          <w:p w14:paraId="74DF602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0.16</w:t>
            </w:r>
          </w:p>
        </w:tc>
      </w:tr>
      <w:tr w14:paraId="206D7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071A04EB">
            <w:pPr>
              <w:widowControl/>
              <w:kinsoku w:val="0"/>
              <w:autoSpaceDE w:val="0"/>
              <w:autoSpaceDN w:val="0"/>
              <w:adjustRightInd w:val="0"/>
              <w:snapToGrid w:val="0"/>
              <w:spacing w:before="124" w:line="219" w:lineRule="auto"/>
              <w:ind w:left="424"/>
              <w:jc w:val="left"/>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2、</w:t>
            </w:r>
            <w:r>
              <w:rPr>
                <w:rFonts w:hint="eastAsia" w:ascii="Arial" w:hAnsi="Arial" w:eastAsia="宋体" w:cs="Arial"/>
                <w:snapToGrid w:val="0"/>
                <w:color w:val="000000"/>
                <w:kern w:val="0"/>
                <w:sz w:val="24"/>
                <w:szCs w:val="21"/>
                <w:lang w:eastAsia="en-US"/>
              </w:rPr>
              <w:t>竹旅文体康产业融合发展奖补资金</w:t>
            </w:r>
            <w:r>
              <w:rPr>
                <w:rFonts w:hint="eastAsia" w:ascii="Arial" w:hAnsi="Arial" w:eastAsia="宋体" w:cs="Arial"/>
                <w:snapToGrid w:val="0"/>
                <w:color w:val="000000"/>
                <w:kern w:val="0"/>
                <w:sz w:val="24"/>
                <w:szCs w:val="21"/>
                <w:lang w:val="en-US" w:eastAsia="zh-CN"/>
              </w:rPr>
              <w:t>（</w:t>
            </w:r>
            <w:r>
              <w:rPr>
                <w:rFonts w:hint="eastAsia" w:ascii="Times New Roman" w:hAnsi="Times New Roman" w:eastAsia="宋体" w:cs="Times New Roman"/>
                <w:snapToGrid/>
                <w:color w:val="000000"/>
                <w:kern w:val="0"/>
                <w:sz w:val="24"/>
                <w:szCs w:val="24"/>
                <w:lang w:val="en-US" w:eastAsia="zh-CN"/>
              </w:rPr>
              <w:t>2024</w:t>
            </w:r>
            <w:r>
              <w:rPr>
                <w:rFonts w:hint="eastAsia" w:ascii="Arial" w:hAnsi="Arial" w:eastAsia="宋体" w:cs="Arial"/>
                <w:snapToGrid w:val="0"/>
                <w:color w:val="000000"/>
                <w:kern w:val="0"/>
                <w:sz w:val="24"/>
                <w:szCs w:val="21"/>
                <w:lang w:val="en-US" w:eastAsia="zh-CN"/>
              </w:rPr>
              <w:t>年）</w:t>
            </w:r>
          </w:p>
        </w:tc>
        <w:tc>
          <w:tcPr>
            <w:tcW w:w="1574" w:type="dxa"/>
            <w:gridSpan w:val="2"/>
            <w:vAlign w:val="top"/>
          </w:tcPr>
          <w:p w14:paraId="3E73135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914.84</w:t>
            </w:r>
          </w:p>
        </w:tc>
        <w:tc>
          <w:tcPr>
            <w:tcW w:w="2171" w:type="dxa"/>
            <w:gridSpan w:val="2"/>
            <w:vAlign w:val="top"/>
          </w:tcPr>
          <w:p w14:paraId="7A3AF32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957.91</w:t>
            </w:r>
          </w:p>
        </w:tc>
        <w:tc>
          <w:tcPr>
            <w:tcW w:w="2082" w:type="dxa"/>
            <w:gridSpan w:val="2"/>
            <w:vAlign w:val="top"/>
          </w:tcPr>
          <w:p w14:paraId="2A82988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957.91</w:t>
            </w:r>
          </w:p>
        </w:tc>
      </w:tr>
      <w:tr w14:paraId="05DE0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48345AB9">
            <w:pPr>
              <w:widowControl/>
              <w:kinsoku w:val="0"/>
              <w:autoSpaceDE w:val="0"/>
              <w:autoSpaceDN w:val="0"/>
              <w:adjustRightInd w:val="0"/>
              <w:snapToGrid w:val="0"/>
              <w:spacing w:before="124" w:line="219" w:lineRule="auto"/>
              <w:ind w:left="424"/>
              <w:jc w:val="left"/>
              <w:textAlignment w:val="baseline"/>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3、竹产业高质量发展县专项资金</w:t>
            </w:r>
          </w:p>
        </w:tc>
        <w:tc>
          <w:tcPr>
            <w:tcW w:w="1574" w:type="dxa"/>
            <w:gridSpan w:val="2"/>
            <w:vAlign w:val="top"/>
          </w:tcPr>
          <w:p w14:paraId="0CCEC04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63F1FD1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181.45</w:t>
            </w:r>
          </w:p>
        </w:tc>
        <w:tc>
          <w:tcPr>
            <w:tcW w:w="2082" w:type="dxa"/>
            <w:gridSpan w:val="2"/>
            <w:vAlign w:val="top"/>
          </w:tcPr>
          <w:p w14:paraId="10EC9FF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181.45</w:t>
            </w:r>
          </w:p>
        </w:tc>
      </w:tr>
      <w:tr w14:paraId="02C73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18F15ED7">
            <w:pPr>
              <w:widowControl/>
              <w:kinsoku w:val="0"/>
              <w:autoSpaceDE w:val="0"/>
              <w:autoSpaceDN w:val="0"/>
              <w:adjustRightInd w:val="0"/>
              <w:snapToGrid w:val="0"/>
              <w:spacing w:before="124" w:line="219" w:lineRule="auto"/>
              <w:ind w:left="424"/>
              <w:jc w:val="left"/>
              <w:textAlignment w:val="baseline"/>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4、产业高质量发展推进会专项经费</w:t>
            </w:r>
          </w:p>
        </w:tc>
        <w:tc>
          <w:tcPr>
            <w:tcW w:w="1574" w:type="dxa"/>
            <w:gridSpan w:val="2"/>
            <w:vAlign w:val="top"/>
          </w:tcPr>
          <w:p w14:paraId="523606B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11541DE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47.77</w:t>
            </w:r>
          </w:p>
        </w:tc>
        <w:tc>
          <w:tcPr>
            <w:tcW w:w="2082" w:type="dxa"/>
            <w:gridSpan w:val="2"/>
            <w:vAlign w:val="top"/>
          </w:tcPr>
          <w:p w14:paraId="17F734F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47.77</w:t>
            </w:r>
          </w:p>
        </w:tc>
      </w:tr>
      <w:tr w14:paraId="37BA6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151106EF">
            <w:pPr>
              <w:widowControl/>
              <w:kinsoku w:val="0"/>
              <w:autoSpaceDE w:val="0"/>
              <w:autoSpaceDN w:val="0"/>
              <w:adjustRightInd w:val="0"/>
              <w:snapToGrid w:val="0"/>
              <w:spacing w:before="124" w:line="219" w:lineRule="auto"/>
              <w:ind w:left="424"/>
              <w:jc w:val="left"/>
              <w:textAlignment w:val="baseline"/>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5、产业融合发展工作推进大会专项经费</w:t>
            </w:r>
          </w:p>
        </w:tc>
        <w:tc>
          <w:tcPr>
            <w:tcW w:w="1574" w:type="dxa"/>
            <w:gridSpan w:val="2"/>
            <w:vAlign w:val="top"/>
          </w:tcPr>
          <w:p w14:paraId="19BC1EE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1F69A82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9.9</w:t>
            </w:r>
          </w:p>
        </w:tc>
        <w:tc>
          <w:tcPr>
            <w:tcW w:w="2082" w:type="dxa"/>
            <w:gridSpan w:val="2"/>
            <w:vAlign w:val="top"/>
          </w:tcPr>
          <w:p w14:paraId="55D8290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9.9</w:t>
            </w:r>
          </w:p>
        </w:tc>
      </w:tr>
      <w:tr w14:paraId="5AA7C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16B09382">
            <w:pPr>
              <w:widowControl/>
              <w:kinsoku w:val="0"/>
              <w:autoSpaceDE w:val="0"/>
              <w:autoSpaceDN w:val="0"/>
              <w:adjustRightInd w:val="0"/>
              <w:snapToGrid w:val="0"/>
              <w:spacing w:before="124" w:line="219" w:lineRule="auto"/>
              <w:ind w:left="424"/>
              <w:jc w:val="left"/>
              <w:textAlignment w:val="baseline"/>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6、“以竹代塑”实施方案咨询服务费</w:t>
            </w:r>
          </w:p>
        </w:tc>
        <w:tc>
          <w:tcPr>
            <w:tcW w:w="1574" w:type="dxa"/>
            <w:gridSpan w:val="2"/>
            <w:vAlign w:val="top"/>
          </w:tcPr>
          <w:p w14:paraId="2BEB3CA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4759293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28</w:t>
            </w:r>
          </w:p>
        </w:tc>
        <w:tc>
          <w:tcPr>
            <w:tcW w:w="2082" w:type="dxa"/>
            <w:gridSpan w:val="2"/>
            <w:vAlign w:val="top"/>
          </w:tcPr>
          <w:p w14:paraId="697B0B5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28</w:t>
            </w:r>
          </w:p>
        </w:tc>
      </w:tr>
      <w:tr w14:paraId="4A932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5399670C">
            <w:pPr>
              <w:widowControl/>
              <w:kinsoku w:val="0"/>
              <w:autoSpaceDE w:val="0"/>
              <w:autoSpaceDN w:val="0"/>
              <w:adjustRightInd w:val="0"/>
              <w:snapToGrid w:val="0"/>
              <w:spacing w:before="124" w:line="219" w:lineRule="auto"/>
              <w:ind w:left="424"/>
              <w:jc w:val="left"/>
              <w:textAlignment w:val="baseline"/>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7、真抓实干督查激励获奖事项奖金（2023年）</w:t>
            </w:r>
          </w:p>
        </w:tc>
        <w:tc>
          <w:tcPr>
            <w:tcW w:w="1574" w:type="dxa"/>
            <w:gridSpan w:val="2"/>
            <w:vAlign w:val="top"/>
          </w:tcPr>
          <w:p w14:paraId="7484908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0B92DB9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10</w:t>
            </w:r>
          </w:p>
        </w:tc>
        <w:tc>
          <w:tcPr>
            <w:tcW w:w="2082" w:type="dxa"/>
            <w:gridSpan w:val="2"/>
            <w:vAlign w:val="top"/>
          </w:tcPr>
          <w:p w14:paraId="4920E1A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10</w:t>
            </w:r>
          </w:p>
        </w:tc>
      </w:tr>
      <w:tr w14:paraId="43BEE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165A960B">
            <w:pPr>
              <w:widowControl/>
              <w:kinsoku w:val="0"/>
              <w:autoSpaceDE w:val="0"/>
              <w:autoSpaceDN w:val="0"/>
              <w:adjustRightInd w:val="0"/>
              <w:snapToGrid w:val="0"/>
              <w:spacing w:before="124" w:line="219" w:lineRule="auto"/>
              <w:ind w:left="424"/>
              <w:jc w:val="left"/>
              <w:textAlignment w:val="baseline"/>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8、重点项目建设考核资金（2023年）</w:t>
            </w:r>
          </w:p>
        </w:tc>
        <w:tc>
          <w:tcPr>
            <w:tcW w:w="1574" w:type="dxa"/>
            <w:gridSpan w:val="2"/>
            <w:vAlign w:val="top"/>
          </w:tcPr>
          <w:p w14:paraId="3955DA6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1F6CBB9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10</w:t>
            </w:r>
          </w:p>
        </w:tc>
        <w:tc>
          <w:tcPr>
            <w:tcW w:w="2082" w:type="dxa"/>
            <w:gridSpan w:val="2"/>
            <w:vAlign w:val="top"/>
          </w:tcPr>
          <w:p w14:paraId="3C7A42C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10</w:t>
            </w:r>
          </w:p>
        </w:tc>
      </w:tr>
      <w:tr w14:paraId="2EDBB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08B1DDEC">
            <w:pPr>
              <w:widowControl/>
              <w:kinsoku w:val="0"/>
              <w:autoSpaceDE w:val="0"/>
              <w:autoSpaceDN w:val="0"/>
              <w:adjustRightInd w:val="0"/>
              <w:snapToGrid w:val="0"/>
              <w:spacing w:before="124" w:line="219" w:lineRule="auto"/>
              <w:ind w:left="424"/>
              <w:jc w:val="left"/>
              <w:textAlignment w:val="baseline"/>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9、竹旅文体康产业融合发展考核奖励资金（2023年）</w:t>
            </w:r>
          </w:p>
        </w:tc>
        <w:tc>
          <w:tcPr>
            <w:tcW w:w="1574" w:type="dxa"/>
            <w:gridSpan w:val="2"/>
            <w:vAlign w:val="top"/>
          </w:tcPr>
          <w:p w14:paraId="245D33E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64C6B03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10</w:t>
            </w:r>
          </w:p>
        </w:tc>
        <w:tc>
          <w:tcPr>
            <w:tcW w:w="2082" w:type="dxa"/>
            <w:gridSpan w:val="2"/>
            <w:vAlign w:val="top"/>
          </w:tcPr>
          <w:p w14:paraId="6D75CB4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10</w:t>
            </w:r>
          </w:p>
        </w:tc>
      </w:tr>
      <w:tr w14:paraId="693DC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3F94AA4F">
            <w:pPr>
              <w:widowControl/>
              <w:kinsoku w:val="0"/>
              <w:autoSpaceDE w:val="0"/>
              <w:autoSpaceDN w:val="0"/>
              <w:adjustRightInd w:val="0"/>
              <w:snapToGrid w:val="0"/>
              <w:spacing w:before="124" w:line="219" w:lineRule="auto"/>
              <w:ind w:left="424"/>
              <w:jc w:val="left"/>
              <w:textAlignment w:val="baseline"/>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10、人才引进生活补贴（2023年）</w:t>
            </w:r>
          </w:p>
        </w:tc>
        <w:tc>
          <w:tcPr>
            <w:tcW w:w="1574" w:type="dxa"/>
            <w:gridSpan w:val="2"/>
            <w:vAlign w:val="top"/>
          </w:tcPr>
          <w:p w14:paraId="34D01A6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2718708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5.44</w:t>
            </w:r>
          </w:p>
        </w:tc>
        <w:tc>
          <w:tcPr>
            <w:tcW w:w="2082" w:type="dxa"/>
            <w:gridSpan w:val="2"/>
            <w:vAlign w:val="top"/>
          </w:tcPr>
          <w:p w14:paraId="19B7282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5.44</w:t>
            </w:r>
          </w:p>
        </w:tc>
      </w:tr>
      <w:tr w14:paraId="2774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0E4DDDF6">
            <w:pPr>
              <w:widowControl/>
              <w:kinsoku w:val="0"/>
              <w:autoSpaceDE w:val="0"/>
              <w:autoSpaceDN w:val="0"/>
              <w:adjustRightInd w:val="0"/>
              <w:snapToGrid w:val="0"/>
              <w:spacing w:before="124" w:line="219" w:lineRule="auto"/>
              <w:ind w:left="424"/>
              <w:jc w:val="left"/>
              <w:textAlignment w:val="baseline"/>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11、全市真抓实干督查激励工作先进个人奖励（2023年）</w:t>
            </w:r>
          </w:p>
        </w:tc>
        <w:tc>
          <w:tcPr>
            <w:tcW w:w="1574" w:type="dxa"/>
            <w:gridSpan w:val="2"/>
            <w:vAlign w:val="top"/>
          </w:tcPr>
          <w:p w14:paraId="1DBDBC9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042B2E1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0.15</w:t>
            </w:r>
          </w:p>
        </w:tc>
        <w:tc>
          <w:tcPr>
            <w:tcW w:w="2082" w:type="dxa"/>
            <w:gridSpan w:val="2"/>
            <w:vAlign w:val="top"/>
          </w:tcPr>
          <w:p w14:paraId="1E9664C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0.15</w:t>
            </w:r>
          </w:p>
        </w:tc>
      </w:tr>
      <w:tr w14:paraId="1CCE0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406CCD58">
            <w:pPr>
              <w:widowControl/>
              <w:kinsoku w:val="0"/>
              <w:autoSpaceDE w:val="0"/>
              <w:autoSpaceDN w:val="0"/>
              <w:adjustRightInd w:val="0"/>
              <w:snapToGrid w:val="0"/>
              <w:spacing w:before="124" w:line="219" w:lineRule="auto"/>
              <w:ind w:left="424"/>
              <w:jc w:val="left"/>
              <w:textAlignment w:val="baseline"/>
              <w:rPr>
                <w:rFonts w:hint="default" w:ascii="Arial" w:hAnsi="Arial" w:eastAsia="宋体" w:cs="Arial"/>
                <w:snapToGrid w:val="0"/>
                <w:color w:val="000000"/>
                <w:kern w:val="0"/>
                <w:sz w:val="24"/>
                <w:szCs w:val="21"/>
                <w:lang w:val="en-US" w:eastAsia="zh-CN"/>
              </w:rPr>
            </w:pPr>
            <w:r>
              <w:rPr>
                <w:rFonts w:hint="eastAsia" w:ascii="Times New Roman" w:hAnsi="Times New Roman" w:eastAsia="宋体" w:cs="Times New Roman"/>
                <w:snapToGrid/>
                <w:color w:val="000000"/>
                <w:kern w:val="0"/>
                <w:sz w:val="24"/>
                <w:szCs w:val="24"/>
                <w:lang w:val="en-US" w:eastAsia="zh-CN"/>
              </w:rPr>
              <w:t>12、驻村第一书记工作经费（2024年）</w:t>
            </w:r>
          </w:p>
        </w:tc>
        <w:tc>
          <w:tcPr>
            <w:tcW w:w="1574" w:type="dxa"/>
            <w:gridSpan w:val="2"/>
            <w:vAlign w:val="top"/>
          </w:tcPr>
          <w:p w14:paraId="30E44D6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0</w:t>
            </w:r>
          </w:p>
        </w:tc>
        <w:tc>
          <w:tcPr>
            <w:tcW w:w="2171" w:type="dxa"/>
            <w:gridSpan w:val="2"/>
            <w:vAlign w:val="top"/>
          </w:tcPr>
          <w:p w14:paraId="6215475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w:t>
            </w:r>
          </w:p>
        </w:tc>
        <w:tc>
          <w:tcPr>
            <w:tcW w:w="2082" w:type="dxa"/>
            <w:gridSpan w:val="2"/>
            <w:vAlign w:val="top"/>
          </w:tcPr>
          <w:p w14:paraId="0489EEC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w:t>
            </w:r>
          </w:p>
        </w:tc>
      </w:tr>
      <w:tr w14:paraId="550B9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33847110">
            <w:pPr>
              <w:widowControl w:val="0"/>
              <w:kinsoku/>
              <w:autoSpaceDE w:val="0"/>
              <w:autoSpaceDN w:val="0"/>
              <w:adjustRightInd/>
              <w:snapToGrid/>
              <w:spacing w:line="360" w:lineRule="exact"/>
              <w:jc w:val="both"/>
              <w:textAlignment w:val="auto"/>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公用经费</w:t>
            </w:r>
          </w:p>
        </w:tc>
        <w:tc>
          <w:tcPr>
            <w:tcW w:w="1574" w:type="dxa"/>
            <w:gridSpan w:val="2"/>
            <w:vAlign w:val="top"/>
          </w:tcPr>
          <w:p w14:paraId="3243F1C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109.13</w:t>
            </w:r>
          </w:p>
        </w:tc>
        <w:tc>
          <w:tcPr>
            <w:tcW w:w="2171" w:type="dxa"/>
            <w:gridSpan w:val="2"/>
            <w:vAlign w:val="top"/>
          </w:tcPr>
          <w:p w14:paraId="3AA22AF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125.40</w:t>
            </w:r>
          </w:p>
        </w:tc>
        <w:tc>
          <w:tcPr>
            <w:tcW w:w="2082" w:type="dxa"/>
            <w:gridSpan w:val="2"/>
            <w:vAlign w:val="top"/>
          </w:tcPr>
          <w:p w14:paraId="2E13D58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125.40</w:t>
            </w:r>
          </w:p>
        </w:tc>
      </w:tr>
      <w:tr w14:paraId="75B54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138A9CB4">
            <w:pPr>
              <w:widowControl w:val="0"/>
              <w:kinsoku/>
              <w:autoSpaceDE w:val="0"/>
              <w:autoSpaceDN w:val="0"/>
              <w:adjustRightInd/>
              <w:snapToGrid/>
              <w:spacing w:line="360" w:lineRule="exact"/>
              <w:ind w:firstLine="480" w:firstLineChars="2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lang w:val="en-US" w:eastAsia="zh-CN"/>
              </w:rPr>
              <w:t>1、商品和服务支出</w:t>
            </w:r>
          </w:p>
        </w:tc>
        <w:tc>
          <w:tcPr>
            <w:tcW w:w="1574" w:type="dxa"/>
            <w:gridSpan w:val="2"/>
            <w:vAlign w:val="top"/>
          </w:tcPr>
          <w:p w14:paraId="1D63DC0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107.55</w:t>
            </w:r>
          </w:p>
        </w:tc>
        <w:tc>
          <w:tcPr>
            <w:tcW w:w="2171" w:type="dxa"/>
            <w:gridSpan w:val="2"/>
            <w:vAlign w:val="top"/>
          </w:tcPr>
          <w:p w14:paraId="1C69678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122.51</w:t>
            </w:r>
          </w:p>
        </w:tc>
        <w:tc>
          <w:tcPr>
            <w:tcW w:w="2082" w:type="dxa"/>
            <w:gridSpan w:val="2"/>
            <w:vAlign w:val="top"/>
          </w:tcPr>
          <w:p w14:paraId="41EE8F1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122.51</w:t>
            </w:r>
          </w:p>
        </w:tc>
      </w:tr>
      <w:tr w14:paraId="3693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22C30EAA">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其中：办公费</w:t>
            </w:r>
          </w:p>
        </w:tc>
        <w:tc>
          <w:tcPr>
            <w:tcW w:w="1574" w:type="dxa"/>
            <w:gridSpan w:val="2"/>
            <w:vAlign w:val="top"/>
          </w:tcPr>
          <w:p w14:paraId="21A769C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6.33</w:t>
            </w:r>
          </w:p>
        </w:tc>
        <w:tc>
          <w:tcPr>
            <w:tcW w:w="2171" w:type="dxa"/>
            <w:gridSpan w:val="2"/>
            <w:vAlign w:val="top"/>
          </w:tcPr>
          <w:p w14:paraId="4962DF7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25.66</w:t>
            </w:r>
          </w:p>
        </w:tc>
        <w:tc>
          <w:tcPr>
            <w:tcW w:w="2082" w:type="dxa"/>
            <w:gridSpan w:val="2"/>
            <w:vAlign w:val="top"/>
          </w:tcPr>
          <w:p w14:paraId="03AAF2F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25.66</w:t>
            </w:r>
          </w:p>
        </w:tc>
      </w:tr>
      <w:tr w14:paraId="38CFC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36200897">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印刷费、咨询费</w:t>
            </w:r>
          </w:p>
        </w:tc>
        <w:tc>
          <w:tcPr>
            <w:tcW w:w="1574" w:type="dxa"/>
            <w:gridSpan w:val="2"/>
            <w:vAlign w:val="top"/>
          </w:tcPr>
          <w:p w14:paraId="3345F37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3.16</w:t>
            </w:r>
          </w:p>
        </w:tc>
        <w:tc>
          <w:tcPr>
            <w:tcW w:w="2171" w:type="dxa"/>
            <w:gridSpan w:val="2"/>
            <w:vAlign w:val="top"/>
          </w:tcPr>
          <w:p w14:paraId="31C9AE6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7.82</w:t>
            </w:r>
          </w:p>
        </w:tc>
        <w:tc>
          <w:tcPr>
            <w:tcW w:w="2082" w:type="dxa"/>
            <w:gridSpan w:val="2"/>
            <w:vAlign w:val="top"/>
          </w:tcPr>
          <w:p w14:paraId="6A90441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7.82</w:t>
            </w:r>
          </w:p>
        </w:tc>
      </w:tr>
      <w:tr w14:paraId="38667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4214" w:type="dxa"/>
            <w:vAlign w:val="top"/>
          </w:tcPr>
          <w:p w14:paraId="278DEDA7">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水费、电费、邮电费</w:t>
            </w:r>
          </w:p>
        </w:tc>
        <w:tc>
          <w:tcPr>
            <w:tcW w:w="1574" w:type="dxa"/>
            <w:gridSpan w:val="2"/>
            <w:vAlign w:val="top"/>
          </w:tcPr>
          <w:p w14:paraId="2358604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 xml:space="preserve">11.74 </w:t>
            </w:r>
          </w:p>
        </w:tc>
        <w:tc>
          <w:tcPr>
            <w:tcW w:w="2171" w:type="dxa"/>
            <w:gridSpan w:val="2"/>
            <w:vAlign w:val="top"/>
          </w:tcPr>
          <w:p w14:paraId="1F15284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4.78</w:t>
            </w:r>
          </w:p>
        </w:tc>
        <w:tc>
          <w:tcPr>
            <w:tcW w:w="2082" w:type="dxa"/>
            <w:gridSpan w:val="2"/>
            <w:vAlign w:val="top"/>
          </w:tcPr>
          <w:p w14:paraId="052D19A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4.78</w:t>
            </w:r>
          </w:p>
        </w:tc>
      </w:tr>
      <w:tr w14:paraId="03338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4214" w:type="dxa"/>
            <w:vAlign w:val="top"/>
          </w:tcPr>
          <w:p w14:paraId="17F4A7D0">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物业管理费、差旅费</w:t>
            </w:r>
          </w:p>
        </w:tc>
        <w:tc>
          <w:tcPr>
            <w:tcW w:w="1574" w:type="dxa"/>
            <w:gridSpan w:val="2"/>
            <w:vAlign w:val="top"/>
          </w:tcPr>
          <w:p w14:paraId="2FEA4D9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 xml:space="preserve">7.32 </w:t>
            </w:r>
          </w:p>
        </w:tc>
        <w:tc>
          <w:tcPr>
            <w:tcW w:w="2171" w:type="dxa"/>
            <w:gridSpan w:val="2"/>
            <w:vAlign w:val="top"/>
          </w:tcPr>
          <w:p w14:paraId="0EA0347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19.04</w:t>
            </w:r>
          </w:p>
        </w:tc>
        <w:tc>
          <w:tcPr>
            <w:tcW w:w="2082" w:type="dxa"/>
            <w:gridSpan w:val="2"/>
            <w:vAlign w:val="top"/>
          </w:tcPr>
          <w:p w14:paraId="08A3BB2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19.04</w:t>
            </w:r>
          </w:p>
        </w:tc>
      </w:tr>
      <w:tr w14:paraId="27DDA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4214" w:type="dxa"/>
            <w:vAlign w:val="top"/>
          </w:tcPr>
          <w:p w14:paraId="638A435C">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维修（护）费、租赁费</w:t>
            </w:r>
          </w:p>
        </w:tc>
        <w:tc>
          <w:tcPr>
            <w:tcW w:w="1574" w:type="dxa"/>
            <w:gridSpan w:val="2"/>
            <w:vAlign w:val="top"/>
          </w:tcPr>
          <w:p w14:paraId="6CB3C52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 xml:space="preserve">7.67 </w:t>
            </w:r>
          </w:p>
        </w:tc>
        <w:tc>
          <w:tcPr>
            <w:tcW w:w="2171" w:type="dxa"/>
            <w:gridSpan w:val="2"/>
            <w:vAlign w:val="top"/>
          </w:tcPr>
          <w:p w14:paraId="50223B7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3.93</w:t>
            </w:r>
          </w:p>
        </w:tc>
        <w:tc>
          <w:tcPr>
            <w:tcW w:w="2082" w:type="dxa"/>
            <w:gridSpan w:val="2"/>
            <w:vAlign w:val="top"/>
          </w:tcPr>
          <w:p w14:paraId="6374117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3.93</w:t>
            </w:r>
          </w:p>
        </w:tc>
      </w:tr>
      <w:tr w14:paraId="0A00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19F492EB">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会议费、培训费</w:t>
            </w:r>
          </w:p>
        </w:tc>
        <w:tc>
          <w:tcPr>
            <w:tcW w:w="1574" w:type="dxa"/>
            <w:gridSpan w:val="2"/>
            <w:vAlign w:val="top"/>
          </w:tcPr>
          <w:p w14:paraId="4F52FC5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 xml:space="preserve">1.56 </w:t>
            </w:r>
          </w:p>
        </w:tc>
        <w:tc>
          <w:tcPr>
            <w:tcW w:w="2171" w:type="dxa"/>
            <w:gridSpan w:val="2"/>
            <w:vAlign w:val="top"/>
          </w:tcPr>
          <w:p w14:paraId="65A8F56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3.93</w:t>
            </w:r>
          </w:p>
        </w:tc>
        <w:tc>
          <w:tcPr>
            <w:tcW w:w="2082" w:type="dxa"/>
            <w:gridSpan w:val="2"/>
            <w:vAlign w:val="top"/>
          </w:tcPr>
          <w:p w14:paraId="5E22079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3.93</w:t>
            </w:r>
          </w:p>
        </w:tc>
      </w:tr>
      <w:tr w14:paraId="7DDC2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05F3CE3E">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公务接待费</w:t>
            </w:r>
          </w:p>
        </w:tc>
        <w:tc>
          <w:tcPr>
            <w:tcW w:w="1574" w:type="dxa"/>
            <w:gridSpan w:val="2"/>
            <w:vAlign w:val="top"/>
          </w:tcPr>
          <w:p w14:paraId="6324FD5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3.81</w:t>
            </w:r>
          </w:p>
        </w:tc>
        <w:tc>
          <w:tcPr>
            <w:tcW w:w="2171" w:type="dxa"/>
            <w:gridSpan w:val="2"/>
            <w:vAlign w:val="top"/>
          </w:tcPr>
          <w:p w14:paraId="61ED25F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3.81</w:t>
            </w:r>
          </w:p>
        </w:tc>
        <w:tc>
          <w:tcPr>
            <w:tcW w:w="2082" w:type="dxa"/>
            <w:gridSpan w:val="2"/>
            <w:vAlign w:val="top"/>
          </w:tcPr>
          <w:p w14:paraId="7872051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3.81</w:t>
            </w:r>
          </w:p>
        </w:tc>
      </w:tr>
      <w:tr w14:paraId="6BBD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4BAE0510">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专用材料费</w:t>
            </w:r>
          </w:p>
        </w:tc>
        <w:tc>
          <w:tcPr>
            <w:tcW w:w="1574" w:type="dxa"/>
            <w:gridSpan w:val="2"/>
            <w:vAlign w:val="top"/>
          </w:tcPr>
          <w:p w14:paraId="1BFB2D2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25.00</w:t>
            </w:r>
          </w:p>
        </w:tc>
        <w:tc>
          <w:tcPr>
            <w:tcW w:w="2171" w:type="dxa"/>
            <w:gridSpan w:val="2"/>
            <w:vAlign w:val="top"/>
          </w:tcPr>
          <w:p w14:paraId="667D0B0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6.00</w:t>
            </w:r>
          </w:p>
        </w:tc>
        <w:tc>
          <w:tcPr>
            <w:tcW w:w="2082" w:type="dxa"/>
            <w:gridSpan w:val="2"/>
            <w:vAlign w:val="top"/>
          </w:tcPr>
          <w:p w14:paraId="300D65B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6.00</w:t>
            </w:r>
          </w:p>
        </w:tc>
      </w:tr>
      <w:tr w14:paraId="53125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653E2EC8">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劳务费、委托业务费</w:t>
            </w:r>
          </w:p>
        </w:tc>
        <w:tc>
          <w:tcPr>
            <w:tcW w:w="1574" w:type="dxa"/>
            <w:gridSpan w:val="2"/>
            <w:vAlign w:val="top"/>
          </w:tcPr>
          <w:p w14:paraId="14A7FCE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 xml:space="preserve">2.81 </w:t>
            </w:r>
          </w:p>
        </w:tc>
        <w:tc>
          <w:tcPr>
            <w:tcW w:w="2171" w:type="dxa"/>
            <w:gridSpan w:val="2"/>
            <w:vAlign w:val="top"/>
          </w:tcPr>
          <w:p w14:paraId="34FABF9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4.38</w:t>
            </w:r>
          </w:p>
        </w:tc>
        <w:tc>
          <w:tcPr>
            <w:tcW w:w="2082" w:type="dxa"/>
            <w:gridSpan w:val="2"/>
            <w:vAlign w:val="top"/>
          </w:tcPr>
          <w:p w14:paraId="4E1A3F3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4.38</w:t>
            </w:r>
          </w:p>
        </w:tc>
      </w:tr>
      <w:tr w14:paraId="7BDC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2B764D14">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工会经费</w:t>
            </w:r>
          </w:p>
        </w:tc>
        <w:tc>
          <w:tcPr>
            <w:tcW w:w="1574" w:type="dxa"/>
            <w:gridSpan w:val="2"/>
            <w:vAlign w:val="top"/>
          </w:tcPr>
          <w:p w14:paraId="4D83E86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15.95</w:t>
            </w:r>
          </w:p>
        </w:tc>
        <w:tc>
          <w:tcPr>
            <w:tcW w:w="2171" w:type="dxa"/>
            <w:gridSpan w:val="2"/>
            <w:vAlign w:val="top"/>
          </w:tcPr>
          <w:p w14:paraId="7D88980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11.76</w:t>
            </w:r>
          </w:p>
        </w:tc>
        <w:tc>
          <w:tcPr>
            <w:tcW w:w="2082" w:type="dxa"/>
            <w:gridSpan w:val="2"/>
            <w:vAlign w:val="top"/>
          </w:tcPr>
          <w:p w14:paraId="36E07E4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11.76</w:t>
            </w:r>
          </w:p>
        </w:tc>
      </w:tr>
      <w:tr w14:paraId="4F0F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32E83757">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其他交通费用</w:t>
            </w:r>
          </w:p>
        </w:tc>
        <w:tc>
          <w:tcPr>
            <w:tcW w:w="1574" w:type="dxa"/>
            <w:gridSpan w:val="2"/>
            <w:vAlign w:val="top"/>
          </w:tcPr>
          <w:p w14:paraId="3E2E568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2.10</w:t>
            </w:r>
          </w:p>
        </w:tc>
        <w:tc>
          <w:tcPr>
            <w:tcW w:w="2171" w:type="dxa"/>
            <w:gridSpan w:val="2"/>
            <w:vAlign w:val="top"/>
          </w:tcPr>
          <w:p w14:paraId="0887EDA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3.06</w:t>
            </w:r>
          </w:p>
        </w:tc>
        <w:tc>
          <w:tcPr>
            <w:tcW w:w="2082" w:type="dxa"/>
            <w:gridSpan w:val="2"/>
            <w:vAlign w:val="top"/>
          </w:tcPr>
          <w:p w14:paraId="55EF7B6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3.06</w:t>
            </w:r>
          </w:p>
        </w:tc>
      </w:tr>
      <w:tr w14:paraId="10515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6C054BE2">
            <w:pPr>
              <w:widowControl w:val="0"/>
              <w:kinsoku/>
              <w:autoSpaceDE w:val="0"/>
              <w:autoSpaceDN w:val="0"/>
              <w:adjustRightInd/>
              <w:snapToGrid/>
              <w:spacing w:line="360" w:lineRule="exact"/>
              <w:ind w:firstLine="1200" w:firstLineChars="5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highlight w:val="none"/>
                <w:lang w:eastAsia="zh-CN"/>
              </w:rPr>
              <w:t>其他商品和服务支出</w:t>
            </w:r>
          </w:p>
        </w:tc>
        <w:tc>
          <w:tcPr>
            <w:tcW w:w="1574" w:type="dxa"/>
            <w:gridSpan w:val="2"/>
            <w:vAlign w:val="top"/>
          </w:tcPr>
          <w:p w14:paraId="36EC61A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20.11</w:t>
            </w:r>
          </w:p>
        </w:tc>
        <w:tc>
          <w:tcPr>
            <w:tcW w:w="2171" w:type="dxa"/>
            <w:gridSpan w:val="2"/>
            <w:vAlign w:val="top"/>
          </w:tcPr>
          <w:p w14:paraId="6422074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28.34</w:t>
            </w:r>
          </w:p>
        </w:tc>
        <w:tc>
          <w:tcPr>
            <w:tcW w:w="2082" w:type="dxa"/>
            <w:gridSpan w:val="2"/>
            <w:vAlign w:val="top"/>
          </w:tcPr>
          <w:p w14:paraId="64F615A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28.34</w:t>
            </w:r>
          </w:p>
        </w:tc>
      </w:tr>
      <w:tr w14:paraId="09E13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Align w:val="top"/>
          </w:tcPr>
          <w:p w14:paraId="766F522D">
            <w:pPr>
              <w:widowControl w:val="0"/>
              <w:kinsoku/>
              <w:autoSpaceDE w:val="0"/>
              <w:autoSpaceDN w:val="0"/>
              <w:adjustRightInd/>
              <w:snapToGrid/>
              <w:spacing w:line="360" w:lineRule="exact"/>
              <w:ind w:firstLine="480" w:firstLineChars="200"/>
              <w:jc w:val="both"/>
              <w:textAlignment w:val="auto"/>
              <w:rPr>
                <w:rFonts w:hint="eastAsia" w:ascii="Times New Roman" w:hAnsi="Times New Roman" w:eastAsia="宋体" w:cs="Times New Roman"/>
                <w:snapToGrid/>
                <w:color w:val="000000"/>
                <w:kern w:val="0"/>
                <w:sz w:val="24"/>
                <w:szCs w:val="24"/>
                <w:highlight w:val="none"/>
                <w:lang w:eastAsia="zh-CN"/>
              </w:rPr>
            </w:pPr>
            <w:r>
              <w:rPr>
                <w:rFonts w:hint="eastAsia" w:ascii="Times New Roman" w:hAnsi="Times New Roman" w:eastAsia="宋体" w:cs="Times New Roman"/>
                <w:snapToGrid/>
                <w:color w:val="000000"/>
                <w:kern w:val="0"/>
                <w:sz w:val="24"/>
                <w:szCs w:val="24"/>
                <w:lang w:val="en-US" w:eastAsia="zh-CN"/>
              </w:rPr>
              <w:t>2、资本性支出</w:t>
            </w:r>
          </w:p>
        </w:tc>
        <w:tc>
          <w:tcPr>
            <w:tcW w:w="1574" w:type="dxa"/>
            <w:gridSpan w:val="2"/>
            <w:vAlign w:val="top"/>
          </w:tcPr>
          <w:p w14:paraId="2019F57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 xml:space="preserve">1.58 </w:t>
            </w:r>
          </w:p>
        </w:tc>
        <w:tc>
          <w:tcPr>
            <w:tcW w:w="2171" w:type="dxa"/>
            <w:gridSpan w:val="2"/>
            <w:vAlign w:val="top"/>
          </w:tcPr>
          <w:p w14:paraId="7480EC3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2.89</w:t>
            </w:r>
          </w:p>
        </w:tc>
        <w:tc>
          <w:tcPr>
            <w:tcW w:w="2082" w:type="dxa"/>
            <w:gridSpan w:val="2"/>
            <w:vAlign w:val="top"/>
          </w:tcPr>
          <w:p w14:paraId="7D0F8A3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2.89</w:t>
            </w:r>
          </w:p>
        </w:tc>
      </w:tr>
      <w:tr w14:paraId="31D8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4214" w:type="dxa"/>
            <w:vAlign w:val="top"/>
          </w:tcPr>
          <w:p w14:paraId="71ACF446">
            <w:pPr>
              <w:widowControl/>
              <w:kinsoku w:val="0"/>
              <w:autoSpaceDE w:val="0"/>
              <w:autoSpaceDN w:val="0"/>
              <w:adjustRightInd w:val="0"/>
              <w:snapToGrid w:val="0"/>
              <w:spacing w:before="123" w:line="219" w:lineRule="auto"/>
              <w:jc w:val="left"/>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政府采购金额</w:t>
            </w:r>
          </w:p>
        </w:tc>
        <w:tc>
          <w:tcPr>
            <w:tcW w:w="1574" w:type="dxa"/>
            <w:gridSpan w:val="2"/>
            <w:vAlign w:val="top"/>
          </w:tcPr>
          <w:p w14:paraId="37ED64E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94.62</w:t>
            </w:r>
          </w:p>
        </w:tc>
        <w:tc>
          <w:tcPr>
            <w:tcW w:w="2171" w:type="dxa"/>
            <w:gridSpan w:val="2"/>
            <w:vAlign w:val="top"/>
          </w:tcPr>
          <w:p w14:paraId="1E356E0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7.49</w:t>
            </w:r>
          </w:p>
        </w:tc>
        <w:tc>
          <w:tcPr>
            <w:tcW w:w="2082" w:type="dxa"/>
            <w:gridSpan w:val="2"/>
            <w:vAlign w:val="top"/>
          </w:tcPr>
          <w:p w14:paraId="619808C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7.49</w:t>
            </w:r>
          </w:p>
        </w:tc>
      </w:tr>
      <w:tr w14:paraId="49B7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4214" w:type="dxa"/>
            <w:vAlign w:val="top"/>
          </w:tcPr>
          <w:p w14:paraId="60819D2B">
            <w:pPr>
              <w:widowControl w:val="0"/>
              <w:kinsoku/>
              <w:autoSpaceDE w:val="0"/>
              <w:autoSpaceDN w:val="0"/>
              <w:adjustRightInd/>
              <w:snapToGrid/>
              <w:spacing w:line="360" w:lineRule="exact"/>
              <w:jc w:val="both"/>
              <w:textAlignment w:val="auto"/>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部门基本支出预算调整</w:t>
            </w:r>
          </w:p>
        </w:tc>
        <w:tc>
          <w:tcPr>
            <w:tcW w:w="1574" w:type="dxa"/>
            <w:gridSpan w:val="2"/>
            <w:vAlign w:val="top"/>
          </w:tcPr>
          <w:p w14:paraId="05E1161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305.30</w:t>
            </w:r>
          </w:p>
        </w:tc>
        <w:tc>
          <w:tcPr>
            <w:tcW w:w="2171" w:type="dxa"/>
            <w:gridSpan w:val="2"/>
            <w:vAlign w:val="top"/>
          </w:tcPr>
          <w:p w14:paraId="67BC24F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329.91</w:t>
            </w:r>
          </w:p>
        </w:tc>
        <w:tc>
          <w:tcPr>
            <w:tcW w:w="2082" w:type="dxa"/>
            <w:gridSpan w:val="2"/>
            <w:vAlign w:val="top"/>
          </w:tcPr>
          <w:p w14:paraId="7D3B0C5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default" w:ascii="Times New Roman" w:hAnsi="Times New Roman" w:eastAsia="宋体" w:cs="Times New Roman"/>
                <w:snapToGrid/>
                <w:color w:val="000000"/>
                <w:kern w:val="0"/>
                <w:sz w:val="24"/>
                <w:szCs w:val="24"/>
                <w:lang w:val="en-US" w:eastAsia="zh-CN"/>
              </w:rPr>
            </w:pPr>
            <w:r>
              <w:rPr>
                <w:rFonts w:hint="eastAsia" w:ascii="Times New Roman" w:hAnsi="Times New Roman" w:eastAsia="宋体" w:cs="Times New Roman"/>
                <w:snapToGrid/>
                <w:color w:val="000000"/>
                <w:kern w:val="0"/>
                <w:sz w:val="24"/>
                <w:szCs w:val="24"/>
                <w:lang w:val="en-US" w:eastAsia="zh-CN"/>
              </w:rPr>
              <w:t>329.91</w:t>
            </w:r>
          </w:p>
        </w:tc>
      </w:tr>
      <w:tr w14:paraId="04A6F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4214" w:type="dxa"/>
            <w:vMerge w:val="restart"/>
            <w:tcBorders>
              <w:bottom w:val="nil"/>
            </w:tcBorders>
            <w:vAlign w:val="top"/>
          </w:tcPr>
          <w:p w14:paraId="51B99E53">
            <w:pPr>
              <w:kinsoku w:val="0"/>
              <w:autoSpaceDE w:val="0"/>
              <w:autoSpaceDN w:val="0"/>
              <w:adjustRightInd w:val="0"/>
              <w:snapToGrid w:val="0"/>
              <w:spacing w:line="303" w:lineRule="auto"/>
              <w:jc w:val="left"/>
              <w:textAlignment w:val="baseline"/>
              <w:rPr>
                <w:rFonts w:ascii="Arial" w:hAnsi="Arial" w:eastAsia="Arial" w:cs="Arial"/>
                <w:snapToGrid w:val="0"/>
                <w:color w:val="000000"/>
                <w:kern w:val="0"/>
                <w:sz w:val="21"/>
                <w:szCs w:val="21"/>
                <w:lang w:val="en-US" w:eastAsia="en-US" w:bidi="ar-SA"/>
              </w:rPr>
            </w:pPr>
          </w:p>
          <w:p w14:paraId="179FB1E4">
            <w:pPr>
              <w:widowControl w:val="0"/>
              <w:kinsoku/>
              <w:autoSpaceDE w:val="0"/>
              <w:autoSpaceDN w:val="0"/>
              <w:adjustRightInd/>
              <w:snapToGrid/>
              <w:spacing w:line="36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楼堂馆所控制情况</w:t>
            </w:r>
          </w:p>
          <w:p w14:paraId="051627C7">
            <w:pPr>
              <w:widowControl w:val="0"/>
              <w:kinsoku/>
              <w:autoSpaceDE w:val="0"/>
              <w:autoSpaceDN w:val="0"/>
              <w:adjustRightInd/>
              <w:snapToGrid/>
              <w:spacing w:line="360" w:lineRule="exact"/>
              <w:jc w:val="center"/>
              <w:textAlignment w:val="auto"/>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(2024年完工项目)</w:t>
            </w:r>
          </w:p>
        </w:tc>
        <w:tc>
          <w:tcPr>
            <w:tcW w:w="567" w:type="dxa"/>
            <w:vAlign w:val="top"/>
          </w:tcPr>
          <w:p w14:paraId="1A6DC012">
            <w:pPr>
              <w:widowControl w:val="0"/>
              <w:kinsoku/>
              <w:autoSpaceDE w:val="0"/>
              <w:autoSpaceDN w:val="0"/>
              <w:adjustRightInd/>
              <w:snapToGrid/>
              <w:spacing w:line="32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批复规模</w:t>
            </w:r>
          </w:p>
          <w:p w14:paraId="0765EAD3">
            <w:pPr>
              <w:widowControl w:val="0"/>
              <w:kinsoku/>
              <w:autoSpaceDE w:val="0"/>
              <w:autoSpaceDN w:val="0"/>
              <w:adjustRightInd/>
              <w:snapToGrid/>
              <w:spacing w:line="32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(m²)</w:t>
            </w:r>
          </w:p>
        </w:tc>
        <w:tc>
          <w:tcPr>
            <w:tcW w:w="1007" w:type="dxa"/>
            <w:vAlign w:val="top"/>
          </w:tcPr>
          <w:p w14:paraId="2A9CAE6F">
            <w:pPr>
              <w:widowControl w:val="0"/>
              <w:kinsoku/>
              <w:autoSpaceDE w:val="0"/>
              <w:autoSpaceDN w:val="0"/>
              <w:adjustRightInd/>
              <w:snapToGrid/>
              <w:spacing w:line="32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实际规模</w:t>
            </w:r>
          </w:p>
          <w:p w14:paraId="61483C9E">
            <w:pPr>
              <w:widowControl w:val="0"/>
              <w:kinsoku/>
              <w:autoSpaceDE w:val="0"/>
              <w:autoSpaceDN w:val="0"/>
              <w:adjustRightInd/>
              <w:snapToGrid/>
              <w:spacing w:line="32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(m²)</w:t>
            </w:r>
          </w:p>
        </w:tc>
        <w:tc>
          <w:tcPr>
            <w:tcW w:w="836" w:type="dxa"/>
            <w:vAlign w:val="top"/>
          </w:tcPr>
          <w:p w14:paraId="534756F5">
            <w:pPr>
              <w:widowControl w:val="0"/>
              <w:kinsoku/>
              <w:autoSpaceDE w:val="0"/>
              <w:autoSpaceDN w:val="0"/>
              <w:adjustRightInd/>
              <w:snapToGrid/>
              <w:spacing w:line="32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规模控制率</w:t>
            </w:r>
          </w:p>
        </w:tc>
        <w:tc>
          <w:tcPr>
            <w:tcW w:w="1335" w:type="dxa"/>
            <w:vAlign w:val="top"/>
          </w:tcPr>
          <w:p w14:paraId="04EAC777">
            <w:pPr>
              <w:widowControl w:val="0"/>
              <w:kinsoku/>
              <w:autoSpaceDE w:val="0"/>
              <w:autoSpaceDN w:val="0"/>
              <w:adjustRightInd/>
              <w:snapToGrid/>
              <w:spacing w:line="32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预算投资</w:t>
            </w:r>
          </w:p>
          <w:p w14:paraId="4F22022E">
            <w:pPr>
              <w:widowControl w:val="0"/>
              <w:kinsoku/>
              <w:autoSpaceDE w:val="0"/>
              <w:autoSpaceDN w:val="0"/>
              <w:adjustRightInd/>
              <w:snapToGrid/>
              <w:spacing w:line="32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(万元)</w:t>
            </w:r>
          </w:p>
        </w:tc>
        <w:tc>
          <w:tcPr>
            <w:tcW w:w="1021" w:type="dxa"/>
            <w:vAlign w:val="top"/>
          </w:tcPr>
          <w:p w14:paraId="332F21DC">
            <w:pPr>
              <w:widowControl w:val="0"/>
              <w:kinsoku/>
              <w:autoSpaceDE w:val="0"/>
              <w:autoSpaceDN w:val="0"/>
              <w:adjustRightInd/>
              <w:snapToGrid/>
              <w:spacing w:line="32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实际投资</w:t>
            </w:r>
          </w:p>
          <w:p w14:paraId="47834085">
            <w:pPr>
              <w:widowControl w:val="0"/>
              <w:kinsoku/>
              <w:autoSpaceDE w:val="0"/>
              <w:autoSpaceDN w:val="0"/>
              <w:adjustRightInd/>
              <w:snapToGrid/>
              <w:spacing w:line="32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(万元)</w:t>
            </w:r>
          </w:p>
        </w:tc>
        <w:tc>
          <w:tcPr>
            <w:tcW w:w="1061" w:type="dxa"/>
            <w:vAlign w:val="top"/>
          </w:tcPr>
          <w:p w14:paraId="705EA653">
            <w:pPr>
              <w:widowControl w:val="0"/>
              <w:kinsoku/>
              <w:autoSpaceDE w:val="0"/>
              <w:autoSpaceDN w:val="0"/>
              <w:adjustRightInd/>
              <w:snapToGrid/>
              <w:spacing w:line="320" w:lineRule="exact"/>
              <w:jc w:val="center"/>
              <w:textAlignment w:val="auto"/>
              <w:rPr>
                <w:rFonts w:ascii="Times New Roman" w:hAnsi="Times New Roman" w:eastAsia="宋体" w:cs="Times New Roman"/>
                <w:snapToGrid/>
                <w:color w:val="000000"/>
                <w:kern w:val="0"/>
                <w:sz w:val="24"/>
                <w:szCs w:val="24"/>
                <w:lang w:eastAsia="zh-CN"/>
              </w:rPr>
            </w:pPr>
            <w:r>
              <w:rPr>
                <w:rFonts w:ascii="Times New Roman" w:hAnsi="Times New Roman" w:eastAsia="宋体" w:cs="Times New Roman"/>
                <w:snapToGrid/>
                <w:color w:val="000000"/>
                <w:kern w:val="0"/>
                <w:sz w:val="24"/>
                <w:szCs w:val="24"/>
                <w:lang w:eastAsia="zh-CN"/>
              </w:rPr>
              <w:t>投资概算 控制率</w:t>
            </w:r>
          </w:p>
        </w:tc>
      </w:tr>
      <w:tr w14:paraId="5F75A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4214" w:type="dxa"/>
            <w:vMerge w:val="continue"/>
            <w:tcBorders>
              <w:top w:val="nil"/>
            </w:tcBorders>
            <w:vAlign w:val="top"/>
          </w:tcPr>
          <w:p w14:paraId="2201604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567" w:type="dxa"/>
            <w:vAlign w:val="top"/>
          </w:tcPr>
          <w:p w14:paraId="3E31E41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w:t>
            </w:r>
          </w:p>
        </w:tc>
        <w:tc>
          <w:tcPr>
            <w:tcW w:w="1007" w:type="dxa"/>
            <w:vAlign w:val="top"/>
          </w:tcPr>
          <w:p w14:paraId="21F1894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w:t>
            </w:r>
          </w:p>
        </w:tc>
        <w:tc>
          <w:tcPr>
            <w:tcW w:w="836" w:type="dxa"/>
            <w:vAlign w:val="top"/>
          </w:tcPr>
          <w:p w14:paraId="192B1C7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w:t>
            </w:r>
          </w:p>
        </w:tc>
        <w:tc>
          <w:tcPr>
            <w:tcW w:w="1335" w:type="dxa"/>
            <w:vAlign w:val="top"/>
          </w:tcPr>
          <w:p w14:paraId="14D0535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w:t>
            </w:r>
          </w:p>
        </w:tc>
        <w:tc>
          <w:tcPr>
            <w:tcW w:w="1021" w:type="dxa"/>
            <w:vAlign w:val="top"/>
          </w:tcPr>
          <w:p w14:paraId="07048F6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w:t>
            </w:r>
          </w:p>
        </w:tc>
        <w:tc>
          <w:tcPr>
            <w:tcW w:w="1061" w:type="dxa"/>
            <w:vAlign w:val="top"/>
          </w:tcPr>
          <w:p w14:paraId="58F8A46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w:t>
            </w:r>
          </w:p>
        </w:tc>
      </w:tr>
      <w:tr w14:paraId="7FA49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4214" w:type="dxa"/>
            <w:vAlign w:val="top"/>
          </w:tcPr>
          <w:p w14:paraId="18720481">
            <w:pPr>
              <w:widowControl/>
              <w:kinsoku w:val="0"/>
              <w:autoSpaceDE w:val="0"/>
              <w:autoSpaceDN w:val="0"/>
              <w:adjustRightInd w:val="0"/>
              <w:snapToGrid w:val="0"/>
              <w:spacing w:before="128" w:line="219" w:lineRule="auto"/>
              <w:jc w:val="center"/>
              <w:textAlignment w:val="baseline"/>
              <w:rPr>
                <w:rFonts w:ascii="宋体" w:hAnsi="宋体" w:eastAsia="宋体" w:cs="宋体"/>
                <w:snapToGrid w:val="0"/>
                <w:color w:val="000000"/>
                <w:kern w:val="0"/>
                <w:sz w:val="22"/>
                <w:szCs w:val="22"/>
                <w:lang w:eastAsia="en-US"/>
              </w:rPr>
            </w:pPr>
            <w:r>
              <w:rPr>
                <w:rFonts w:ascii="Times New Roman" w:hAnsi="Times New Roman" w:eastAsia="宋体" w:cs="Times New Roman"/>
                <w:snapToGrid/>
                <w:color w:val="000000"/>
                <w:kern w:val="0"/>
                <w:sz w:val="24"/>
                <w:szCs w:val="24"/>
                <w:lang w:eastAsia="zh-CN"/>
              </w:rPr>
              <w:t>厉行节约保障措施</w:t>
            </w:r>
          </w:p>
        </w:tc>
        <w:tc>
          <w:tcPr>
            <w:tcW w:w="5827" w:type="dxa"/>
            <w:gridSpan w:val="6"/>
            <w:vAlign w:val="top"/>
          </w:tcPr>
          <w:p w14:paraId="3CEF26C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降低行政运行成本</w:t>
            </w:r>
          </w:p>
        </w:tc>
      </w:tr>
    </w:tbl>
    <w:p w14:paraId="0F5C704C">
      <w:pPr>
        <w:kinsoku w:val="0"/>
        <w:autoSpaceDE w:val="0"/>
        <w:autoSpaceDN w:val="0"/>
        <w:adjustRightInd w:val="0"/>
        <w:snapToGrid w:val="0"/>
        <w:spacing w:before="142" w:line="362" w:lineRule="auto"/>
        <w:ind w:right="84"/>
        <w:jc w:val="left"/>
        <w:textAlignment w:val="baseline"/>
        <w:rPr>
          <w:rFonts w:ascii="Arial" w:hAnsi="宋体" w:eastAsia="宋体" w:cs="宋体"/>
          <w:snapToGrid w:val="0"/>
          <w:color w:val="000000"/>
          <w:kern w:val="0"/>
          <w:sz w:val="21"/>
          <w:szCs w:val="19"/>
          <w:lang w:val="en-US" w:eastAsia="en-US" w:bidi="ar-SA"/>
        </w:rPr>
      </w:pPr>
      <w:r>
        <w:rPr>
          <w:rFonts w:ascii="Times New Roman" w:hAnsi="宋体" w:eastAsia="宋体" w:cs="Times New Roman"/>
          <w:snapToGrid/>
          <w:color w:val="000000"/>
          <w:kern w:val="0"/>
          <w:sz w:val="21"/>
          <w:szCs w:val="21"/>
          <w:lang w:val="en-US" w:eastAsia="zh-CN" w:bidi="ar-SA"/>
        </w:rPr>
        <w:t>说明 ： “项目支出”需要填报基本支出以外的所有项目支出情况，“公用经费”填报基本支出中 的一般商品和服务支出。</w:t>
      </w:r>
    </w:p>
    <w:p w14:paraId="7D4D221B">
      <w:pPr>
        <w:widowControl w:val="0"/>
        <w:kinsoku/>
        <w:autoSpaceDE w:val="0"/>
        <w:autoSpaceDN w:val="0"/>
        <w:adjustRightInd/>
        <w:snapToGrid/>
        <w:spacing w:before="20" w:line="340" w:lineRule="atLeast"/>
        <w:jc w:val="both"/>
        <w:textAlignment w:val="auto"/>
        <w:rPr>
          <w:rFonts w:ascii="Times New Roman" w:hAnsi="宋体" w:eastAsia="宋体" w:cs="Times New Roman"/>
          <w:snapToGrid/>
          <w:color w:val="000000"/>
          <w:kern w:val="0"/>
          <w:sz w:val="21"/>
          <w:szCs w:val="21"/>
          <w:lang w:eastAsia="zh-CN"/>
        </w:rPr>
      </w:pPr>
      <w:r>
        <w:rPr>
          <w:rFonts w:ascii="Times New Roman" w:hAnsi="宋体" w:eastAsia="宋体" w:cs="Times New Roman"/>
          <w:snapToGrid/>
          <w:color w:val="000000"/>
          <w:kern w:val="0"/>
          <w:sz w:val="21"/>
          <w:szCs w:val="21"/>
          <w:lang w:eastAsia="zh-CN"/>
        </w:rPr>
        <w:t>填表人：</w:t>
      </w:r>
      <w:r>
        <w:rPr>
          <w:rFonts w:hint="eastAsia" w:ascii="Times New Roman" w:hAnsi="宋体" w:eastAsia="宋体" w:cs="Times New Roman"/>
          <w:snapToGrid/>
          <w:color w:val="000000"/>
          <w:kern w:val="0"/>
          <w:sz w:val="21"/>
          <w:szCs w:val="21"/>
          <w:lang w:eastAsia="zh-CN"/>
        </w:rPr>
        <w:t>艾昱宏</w:t>
      </w:r>
      <w:r>
        <w:rPr>
          <w:rFonts w:ascii="Times New Roman" w:hAnsi="宋体" w:eastAsia="宋体" w:cs="Times New Roman"/>
          <w:snapToGrid/>
          <w:color w:val="000000"/>
          <w:kern w:val="0"/>
          <w:sz w:val="21"/>
          <w:szCs w:val="21"/>
          <w:lang w:eastAsia="zh-CN"/>
        </w:rPr>
        <w:t xml:space="preserve"> </w:t>
      </w:r>
      <w:r>
        <w:rPr>
          <w:rFonts w:hint="eastAsia" w:ascii="Times New Roman" w:hAnsi="宋体" w:eastAsia="宋体" w:cs="Times New Roman"/>
          <w:snapToGrid/>
          <w:color w:val="000000"/>
          <w:kern w:val="0"/>
          <w:sz w:val="21"/>
          <w:szCs w:val="21"/>
          <w:lang w:val="en-US" w:eastAsia="zh-CN"/>
        </w:rPr>
        <w:t xml:space="preserve">                                               </w:t>
      </w:r>
      <w:r>
        <w:rPr>
          <w:rFonts w:ascii="Times New Roman" w:hAnsi="宋体" w:eastAsia="宋体" w:cs="Times New Roman"/>
          <w:snapToGrid/>
          <w:color w:val="000000"/>
          <w:kern w:val="0"/>
          <w:sz w:val="21"/>
          <w:szCs w:val="21"/>
          <w:lang w:eastAsia="zh-CN"/>
        </w:rPr>
        <w:t>单位负责人签字：</w:t>
      </w:r>
      <w:r>
        <w:rPr>
          <w:rFonts w:hint="eastAsia" w:ascii="Times New Roman" w:hAnsi="宋体" w:eastAsia="宋体" w:cs="Times New Roman"/>
          <w:snapToGrid/>
          <w:color w:val="000000"/>
          <w:kern w:val="0"/>
          <w:sz w:val="21"/>
          <w:szCs w:val="21"/>
          <w:lang w:eastAsia="zh-CN"/>
        </w:rPr>
        <w:t>黄海龙</w:t>
      </w:r>
    </w:p>
    <w:p w14:paraId="0ADB9C1C">
      <w:pPr>
        <w:spacing w:line="231" w:lineRule="auto"/>
        <w:sectPr>
          <w:footerReference r:id="rId5" w:type="default"/>
          <w:pgSz w:w="11900" w:h="16820"/>
          <w:pgMar w:top="1871" w:right="1417" w:bottom="1616" w:left="1587" w:header="850" w:footer="1304" w:gutter="0"/>
          <w:pgNumType w:fmt="decimal" w:start="1"/>
          <w:cols w:space="0" w:num="1"/>
          <w:rtlGutter w:val="0"/>
          <w:docGrid w:linePitch="0" w:charSpace="0"/>
        </w:sectPr>
      </w:pPr>
    </w:p>
    <w:p w14:paraId="5B61D496">
      <w:pPr>
        <w:widowControl w:val="0"/>
        <w:kinsoku/>
        <w:autoSpaceDE/>
        <w:autoSpaceDN/>
        <w:adjustRightInd/>
        <w:snapToGrid/>
        <w:spacing w:line="240" w:lineRule="auto"/>
        <w:jc w:val="left"/>
        <w:textAlignment w:val="auto"/>
        <w:rPr>
          <w:rFonts w:hint="default" w:ascii="Times New Roman" w:hAnsi="Times New Roman" w:eastAsia="黑体" w:cs="Times New Roman"/>
          <w:bCs/>
          <w:snapToGrid/>
          <w:color w:val="000000"/>
          <w:kern w:val="0"/>
          <w:sz w:val="32"/>
          <w:szCs w:val="32"/>
          <w:lang w:val="en-US" w:eastAsia="zh-CN"/>
        </w:rPr>
      </w:pPr>
      <w:r>
        <w:rPr>
          <w:rFonts w:ascii="Times New Roman" w:hAnsi="Times New Roman" w:eastAsia="黑体" w:cs="Times New Roman"/>
          <w:bCs/>
          <w:snapToGrid/>
          <w:color w:val="000000"/>
          <w:kern w:val="0"/>
          <w:sz w:val="32"/>
          <w:szCs w:val="32"/>
          <w:lang w:eastAsia="zh-CN"/>
        </w:rPr>
        <w:t>附件</w:t>
      </w:r>
      <w:r>
        <w:rPr>
          <w:rFonts w:hint="eastAsia" w:ascii="Times New Roman" w:hAnsi="Times New Roman" w:eastAsia="黑体" w:cs="Times New Roman"/>
          <w:bCs/>
          <w:snapToGrid/>
          <w:color w:val="000000"/>
          <w:kern w:val="0"/>
          <w:sz w:val="32"/>
          <w:szCs w:val="32"/>
          <w:lang w:val="en-US" w:eastAsia="zh-CN"/>
        </w:rPr>
        <w:t>3</w:t>
      </w:r>
    </w:p>
    <w:p w14:paraId="339F241F">
      <w:pPr>
        <w:kinsoku w:val="0"/>
        <w:autoSpaceDE w:val="0"/>
        <w:autoSpaceDN w:val="0"/>
        <w:adjustRightInd w:val="0"/>
        <w:snapToGrid w:val="0"/>
        <w:spacing w:before="155" w:line="219" w:lineRule="auto"/>
        <w:ind w:left="891"/>
        <w:jc w:val="center"/>
        <w:textAlignment w:val="baseline"/>
        <w:rPr>
          <w:rFonts w:ascii="Times New Roman" w:hAnsi="Times New Roman" w:eastAsia="方正小标宋简体" w:cs="Times New Roman"/>
          <w:bCs/>
          <w:snapToGrid/>
          <w:color w:val="000000"/>
          <w:kern w:val="0"/>
          <w:sz w:val="44"/>
          <w:szCs w:val="44"/>
          <w:lang w:val="en-US" w:eastAsia="zh-CN" w:bidi="ar-SA"/>
        </w:rPr>
      </w:pPr>
      <w:r>
        <w:rPr>
          <w:rFonts w:ascii="Times New Roman" w:hAnsi="Times New Roman" w:eastAsia="方正小标宋简体" w:cs="Times New Roman"/>
          <w:bCs/>
          <w:snapToGrid/>
          <w:color w:val="000000"/>
          <w:kern w:val="0"/>
          <w:sz w:val="44"/>
          <w:szCs w:val="44"/>
          <w:lang w:val="en-US" w:eastAsia="zh-CN" w:bidi="ar-SA"/>
        </w:rPr>
        <w:t>桃江县2024年度部门整体支出绩效自评表</w:t>
      </w:r>
    </w:p>
    <w:tbl>
      <w:tblPr>
        <w:tblStyle w:val="9"/>
        <w:tblpPr w:leftFromText="180" w:rightFromText="180" w:vertAnchor="text" w:horzAnchor="page" w:tblpXSpec="center" w:tblpY="56"/>
        <w:tblOverlap w:val="never"/>
        <w:tblW w:w="10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367"/>
        <w:gridCol w:w="919"/>
        <w:gridCol w:w="1249"/>
        <w:gridCol w:w="1328"/>
        <w:gridCol w:w="2075"/>
        <w:gridCol w:w="579"/>
        <w:gridCol w:w="750"/>
        <w:gridCol w:w="1133"/>
      </w:tblGrid>
      <w:tr w14:paraId="3A338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3072" w:type="dxa"/>
            <w:gridSpan w:val="3"/>
            <w:vAlign w:val="top"/>
          </w:tcPr>
          <w:p w14:paraId="2AFDF7C6">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县级预算部门、单位名称</w:t>
            </w:r>
          </w:p>
        </w:tc>
        <w:tc>
          <w:tcPr>
            <w:tcW w:w="7114" w:type="dxa"/>
            <w:gridSpan w:val="6"/>
            <w:vAlign w:val="top"/>
          </w:tcPr>
          <w:p w14:paraId="2896DE46">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eastAsia="zh-CN"/>
              </w:rPr>
              <w:t>桃江县竹产业发展服务中心</w:t>
            </w:r>
          </w:p>
        </w:tc>
      </w:tr>
      <w:tr w14:paraId="726D1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786" w:type="dxa"/>
            <w:vMerge w:val="restart"/>
            <w:tcBorders>
              <w:bottom w:val="nil"/>
            </w:tcBorders>
            <w:vAlign w:val="top"/>
          </w:tcPr>
          <w:p w14:paraId="59B6BE61">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7E1FFF35">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335AAFA2">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5FCAF0AD">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年度预 算申请 (万元)</w:t>
            </w:r>
          </w:p>
        </w:tc>
        <w:tc>
          <w:tcPr>
            <w:tcW w:w="2286" w:type="dxa"/>
            <w:gridSpan w:val="2"/>
            <w:vAlign w:val="top"/>
          </w:tcPr>
          <w:p w14:paraId="3DEC732E">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1249" w:type="dxa"/>
            <w:vAlign w:val="top"/>
          </w:tcPr>
          <w:p w14:paraId="79437672">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年初预算数</w:t>
            </w:r>
          </w:p>
        </w:tc>
        <w:tc>
          <w:tcPr>
            <w:tcW w:w="1328" w:type="dxa"/>
            <w:vAlign w:val="top"/>
          </w:tcPr>
          <w:p w14:paraId="78C2AE43">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全年预算数</w:t>
            </w:r>
          </w:p>
        </w:tc>
        <w:tc>
          <w:tcPr>
            <w:tcW w:w="2075" w:type="dxa"/>
            <w:vAlign w:val="top"/>
          </w:tcPr>
          <w:p w14:paraId="170FE755">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全年执行数</w:t>
            </w:r>
          </w:p>
        </w:tc>
        <w:tc>
          <w:tcPr>
            <w:tcW w:w="579" w:type="dxa"/>
            <w:vAlign w:val="top"/>
          </w:tcPr>
          <w:p w14:paraId="313EDD7B">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分值</w:t>
            </w:r>
          </w:p>
        </w:tc>
        <w:tc>
          <w:tcPr>
            <w:tcW w:w="750" w:type="dxa"/>
            <w:vAlign w:val="top"/>
          </w:tcPr>
          <w:p w14:paraId="6E8992ED">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执行率</w:t>
            </w:r>
          </w:p>
        </w:tc>
        <w:tc>
          <w:tcPr>
            <w:tcW w:w="1133" w:type="dxa"/>
            <w:vAlign w:val="top"/>
          </w:tcPr>
          <w:p w14:paraId="1EF2E7C3">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自评得分</w:t>
            </w:r>
          </w:p>
        </w:tc>
      </w:tr>
      <w:tr w14:paraId="2500E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786" w:type="dxa"/>
            <w:vMerge w:val="continue"/>
            <w:tcBorders>
              <w:top w:val="nil"/>
              <w:bottom w:val="nil"/>
            </w:tcBorders>
            <w:vAlign w:val="top"/>
          </w:tcPr>
          <w:p w14:paraId="0D12298B">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2286" w:type="dxa"/>
            <w:gridSpan w:val="2"/>
            <w:vAlign w:val="top"/>
          </w:tcPr>
          <w:p w14:paraId="27666E26">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年度资金总额</w:t>
            </w:r>
          </w:p>
        </w:tc>
        <w:tc>
          <w:tcPr>
            <w:tcW w:w="1249" w:type="dxa"/>
            <w:vAlign w:val="top"/>
          </w:tcPr>
          <w:p w14:paraId="6D19C3CC">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258.08</w:t>
            </w:r>
          </w:p>
        </w:tc>
        <w:tc>
          <w:tcPr>
            <w:tcW w:w="1328" w:type="dxa"/>
            <w:vAlign w:val="top"/>
          </w:tcPr>
          <w:p w14:paraId="626D6001">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1591.69</w:t>
            </w:r>
          </w:p>
        </w:tc>
        <w:tc>
          <w:tcPr>
            <w:tcW w:w="2075" w:type="dxa"/>
            <w:vAlign w:val="top"/>
          </w:tcPr>
          <w:p w14:paraId="2E160CD1">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1591.69</w:t>
            </w:r>
          </w:p>
        </w:tc>
        <w:tc>
          <w:tcPr>
            <w:tcW w:w="579" w:type="dxa"/>
            <w:vAlign w:val="top"/>
          </w:tcPr>
          <w:p w14:paraId="7824E3B7">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10</w:t>
            </w:r>
          </w:p>
        </w:tc>
        <w:tc>
          <w:tcPr>
            <w:tcW w:w="750" w:type="dxa"/>
            <w:vAlign w:val="top"/>
          </w:tcPr>
          <w:p w14:paraId="53E6BF66">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1133" w:type="dxa"/>
            <w:vAlign w:val="top"/>
          </w:tcPr>
          <w:p w14:paraId="0D97AB7B">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r>
      <w:tr w14:paraId="119F0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786" w:type="dxa"/>
            <w:vMerge w:val="continue"/>
            <w:tcBorders>
              <w:top w:val="nil"/>
              <w:bottom w:val="nil"/>
            </w:tcBorders>
            <w:vAlign w:val="top"/>
          </w:tcPr>
          <w:p w14:paraId="0F5E2EE7">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4863" w:type="dxa"/>
            <w:gridSpan w:val="4"/>
            <w:vAlign w:val="top"/>
          </w:tcPr>
          <w:p w14:paraId="6FF015AB">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按收入性质分：</w:t>
            </w:r>
            <w:bookmarkStart w:id="1" w:name="_GoBack"/>
            <w:bookmarkEnd w:id="1"/>
          </w:p>
        </w:tc>
        <w:tc>
          <w:tcPr>
            <w:tcW w:w="4537" w:type="dxa"/>
            <w:gridSpan w:val="4"/>
            <w:vAlign w:val="top"/>
          </w:tcPr>
          <w:p w14:paraId="61ADC4F3">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按支出性质分：</w:t>
            </w:r>
          </w:p>
        </w:tc>
      </w:tr>
      <w:tr w14:paraId="38E8F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786" w:type="dxa"/>
            <w:vMerge w:val="continue"/>
            <w:tcBorders>
              <w:top w:val="nil"/>
              <w:bottom w:val="nil"/>
            </w:tcBorders>
            <w:vAlign w:val="top"/>
          </w:tcPr>
          <w:p w14:paraId="26EED468">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4863" w:type="dxa"/>
            <w:gridSpan w:val="4"/>
            <w:vAlign w:val="top"/>
          </w:tcPr>
          <w:p w14:paraId="276C3012">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ascii="Times New Roman" w:hAnsi="Times New Roman" w:eastAsia="宋体" w:cs="Times New Roman"/>
                <w:snapToGrid/>
                <w:color w:val="000000"/>
                <w:kern w:val="0"/>
                <w:sz w:val="21"/>
                <w:szCs w:val="21"/>
                <w:lang w:eastAsia="zh-CN"/>
              </w:rPr>
              <w:t>其中：一般公共预算：</w:t>
            </w:r>
            <w:r>
              <w:rPr>
                <w:rFonts w:hint="eastAsia" w:ascii="Times New Roman" w:hAnsi="Times New Roman" w:eastAsia="宋体" w:cs="Times New Roman"/>
                <w:snapToGrid/>
                <w:color w:val="000000"/>
                <w:kern w:val="0"/>
                <w:sz w:val="21"/>
                <w:szCs w:val="21"/>
                <w:lang w:val="en-US" w:eastAsia="zh-CN"/>
              </w:rPr>
              <w:t>1591.69</w:t>
            </w:r>
          </w:p>
        </w:tc>
        <w:tc>
          <w:tcPr>
            <w:tcW w:w="4537" w:type="dxa"/>
            <w:gridSpan w:val="4"/>
            <w:vAlign w:val="top"/>
          </w:tcPr>
          <w:p w14:paraId="37AD7B5E">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ascii="Times New Roman" w:hAnsi="Times New Roman" w:eastAsia="宋体" w:cs="Times New Roman"/>
                <w:snapToGrid/>
                <w:color w:val="000000"/>
                <w:kern w:val="0"/>
                <w:sz w:val="21"/>
                <w:szCs w:val="21"/>
                <w:lang w:eastAsia="zh-CN"/>
              </w:rPr>
              <w:t>其中：基本支出：</w:t>
            </w:r>
            <w:r>
              <w:rPr>
                <w:rFonts w:hint="eastAsia" w:ascii="Times New Roman" w:hAnsi="Times New Roman" w:eastAsia="宋体" w:cs="Times New Roman"/>
                <w:snapToGrid/>
                <w:color w:val="000000"/>
                <w:kern w:val="0"/>
                <w:sz w:val="21"/>
                <w:szCs w:val="21"/>
                <w:lang w:val="en-US" w:eastAsia="zh-CN"/>
              </w:rPr>
              <w:t>329.91</w:t>
            </w:r>
          </w:p>
        </w:tc>
      </w:tr>
      <w:tr w14:paraId="0DFBD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786" w:type="dxa"/>
            <w:vMerge w:val="continue"/>
            <w:tcBorders>
              <w:top w:val="nil"/>
              <w:bottom w:val="nil"/>
            </w:tcBorders>
            <w:vAlign w:val="top"/>
          </w:tcPr>
          <w:p w14:paraId="58868E4C">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4863" w:type="dxa"/>
            <w:gridSpan w:val="4"/>
            <w:vAlign w:val="top"/>
          </w:tcPr>
          <w:p w14:paraId="558706EB">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ascii="Times New Roman" w:hAnsi="Times New Roman" w:eastAsia="宋体" w:cs="Times New Roman"/>
                <w:snapToGrid/>
                <w:color w:val="000000"/>
                <w:kern w:val="0"/>
                <w:sz w:val="21"/>
                <w:szCs w:val="21"/>
                <w:lang w:eastAsia="zh-CN"/>
              </w:rPr>
              <w:t>政府性基金拨款：</w:t>
            </w:r>
            <w:r>
              <w:rPr>
                <w:rFonts w:hint="eastAsia" w:ascii="Times New Roman" w:hAnsi="Times New Roman" w:eastAsia="宋体" w:cs="Times New Roman"/>
                <w:snapToGrid/>
                <w:color w:val="000000"/>
                <w:kern w:val="0"/>
                <w:sz w:val="21"/>
                <w:szCs w:val="21"/>
                <w:lang w:val="en-US" w:eastAsia="zh-CN"/>
              </w:rPr>
              <w:t>0</w:t>
            </w:r>
          </w:p>
        </w:tc>
        <w:tc>
          <w:tcPr>
            <w:tcW w:w="4537" w:type="dxa"/>
            <w:gridSpan w:val="4"/>
            <w:vAlign w:val="top"/>
          </w:tcPr>
          <w:p w14:paraId="31B93FBC">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ascii="Times New Roman" w:hAnsi="Times New Roman" w:eastAsia="宋体" w:cs="Times New Roman"/>
                <w:snapToGrid/>
                <w:color w:val="000000"/>
                <w:kern w:val="0"/>
                <w:sz w:val="21"/>
                <w:szCs w:val="21"/>
                <w:lang w:eastAsia="zh-CN"/>
              </w:rPr>
              <w:t>项目支出：</w:t>
            </w:r>
            <w:r>
              <w:rPr>
                <w:rFonts w:hint="eastAsia" w:ascii="Times New Roman" w:hAnsi="Times New Roman" w:eastAsia="宋体" w:cs="Times New Roman"/>
                <w:snapToGrid/>
                <w:color w:val="000000"/>
                <w:kern w:val="0"/>
                <w:sz w:val="21"/>
                <w:szCs w:val="21"/>
                <w:lang w:val="en-US" w:eastAsia="zh-CN"/>
              </w:rPr>
              <w:t>1261.78</w:t>
            </w:r>
          </w:p>
        </w:tc>
      </w:tr>
      <w:tr w14:paraId="52B55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786" w:type="dxa"/>
            <w:vMerge w:val="continue"/>
            <w:tcBorders>
              <w:top w:val="nil"/>
              <w:bottom w:val="nil"/>
            </w:tcBorders>
            <w:vAlign w:val="top"/>
          </w:tcPr>
          <w:p w14:paraId="0053E718">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4863" w:type="dxa"/>
            <w:gridSpan w:val="4"/>
            <w:vAlign w:val="top"/>
          </w:tcPr>
          <w:p w14:paraId="1955ED81">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ascii="Times New Roman" w:hAnsi="Times New Roman" w:eastAsia="宋体" w:cs="Times New Roman"/>
                <w:snapToGrid/>
                <w:color w:val="000000"/>
                <w:kern w:val="0"/>
                <w:sz w:val="21"/>
                <w:szCs w:val="21"/>
                <w:lang w:eastAsia="zh-CN"/>
              </w:rPr>
              <w:t>纳入专户管理的非税收入拨款：</w:t>
            </w:r>
            <w:r>
              <w:rPr>
                <w:rFonts w:hint="eastAsia" w:ascii="Times New Roman" w:hAnsi="Times New Roman" w:eastAsia="宋体" w:cs="Times New Roman"/>
                <w:snapToGrid/>
                <w:color w:val="000000"/>
                <w:kern w:val="0"/>
                <w:sz w:val="21"/>
                <w:szCs w:val="21"/>
                <w:lang w:val="en-US" w:eastAsia="zh-CN"/>
              </w:rPr>
              <w:t>0</w:t>
            </w:r>
          </w:p>
        </w:tc>
        <w:tc>
          <w:tcPr>
            <w:tcW w:w="4537" w:type="dxa"/>
            <w:gridSpan w:val="4"/>
            <w:vAlign w:val="top"/>
          </w:tcPr>
          <w:p w14:paraId="300EF5FC">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08FD8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786" w:type="dxa"/>
            <w:vMerge w:val="continue"/>
            <w:tcBorders>
              <w:top w:val="nil"/>
            </w:tcBorders>
            <w:vAlign w:val="top"/>
          </w:tcPr>
          <w:p w14:paraId="057EA89D">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4863" w:type="dxa"/>
            <w:gridSpan w:val="4"/>
            <w:vAlign w:val="top"/>
          </w:tcPr>
          <w:p w14:paraId="21BD7D7E">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ascii="Times New Roman" w:hAnsi="Times New Roman" w:eastAsia="宋体" w:cs="Times New Roman"/>
                <w:snapToGrid/>
                <w:color w:val="000000"/>
                <w:kern w:val="0"/>
                <w:sz w:val="21"/>
                <w:szCs w:val="21"/>
                <w:lang w:eastAsia="zh-CN"/>
              </w:rPr>
              <w:t>其他资金：</w:t>
            </w:r>
            <w:r>
              <w:rPr>
                <w:rFonts w:hint="eastAsia" w:ascii="Times New Roman" w:hAnsi="Times New Roman" w:eastAsia="宋体" w:cs="Times New Roman"/>
                <w:snapToGrid/>
                <w:color w:val="000000"/>
                <w:kern w:val="0"/>
                <w:sz w:val="21"/>
                <w:szCs w:val="21"/>
                <w:lang w:val="en-US" w:eastAsia="zh-CN"/>
              </w:rPr>
              <w:t>0</w:t>
            </w:r>
          </w:p>
        </w:tc>
        <w:tc>
          <w:tcPr>
            <w:tcW w:w="4537" w:type="dxa"/>
            <w:gridSpan w:val="4"/>
            <w:vAlign w:val="top"/>
          </w:tcPr>
          <w:p w14:paraId="6D645356">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486D8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786" w:type="dxa"/>
            <w:vMerge w:val="restart"/>
            <w:tcBorders>
              <w:bottom w:val="nil"/>
            </w:tcBorders>
            <w:vAlign w:val="top"/>
          </w:tcPr>
          <w:p w14:paraId="43033291">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年度总体</w:t>
            </w:r>
          </w:p>
          <w:p w14:paraId="611E850C">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目标</w:t>
            </w:r>
          </w:p>
        </w:tc>
        <w:tc>
          <w:tcPr>
            <w:tcW w:w="4863" w:type="dxa"/>
            <w:gridSpan w:val="4"/>
            <w:vAlign w:val="top"/>
          </w:tcPr>
          <w:p w14:paraId="1F6E520C">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预期目标</w:t>
            </w:r>
          </w:p>
        </w:tc>
        <w:tc>
          <w:tcPr>
            <w:tcW w:w="4537" w:type="dxa"/>
            <w:gridSpan w:val="4"/>
            <w:vAlign w:val="top"/>
          </w:tcPr>
          <w:p w14:paraId="4439BB08">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实际完成情况</w:t>
            </w:r>
          </w:p>
        </w:tc>
      </w:tr>
      <w:tr w14:paraId="7603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786" w:type="dxa"/>
            <w:vMerge w:val="continue"/>
            <w:tcBorders>
              <w:top w:val="nil"/>
            </w:tcBorders>
            <w:vAlign w:val="top"/>
          </w:tcPr>
          <w:p w14:paraId="3FB65BC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863" w:type="dxa"/>
            <w:gridSpan w:val="4"/>
            <w:vAlign w:val="top"/>
          </w:tcPr>
          <w:p w14:paraId="6F7033BE">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确保2024年度</w:t>
            </w:r>
            <w:r>
              <w:rPr>
                <w:rFonts w:hint="eastAsia" w:ascii="Times New Roman" w:hAnsi="Times New Roman" w:eastAsia="宋体" w:cs="Times New Roman"/>
                <w:snapToGrid/>
                <w:color w:val="000000"/>
                <w:kern w:val="0"/>
                <w:sz w:val="21"/>
                <w:szCs w:val="21"/>
                <w:lang w:eastAsia="zh-CN"/>
              </w:rPr>
              <w:t>竹产业发展中心正常开展工作，统筹全县竹旅文体康产业融合发展工作</w:t>
            </w:r>
          </w:p>
        </w:tc>
        <w:tc>
          <w:tcPr>
            <w:tcW w:w="4537" w:type="dxa"/>
            <w:gridSpan w:val="4"/>
            <w:vAlign w:val="top"/>
          </w:tcPr>
          <w:p w14:paraId="6DC3315C">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确保2024年度</w:t>
            </w:r>
            <w:r>
              <w:rPr>
                <w:rFonts w:hint="eastAsia" w:ascii="Times New Roman" w:hAnsi="Times New Roman" w:eastAsia="宋体" w:cs="Times New Roman"/>
                <w:snapToGrid/>
                <w:color w:val="000000"/>
                <w:kern w:val="0"/>
                <w:sz w:val="21"/>
                <w:szCs w:val="21"/>
                <w:lang w:eastAsia="zh-CN"/>
              </w:rPr>
              <w:t>竹产业发展中心正常开展工作，统筹全县竹旅文体康产业融合发展工作</w:t>
            </w:r>
          </w:p>
        </w:tc>
      </w:tr>
      <w:tr w14:paraId="6CBC8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86" w:type="dxa"/>
            <w:vMerge w:val="restart"/>
            <w:tcBorders>
              <w:bottom w:val="nil"/>
            </w:tcBorders>
            <w:textDirection w:val="tbRlV"/>
            <w:vAlign w:val="top"/>
          </w:tcPr>
          <w:p w14:paraId="459E52EE">
            <w:pPr>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val="en-US" w:eastAsia="en-US" w:bidi="ar-SA"/>
              </w:rPr>
            </w:pPr>
          </w:p>
          <w:p w14:paraId="7F227B6E">
            <w:pPr>
              <w:widowControl w:val="0"/>
              <w:kinsoku/>
              <w:autoSpaceDE w:val="0"/>
              <w:autoSpaceDN w:val="0"/>
              <w:adjustRightInd/>
              <w:snapToGrid/>
              <w:spacing w:line="300" w:lineRule="exact"/>
              <w:jc w:val="center"/>
              <w:textAlignment w:val="auto"/>
              <w:rPr>
                <w:rFonts w:ascii="宋体" w:hAnsi="宋体" w:eastAsia="宋体" w:cs="宋体"/>
                <w:snapToGrid w:val="0"/>
                <w:color w:val="000000"/>
                <w:kern w:val="0"/>
                <w:sz w:val="21"/>
                <w:szCs w:val="21"/>
                <w:lang w:eastAsia="en-US"/>
              </w:rPr>
            </w:pPr>
            <w:r>
              <w:rPr>
                <w:rFonts w:ascii="Times New Roman" w:hAnsi="Times New Roman" w:eastAsia="宋体" w:cs="Times New Roman"/>
                <w:snapToGrid/>
                <w:color w:val="000000"/>
                <w:kern w:val="0"/>
                <w:sz w:val="21"/>
                <w:szCs w:val="21"/>
                <w:lang w:eastAsia="zh-CN"/>
              </w:rPr>
              <w:t>绩 效 指 标</w:t>
            </w:r>
          </w:p>
        </w:tc>
        <w:tc>
          <w:tcPr>
            <w:tcW w:w="1367" w:type="dxa"/>
            <w:vAlign w:val="top"/>
          </w:tcPr>
          <w:p w14:paraId="4E62D6EE">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一级指标</w:t>
            </w:r>
          </w:p>
        </w:tc>
        <w:tc>
          <w:tcPr>
            <w:tcW w:w="919" w:type="dxa"/>
            <w:vAlign w:val="top"/>
          </w:tcPr>
          <w:p w14:paraId="41A3A5D0">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二级指标</w:t>
            </w:r>
          </w:p>
        </w:tc>
        <w:tc>
          <w:tcPr>
            <w:tcW w:w="1249" w:type="dxa"/>
            <w:vAlign w:val="top"/>
          </w:tcPr>
          <w:p w14:paraId="43DCBAEF">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三级指标</w:t>
            </w:r>
          </w:p>
        </w:tc>
        <w:tc>
          <w:tcPr>
            <w:tcW w:w="1328" w:type="dxa"/>
            <w:vAlign w:val="top"/>
          </w:tcPr>
          <w:p w14:paraId="58D889DB">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年度指标值</w:t>
            </w:r>
          </w:p>
        </w:tc>
        <w:tc>
          <w:tcPr>
            <w:tcW w:w="2075" w:type="dxa"/>
            <w:vAlign w:val="top"/>
          </w:tcPr>
          <w:p w14:paraId="08A1D8FE">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实际完成值</w:t>
            </w:r>
          </w:p>
        </w:tc>
        <w:tc>
          <w:tcPr>
            <w:tcW w:w="579" w:type="dxa"/>
            <w:vAlign w:val="top"/>
          </w:tcPr>
          <w:p w14:paraId="18245FFA">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分值</w:t>
            </w:r>
          </w:p>
        </w:tc>
        <w:tc>
          <w:tcPr>
            <w:tcW w:w="750" w:type="dxa"/>
            <w:vAlign w:val="top"/>
          </w:tcPr>
          <w:p w14:paraId="34E77503">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自评得分</w:t>
            </w:r>
          </w:p>
        </w:tc>
        <w:tc>
          <w:tcPr>
            <w:tcW w:w="1133" w:type="dxa"/>
            <w:vAlign w:val="top"/>
          </w:tcPr>
          <w:p w14:paraId="7B3CC183">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偏差原因分析及改进措施</w:t>
            </w:r>
          </w:p>
        </w:tc>
      </w:tr>
      <w:tr w14:paraId="5352E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86" w:type="dxa"/>
            <w:vMerge w:val="continue"/>
            <w:tcBorders>
              <w:top w:val="nil"/>
              <w:bottom w:val="nil"/>
            </w:tcBorders>
            <w:textDirection w:val="tbRlV"/>
            <w:vAlign w:val="top"/>
          </w:tcPr>
          <w:p w14:paraId="71F73B0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vMerge w:val="restart"/>
            <w:tcBorders>
              <w:bottom w:val="nil"/>
            </w:tcBorders>
            <w:vAlign w:val="top"/>
          </w:tcPr>
          <w:p w14:paraId="6F3AA739">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18071C63">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4F02A1EE">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040748C0">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609390E0">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218F8951">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6D4D3DB9">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产出指标</w:t>
            </w:r>
          </w:p>
          <w:p w14:paraId="3C767FBA">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(50分)</w:t>
            </w:r>
          </w:p>
        </w:tc>
        <w:tc>
          <w:tcPr>
            <w:tcW w:w="919" w:type="dxa"/>
            <w:vMerge w:val="restart"/>
            <w:tcBorders>
              <w:bottom w:val="nil"/>
            </w:tcBorders>
            <w:vAlign w:val="top"/>
          </w:tcPr>
          <w:p w14:paraId="028CCD58">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1657B2E1">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03AEE7DF">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0FA03C19">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数量指标</w:t>
            </w:r>
          </w:p>
        </w:tc>
        <w:tc>
          <w:tcPr>
            <w:tcW w:w="1249" w:type="dxa"/>
            <w:vAlign w:val="top"/>
          </w:tcPr>
          <w:p w14:paraId="62CD7533">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在职人数</w:t>
            </w:r>
          </w:p>
        </w:tc>
        <w:tc>
          <w:tcPr>
            <w:tcW w:w="1328" w:type="dxa"/>
            <w:vAlign w:val="top"/>
          </w:tcPr>
          <w:p w14:paraId="0CE58D44">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不超过编制数</w:t>
            </w:r>
          </w:p>
        </w:tc>
        <w:tc>
          <w:tcPr>
            <w:tcW w:w="2075" w:type="dxa"/>
            <w:vAlign w:val="top"/>
          </w:tcPr>
          <w:p w14:paraId="0626985B">
            <w:pPr>
              <w:widowControl w:val="0"/>
              <w:kinsoku/>
              <w:autoSpaceDE w:val="0"/>
              <w:autoSpaceDN w:val="0"/>
              <w:adjustRightInd/>
              <w:snapToGrid/>
              <w:spacing w:line="300" w:lineRule="exact"/>
              <w:jc w:val="both"/>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未超过编制数</w:t>
            </w:r>
          </w:p>
        </w:tc>
        <w:tc>
          <w:tcPr>
            <w:tcW w:w="579" w:type="dxa"/>
            <w:vAlign w:val="top"/>
          </w:tcPr>
          <w:p w14:paraId="3A8B1EB2">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750" w:type="dxa"/>
            <w:vAlign w:val="top"/>
          </w:tcPr>
          <w:p w14:paraId="61A24B98">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133" w:type="dxa"/>
            <w:vAlign w:val="top"/>
          </w:tcPr>
          <w:p w14:paraId="6A8ACC82">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7D27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86" w:type="dxa"/>
            <w:vMerge w:val="continue"/>
            <w:tcBorders>
              <w:top w:val="nil"/>
              <w:bottom w:val="nil"/>
            </w:tcBorders>
            <w:textDirection w:val="tbRlV"/>
            <w:vAlign w:val="top"/>
          </w:tcPr>
          <w:p w14:paraId="0E7888F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vMerge w:val="continue"/>
            <w:tcBorders>
              <w:top w:val="nil"/>
              <w:bottom w:val="nil"/>
            </w:tcBorders>
            <w:vAlign w:val="top"/>
          </w:tcPr>
          <w:p w14:paraId="4766DA8C">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919" w:type="dxa"/>
            <w:vMerge w:val="continue"/>
            <w:tcBorders>
              <w:top w:val="nil"/>
              <w:bottom w:val="nil"/>
            </w:tcBorders>
            <w:vAlign w:val="top"/>
          </w:tcPr>
          <w:p w14:paraId="5E2183D6">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1249" w:type="dxa"/>
            <w:vAlign w:val="top"/>
          </w:tcPr>
          <w:p w14:paraId="66C1903B">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新建笋竹两用林基地</w:t>
            </w:r>
          </w:p>
        </w:tc>
        <w:tc>
          <w:tcPr>
            <w:tcW w:w="1328" w:type="dxa"/>
            <w:vAlign w:val="top"/>
          </w:tcPr>
          <w:p w14:paraId="475698DE">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=3000亩</w:t>
            </w:r>
          </w:p>
        </w:tc>
        <w:tc>
          <w:tcPr>
            <w:tcW w:w="2075" w:type="dxa"/>
            <w:vAlign w:val="top"/>
          </w:tcPr>
          <w:p w14:paraId="7C4D5F17">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=3000亩</w:t>
            </w:r>
          </w:p>
        </w:tc>
        <w:tc>
          <w:tcPr>
            <w:tcW w:w="579" w:type="dxa"/>
            <w:vAlign w:val="top"/>
          </w:tcPr>
          <w:p w14:paraId="0DCDE5BE">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750" w:type="dxa"/>
            <w:vAlign w:val="top"/>
          </w:tcPr>
          <w:p w14:paraId="7D538463">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1133" w:type="dxa"/>
            <w:vAlign w:val="top"/>
          </w:tcPr>
          <w:p w14:paraId="4908166B">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02B9C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86" w:type="dxa"/>
            <w:vMerge w:val="continue"/>
            <w:tcBorders>
              <w:top w:val="nil"/>
              <w:bottom w:val="nil"/>
            </w:tcBorders>
            <w:textDirection w:val="tbRlV"/>
            <w:vAlign w:val="top"/>
          </w:tcPr>
          <w:p w14:paraId="26CB8A8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vMerge w:val="continue"/>
            <w:tcBorders>
              <w:top w:val="nil"/>
              <w:bottom w:val="nil"/>
            </w:tcBorders>
            <w:vAlign w:val="top"/>
          </w:tcPr>
          <w:p w14:paraId="7DD6AD30">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919" w:type="dxa"/>
            <w:vMerge w:val="continue"/>
            <w:tcBorders>
              <w:top w:val="nil"/>
            </w:tcBorders>
            <w:vAlign w:val="top"/>
          </w:tcPr>
          <w:p w14:paraId="664018EB">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1249" w:type="dxa"/>
            <w:vAlign w:val="top"/>
          </w:tcPr>
          <w:p w14:paraId="36D85A1C">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新增复合经营示范基地</w:t>
            </w:r>
          </w:p>
        </w:tc>
        <w:tc>
          <w:tcPr>
            <w:tcW w:w="1328" w:type="dxa"/>
            <w:vAlign w:val="top"/>
          </w:tcPr>
          <w:p w14:paraId="61C34BF8">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=300亩</w:t>
            </w:r>
          </w:p>
        </w:tc>
        <w:tc>
          <w:tcPr>
            <w:tcW w:w="2075" w:type="dxa"/>
            <w:vAlign w:val="top"/>
          </w:tcPr>
          <w:p w14:paraId="4119C61E">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=300亩</w:t>
            </w:r>
          </w:p>
        </w:tc>
        <w:tc>
          <w:tcPr>
            <w:tcW w:w="579" w:type="dxa"/>
            <w:vAlign w:val="top"/>
          </w:tcPr>
          <w:p w14:paraId="3F226611">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750" w:type="dxa"/>
            <w:vAlign w:val="top"/>
          </w:tcPr>
          <w:p w14:paraId="7517E3FE">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1133" w:type="dxa"/>
            <w:vAlign w:val="top"/>
          </w:tcPr>
          <w:p w14:paraId="27B92E1A">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6C795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786" w:type="dxa"/>
            <w:vMerge w:val="continue"/>
            <w:tcBorders>
              <w:top w:val="nil"/>
              <w:bottom w:val="nil"/>
            </w:tcBorders>
            <w:textDirection w:val="tbRlV"/>
            <w:vAlign w:val="top"/>
          </w:tcPr>
          <w:p w14:paraId="41F7ECA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vMerge w:val="continue"/>
            <w:tcBorders>
              <w:top w:val="nil"/>
              <w:bottom w:val="nil"/>
            </w:tcBorders>
            <w:vAlign w:val="top"/>
          </w:tcPr>
          <w:p w14:paraId="7DAE781B">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919" w:type="dxa"/>
            <w:tcBorders>
              <w:bottom w:val="nil"/>
            </w:tcBorders>
            <w:vAlign w:val="top"/>
          </w:tcPr>
          <w:p w14:paraId="7E8EB9FD">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51A7C20C">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质量指标</w:t>
            </w:r>
          </w:p>
        </w:tc>
        <w:tc>
          <w:tcPr>
            <w:tcW w:w="1249" w:type="dxa"/>
            <w:vAlign w:val="top"/>
          </w:tcPr>
          <w:p w14:paraId="28C0F538">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val="en-US" w:eastAsia="zh-CN"/>
              </w:rPr>
            </w:pPr>
          </w:p>
          <w:p w14:paraId="35BFBDD5">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提高竹林质量</w:t>
            </w:r>
          </w:p>
        </w:tc>
        <w:tc>
          <w:tcPr>
            <w:tcW w:w="1328" w:type="dxa"/>
            <w:vAlign w:val="top"/>
          </w:tcPr>
          <w:p w14:paraId="4F999E2C">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val="en-US" w:eastAsia="zh-CN"/>
              </w:rPr>
            </w:pPr>
          </w:p>
          <w:p w14:paraId="64417AA0">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明显提高</w:t>
            </w:r>
          </w:p>
        </w:tc>
        <w:tc>
          <w:tcPr>
            <w:tcW w:w="2075" w:type="dxa"/>
            <w:vAlign w:val="top"/>
          </w:tcPr>
          <w:p w14:paraId="22499057">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巩固2022—2023年全县新建笋竹两用林基地14000亩</w:t>
            </w:r>
          </w:p>
        </w:tc>
        <w:tc>
          <w:tcPr>
            <w:tcW w:w="579" w:type="dxa"/>
            <w:vAlign w:val="top"/>
          </w:tcPr>
          <w:p w14:paraId="626962E7">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750" w:type="dxa"/>
            <w:vAlign w:val="top"/>
          </w:tcPr>
          <w:p w14:paraId="58120308">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133" w:type="dxa"/>
            <w:vAlign w:val="top"/>
          </w:tcPr>
          <w:p w14:paraId="4C54AE3E">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20F47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786" w:type="dxa"/>
            <w:vMerge w:val="continue"/>
            <w:tcBorders>
              <w:top w:val="nil"/>
              <w:bottom w:val="nil"/>
            </w:tcBorders>
            <w:textDirection w:val="tbRlV"/>
            <w:vAlign w:val="top"/>
          </w:tcPr>
          <w:p w14:paraId="3B514D3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vMerge w:val="continue"/>
            <w:tcBorders>
              <w:top w:val="nil"/>
              <w:bottom w:val="nil"/>
            </w:tcBorders>
            <w:vAlign w:val="top"/>
          </w:tcPr>
          <w:p w14:paraId="24C0CC41">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919" w:type="dxa"/>
            <w:tcBorders>
              <w:bottom w:val="nil"/>
            </w:tcBorders>
            <w:vAlign w:val="top"/>
          </w:tcPr>
          <w:p w14:paraId="1055BA66">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时效指标</w:t>
            </w:r>
          </w:p>
        </w:tc>
        <w:tc>
          <w:tcPr>
            <w:tcW w:w="1249" w:type="dxa"/>
            <w:vAlign w:val="top"/>
          </w:tcPr>
          <w:p w14:paraId="62A29D19">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2024年度</w:t>
            </w:r>
          </w:p>
        </w:tc>
        <w:tc>
          <w:tcPr>
            <w:tcW w:w="1328" w:type="dxa"/>
            <w:vAlign w:val="top"/>
          </w:tcPr>
          <w:p w14:paraId="7EE67FA7">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eastAsia="zh-CN"/>
              </w:rPr>
              <w:t>一年</w:t>
            </w:r>
          </w:p>
        </w:tc>
        <w:tc>
          <w:tcPr>
            <w:tcW w:w="2075" w:type="dxa"/>
            <w:vAlign w:val="top"/>
          </w:tcPr>
          <w:p w14:paraId="15B81F9B">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eastAsia="zh-CN"/>
              </w:rPr>
              <w:t>一年</w:t>
            </w:r>
          </w:p>
        </w:tc>
        <w:tc>
          <w:tcPr>
            <w:tcW w:w="579" w:type="dxa"/>
            <w:vAlign w:val="top"/>
          </w:tcPr>
          <w:p w14:paraId="6E2B37FD">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750" w:type="dxa"/>
            <w:vAlign w:val="top"/>
          </w:tcPr>
          <w:p w14:paraId="25EE4817">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133" w:type="dxa"/>
            <w:vAlign w:val="top"/>
          </w:tcPr>
          <w:p w14:paraId="01802312">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260CF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86" w:type="dxa"/>
            <w:vMerge w:val="continue"/>
            <w:tcBorders>
              <w:top w:val="nil"/>
              <w:bottom w:val="nil"/>
            </w:tcBorders>
            <w:textDirection w:val="tbRlV"/>
            <w:vAlign w:val="top"/>
          </w:tcPr>
          <w:p w14:paraId="7222792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vMerge w:val="continue"/>
            <w:tcBorders>
              <w:top w:val="nil"/>
              <w:bottom w:val="nil"/>
            </w:tcBorders>
            <w:vAlign w:val="top"/>
          </w:tcPr>
          <w:p w14:paraId="203BB054">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919" w:type="dxa"/>
            <w:tcBorders>
              <w:bottom w:val="nil"/>
            </w:tcBorders>
            <w:vAlign w:val="top"/>
          </w:tcPr>
          <w:p w14:paraId="368DF2B5">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成本指标</w:t>
            </w:r>
          </w:p>
        </w:tc>
        <w:tc>
          <w:tcPr>
            <w:tcW w:w="1249" w:type="dxa"/>
            <w:vAlign w:val="top"/>
          </w:tcPr>
          <w:p w14:paraId="3C3EA844">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eastAsia="zh-CN"/>
              </w:rPr>
              <w:t>预算执行率</w:t>
            </w:r>
          </w:p>
        </w:tc>
        <w:tc>
          <w:tcPr>
            <w:tcW w:w="1328" w:type="dxa"/>
            <w:vAlign w:val="top"/>
          </w:tcPr>
          <w:p w14:paraId="4FB5CA82">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100%</w:t>
            </w:r>
          </w:p>
        </w:tc>
        <w:tc>
          <w:tcPr>
            <w:tcW w:w="2075" w:type="dxa"/>
            <w:vAlign w:val="top"/>
          </w:tcPr>
          <w:p w14:paraId="3FBE0BBB">
            <w:pPr>
              <w:widowControl w:val="0"/>
              <w:kinsoku/>
              <w:autoSpaceDE w:val="0"/>
              <w:autoSpaceDN w:val="0"/>
              <w:adjustRightInd/>
              <w:snapToGrid/>
              <w:spacing w:line="300" w:lineRule="exact"/>
              <w:jc w:val="left"/>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579" w:type="dxa"/>
            <w:vAlign w:val="top"/>
          </w:tcPr>
          <w:p w14:paraId="7A80323A">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750" w:type="dxa"/>
            <w:vAlign w:val="top"/>
          </w:tcPr>
          <w:p w14:paraId="6D25188C">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1133" w:type="dxa"/>
            <w:vAlign w:val="top"/>
          </w:tcPr>
          <w:p w14:paraId="0DDF61F9">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2F34A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786" w:type="dxa"/>
            <w:vMerge w:val="continue"/>
            <w:tcBorders>
              <w:top w:val="nil"/>
              <w:bottom w:val="nil"/>
            </w:tcBorders>
            <w:textDirection w:val="tbRlV"/>
            <w:vAlign w:val="top"/>
          </w:tcPr>
          <w:p w14:paraId="378D416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vMerge w:val="restart"/>
            <w:tcBorders>
              <w:bottom w:val="nil"/>
            </w:tcBorders>
            <w:vAlign w:val="top"/>
          </w:tcPr>
          <w:p w14:paraId="050BBE6D">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2E937E23">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3BFBBDB6">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364BF999">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34BDC068">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效益指标</w:t>
            </w:r>
          </w:p>
          <w:p w14:paraId="7C9B2566">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(30分)</w:t>
            </w:r>
          </w:p>
        </w:tc>
        <w:tc>
          <w:tcPr>
            <w:tcW w:w="919" w:type="dxa"/>
            <w:tcBorders>
              <w:bottom w:val="nil"/>
            </w:tcBorders>
            <w:vAlign w:val="top"/>
          </w:tcPr>
          <w:p w14:paraId="7B311376">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 xml:space="preserve"> </w:t>
            </w:r>
          </w:p>
          <w:p w14:paraId="5DA57DE8">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64D503C0">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经济效</w:t>
            </w:r>
          </w:p>
          <w:p w14:paraId="19E8188C">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益指标</w:t>
            </w:r>
          </w:p>
        </w:tc>
        <w:tc>
          <w:tcPr>
            <w:tcW w:w="1249" w:type="dxa"/>
            <w:vAlign w:val="top"/>
          </w:tcPr>
          <w:p w14:paraId="16CF69E6">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00DEF800">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6F1951F7">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提高竹产业规模</w:t>
            </w:r>
          </w:p>
        </w:tc>
        <w:tc>
          <w:tcPr>
            <w:tcW w:w="1328" w:type="dxa"/>
            <w:vAlign w:val="top"/>
          </w:tcPr>
          <w:p w14:paraId="07979F9F">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eastAsia="zh-CN"/>
              </w:rPr>
            </w:pPr>
          </w:p>
          <w:p w14:paraId="5F10225D">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eastAsia="zh-CN"/>
              </w:rPr>
            </w:pPr>
          </w:p>
          <w:p w14:paraId="2ECC3FFB">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eastAsia="zh-CN"/>
              </w:rPr>
              <w:t>明显</w:t>
            </w:r>
          </w:p>
        </w:tc>
        <w:tc>
          <w:tcPr>
            <w:tcW w:w="2075" w:type="dxa"/>
            <w:vAlign w:val="top"/>
          </w:tcPr>
          <w:p w14:paraId="01F8F9E9">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引进竹旅文体康产业融合发展项目20个，总投资24.59亿元县直单位共计整合项目资金2.6亿元；</w:t>
            </w:r>
          </w:p>
        </w:tc>
        <w:tc>
          <w:tcPr>
            <w:tcW w:w="579" w:type="dxa"/>
            <w:vAlign w:val="top"/>
          </w:tcPr>
          <w:p w14:paraId="61719DCC">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4C23AAD3">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74041408">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3336657B">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750" w:type="dxa"/>
            <w:vAlign w:val="top"/>
          </w:tcPr>
          <w:p w14:paraId="449F9287">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1FBAF593">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1B357C96">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0C8FE18A">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1133" w:type="dxa"/>
            <w:vAlign w:val="top"/>
          </w:tcPr>
          <w:p w14:paraId="3C00BA84">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5B345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jc w:val="center"/>
        </w:trPr>
        <w:tc>
          <w:tcPr>
            <w:tcW w:w="786" w:type="dxa"/>
            <w:vMerge w:val="continue"/>
            <w:tcBorders>
              <w:top w:val="nil"/>
              <w:bottom w:val="nil"/>
            </w:tcBorders>
            <w:textDirection w:val="tbRlV"/>
            <w:vAlign w:val="top"/>
          </w:tcPr>
          <w:p w14:paraId="3153DA9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vMerge w:val="continue"/>
            <w:tcBorders>
              <w:top w:val="nil"/>
              <w:bottom w:val="nil"/>
            </w:tcBorders>
            <w:vAlign w:val="top"/>
          </w:tcPr>
          <w:p w14:paraId="289E1E20">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919" w:type="dxa"/>
            <w:tcBorders>
              <w:bottom w:val="nil"/>
            </w:tcBorders>
            <w:vAlign w:val="top"/>
          </w:tcPr>
          <w:p w14:paraId="028DB67B">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4EBF552B">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6778375E">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p w14:paraId="157D5A16">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社会效</w:t>
            </w:r>
          </w:p>
          <w:p w14:paraId="0CFDB544">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益指标</w:t>
            </w:r>
          </w:p>
        </w:tc>
        <w:tc>
          <w:tcPr>
            <w:tcW w:w="1249" w:type="dxa"/>
            <w:vAlign w:val="top"/>
          </w:tcPr>
          <w:p w14:paraId="23090C2E">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4ACD1E48">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5D65CBE9">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2B9AA885">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保障竹产业发展</w:t>
            </w:r>
          </w:p>
        </w:tc>
        <w:tc>
          <w:tcPr>
            <w:tcW w:w="1328" w:type="dxa"/>
            <w:vAlign w:val="top"/>
          </w:tcPr>
          <w:p w14:paraId="700772A5">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val="en-US" w:eastAsia="zh-CN"/>
              </w:rPr>
            </w:pPr>
          </w:p>
          <w:p w14:paraId="2A6B98E8">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val="en-US" w:eastAsia="zh-CN"/>
              </w:rPr>
            </w:pPr>
          </w:p>
          <w:p w14:paraId="1B60C415">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val="en-US" w:eastAsia="zh-CN"/>
              </w:rPr>
            </w:pPr>
          </w:p>
          <w:p w14:paraId="7891C4FB">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有效保障</w:t>
            </w:r>
          </w:p>
        </w:tc>
        <w:tc>
          <w:tcPr>
            <w:tcW w:w="2075" w:type="dxa"/>
            <w:vAlign w:val="top"/>
          </w:tcPr>
          <w:p w14:paraId="6DF03CB7">
            <w:pPr>
              <w:widowControl w:val="0"/>
              <w:kinsoku/>
              <w:autoSpaceDE w:val="0"/>
              <w:autoSpaceDN w:val="0"/>
              <w:adjustRightInd/>
              <w:snapToGrid/>
              <w:spacing w:line="300" w:lineRule="exact"/>
              <w:jc w:val="left"/>
              <w:textAlignment w:val="auto"/>
              <w:rPr>
                <w:rFonts w:hint="default" w:ascii="Times New Roman" w:hAnsi="Times New Roman" w:eastAsia="宋体" w:cs="Times New Roman"/>
                <w:snapToGrid/>
                <w:color w:val="000000"/>
                <w:kern w:val="0"/>
                <w:sz w:val="21"/>
                <w:szCs w:val="21"/>
                <w:lang w:val="en-US" w:eastAsia="zh-CN"/>
              </w:rPr>
            </w:pPr>
          </w:p>
          <w:p w14:paraId="630E68CA">
            <w:pPr>
              <w:widowControl w:val="0"/>
              <w:kinsoku/>
              <w:autoSpaceDE w:val="0"/>
              <w:autoSpaceDN w:val="0"/>
              <w:adjustRightInd/>
              <w:snapToGrid/>
              <w:spacing w:line="300" w:lineRule="exact"/>
              <w:jc w:val="left"/>
              <w:textAlignment w:val="auto"/>
              <w:rPr>
                <w:rFonts w:hint="eastAsia" w:ascii="Times New Roman" w:hAnsi="Times New Roman" w:eastAsia="宋体" w:cs="Times New Roman"/>
                <w:snapToGrid/>
                <w:color w:val="000000"/>
                <w:kern w:val="0"/>
                <w:sz w:val="21"/>
                <w:szCs w:val="21"/>
                <w:lang w:val="en-US" w:eastAsia="zh-CN"/>
              </w:rPr>
            </w:pPr>
            <w:r>
              <w:rPr>
                <w:rFonts w:hint="default" w:ascii="Times New Roman" w:hAnsi="Times New Roman" w:eastAsia="宋体" w:cs="Times New Roman"/>
                <w:snapToGrid/>
                <w:color w:val="000000"/>
                <w:kern w:val="0"/>
                <w:sz w:val="21"/>
                <w:szCs w:val="21"/>
                <w:lang w:val="en-US" w:eastAsia="zh-CN"/>
              </w:rPr>
              <w:t>‘“</w:t>
            </w:r>
            <w:r>
              <w:rPr>
                <w:rFonts w:hint="eastAsia" w:ascii="Times New Roman" w:hAnsi="Times New Roman" w:eastAsia="宋体" w:cs="Times New Roman"/>
                <w:snapToGrid/>
                <w:color w:val="000000"/>
                <w:kern w:val="0"/>
                <w:sz w:val="21"/>
                <w:szCs w:val="21"/>
                <w:lang w:val="en-US" w:eastAsia="zh-CN"/>
              </w:rPr>
              <w:t>五</w:t>
            </w:r>
            <w:r>
              <w:rPr>
                <w:rFonts w:hint="default" w:ascii="Times New Roman" w:hAnsi="Times New Roman" w:eastAsia="宋体" w:cs="Times New Roman"/>
                <w:snapToGrid/>
                <w:color w:val="000000"/>
                <w:kern w:val="0"/>
                <w:sz w:val="21"/>
                <w:szCs w:val="21"/>
                <w:lang w:val="en-US" w:eastAsia="zh-CN"/>
              </w:rPr>
              <w:t>个引领’助力竹产业拔节向上”获农业农村部典型案例推介</w:t>
            </w:r>
            <w:r>
              <w:rPr>
                <w:rFonts w:hint="eastAsia" w:ascii="Times New Roman" w:hAnsi="Times New Roman" w:eastAsia="宋体" w:cs="Times New Roman"/>
                <w:snapToGrid/>
                <w:color w:val="000000"/>
                <w:kern w:val="0"/>
                <w:sz w:val="21"/>
                <w:szCs w:val="21"/>
                <w:lang w:val="en-US" w:eastAsia="zh-CN"/>
              </w:rPr>
              <w:t>；已与中麻所签订战略合作协议，开展桃江竹笋健康属性等方面的研究。</w:t>
            </w:r>
          </w:p>
          <w:p w14:paraId="565D3704">
            <w:pPr>
              <w:widowControl w:val="0"/>
              <w:kinsoku/>
              <w:autoSpaceDE w:val="0"/>
              <w:autoSpaceDN w:val="0"/>
              <w:adjustRightInd/>
              <w:snapToGrid/>
              <w:spacing w:line="300" w:lineRule="exact"/>
              <w:jc w:val="left"/>
              <w:textAlignment w:val="auto"/>
              <w:rPr>
                <w:rFonts w:hint="default" w:ascii="Times New Roman" w:hAnsi="Times New Roman" w:eastAsia="宋体" w:cs="Times New Roman"/>
                <w:snapToGrid/>
                <w:color w:val="000000"/>
                <w:kern w:val="0"/>
                <w:sz w:val="21"/>
                <w:szCs w:val="21"/>
                <w:lang w:val="en-US" w:eastAsia="zh-CN"/>
              </w:rPr>
            </w:pPr>
          </w:p>
          <w:p w14:paraId="53466BE5">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p>
        </w:tc>
        <w:tc>
          <w:tcPr>
            <w:tcW w:w="579" w:type="dxa"/>
            <w:vAlign w:val="top"/>
          </w:tcPr>
          <w:p w14:paraId="11EBA10C">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4D45C112">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72B83342">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05A1C539">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750" w:type="dxa"/>
            <w:vAlign w:val="top"/>
          </w:tcPr>
          <w:p w14:paraId="2E66ABDD">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3DC0EA22">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771D43E5">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1ACDA91D">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1133" w:type="dxa"/>
            <w:vAlign w:val="top"/>
          </w:tcPr>
          <w:p w14:paraId="32D9A24A">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6A91A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786" w:type="dxa"/>
            <w:vMerge w:val="continue"/>
            <w:tcBorders>
              <w:top w:val="nil"/>
              <w:bottom w:val="nil"/>
            </w:tcBorders>
            <w:textDirection w:val="tbRlV"/>
            <w:vAlign w:val="top"/>
          </w:tcPr>
          <w:p w14:paraId="7566EC94">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vMerge w:val="continue"/>
            <w:tcBorders>
              <w:top w:val="nil"/>
              <w:bottom w:val="nil"/>
            </w:tcBorders>
            <w:vAlign w:val="top"/>
          </w:tcPr>
          <w:p w14:paraId="2D0AC2BC">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919" w:type="dxa"/>
            <w:tcBorders>
              <w:bottom w:val="nil"/>
            </w:tcBorders>
            <w:vAlign w:val="top"/>
          </w:tcPr>
          <w:p w14:paraId="058CB6F7">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生态效</w:t>
            </w:r>
          </w:p>
          <w:p w14:paraId="089E878F">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益指标</w:t>
            </w:r>
          </w:p>
        </w:tc>
        <w:tc>
          <w:tcPr>
            <w:tcW w:w="1249" w:type="dxa"/>
            <w:vAlign w:val="top"/>
          </w:tcPr>
          <w:p w14:paraId="30D2F844">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促进竹林生态发展</w:t>
            </w:r>
          </w:p>
        </w:tc>
        <w:tc>
          <w:tcPr>
            <w:tcW w:w="1328" w:type="dxa"/>
            <w:vAlign w:val="top"/>
          </w:tcPr>
          <w:p w14:paraId="1398F624">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明显</w:t>
            </w:r>
          </w:p>
        </w:tc>
        <w:tc>
          <w:tcPr>
            <w:tcW w:w="2075" w:type="dxa"/>
            <w:vAlign w:val="top"/>
          </w:tcPr>
          <w:p w14:paraId="013BA68B">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明显</w:t>
            </w:r>
          </w:p>
        </w:tc>
        <w:tc>
          <w:tcPr>
            <w:tcW w:w="579" w:type="dxa"/>
            <w:vAlign w:val="top"/>
          </w:tcPr>
          <w:p w14:paraId="019786D1">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750" w:type="dxa"/>
            <w:vAlign w:val="top"/>
          </w:tcPr>
          <w:p w14:paraId="7D486BF9">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133" w:type="dxa"/>
            <w:vAlign w:val="top"/>
          </w:tcPr>
          <w:p w14:paraId="1B2D37E2">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59EDF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86" w:type="dxa"/>
            <w:vMerge w:val="continue"/>
            <w:tcBorders>
              <w:top w:val="nil"/>
              <w:bottom w:val="nil"/>
            </w:tcBorders>
            <w:textDirection w:val="tbRlV"/>
            <w:vAlign w:val="top"/>
          </w:tcPr>
          <w:p w14:paraId="17711D2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vMerge w:val="continue"/>
            <w:tcBorders>
              <w:top w:val="nil"/>
              <w:bottom w:val="nil"/>
            </w:tcBorders>
            <w:vAlign w:val="top"/>
          </w:tcPr>
          <w:p w14:paraId="1ED3C176">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c>
          <w:tcPr>
            <w:tcW w:w="919" w:type="dxa"/>
            <w:tcBorders>
              <w:bottom w:val="nil"/>
            </w:tcBorders>
            <w:vAlign w:val="top"/>
          </w:tcPr>
          <w:p w14:paraId="59606561">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可持续影 响指标</w:t>
            </w:r>
          </w:p>
        </w:tc>
        <w:tc>
          <w:tcPr>
            <w:tcW w:w="1249" w:type="dxa"/>
            <w:vAlign w:val="top"/>
          </w:tcPr>
          <w:p w14:paraId="59F59BDD">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促进竹产业可持续发展</w:t>
            </w:r>
          </w:p>
        </w:tc>
        <w:tc>
          <w:tcPr>
            <w:tcW w:w="1328" w:type="dxa"/>
            <w:vAlign w:val="top"/>
          </w:tcPr>
          <w:p w14:paraId="0A6A7C8C">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可持续</w:t>
            </w:r>
          </w:p>
        </w:tc>
        <w:tc>
          <w:tcPr>
            <w:tcW w:w="2075" w:type="dxa"/>
            <w:vAlign w:val="top"/>
          </w:tcPr>
          <w:p w14:paraId="13844D61">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可持续</w:t>
            </w:r>
          </w:p>
        </w:tc>
        <w:tc>
          <w:tcPr>
            <w:tcW w:w="579" w:type="dxa"/>
            <w:vAlign w:val="top"/>
          </w:tcPr>
          <w:p w14:paraId="473E8D42">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750" w:type="dxa"/>
            <w:vAlign w:val="top"/>
          </w:tcPr>
          <w:p w14:paraId="5032FFAB">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133" w:type="dxa"/>
            <w:vAlign w:val="top"/>
          </w:tcPr>
          <w:p w14:paraId="759D7443">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r w14:paraId="12344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786" w:type="dxa"/>
            <w:vMerge w:val="continue"/>
            <w:tcBorders>
              <w:top w:val="nil"/>
              <w:bottom w:val="nil"/>
            </w:tcBorders>
            <w:textDirection w:val="tbRlV"/>
            <w:vAlign w:val="top"/>
          </w:tcPr>
          <w:p w14:paraId="07C2EF8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367" w:type="dxa"/>
            <w:tcBorders>
              <w:bottom w:val="nil"/>
            </w:tcBorders>
            <w:vAlign w:val="top"/>
          </w:tcPr>
          <w:p w14:paraId="52285988">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满意度指</w:t>
            </w:r>
            <w:r>
              <w:rPr>
                <w:rFonts w:hint="eastAsia" w:ascii="Times New Roman" w:hAnsi="Times New Roman" w:eastAsia="宋体" w:cs="Times New Roman"/>
                <w:snapToGrid/>
                <w:color w:val="000000"/>
                <w:kern w:val="0"/>
                <w:sz w:val="21"/>
                <w:szCs w:val="21"/>
                <w:lang w:eastAsia="zh-CN"/>
              </w:rPr>
              <w:t>标</w:t>
            </w:r>
            <w:r>
              <w:rPr>
                <w:rFonts w:ascii="Times New Roman" w:hAnsi="Times New Roman" w:eastAsia="宋体" w:cs="Times New Roman"/>
                <w:snapToGrid/>
                <w:color w:val="000000"/>
                <w:kern w:val="0"/>
                <w:sz w:val="21"/>
                <w:szCs w:val="21"/>
                <w:lang w:eastAsia="zh-CN"/>
              </w:rPr>
              <w:t>(10分)</w:t>
            </w:r>
          </w:p>
        </w:tc>
        <w:tc>
          <w:tcPr>
            <w:tcW w:w="919" w:type="dxa"/>
            <w:tcBorders>
              <w:bottom w:val="nil"/>
            </w:tcBorders>
            <w:vAlign w:val="top"/>
          </w:tcPr>
          <w:p w14:paraId="330D759F">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ascii="Times New Roman" w:hAnsi="Times New Roman" w:eastAsia="宋体" w:cs="Times New Roman"/>
                <w:snapToGrid/>
                <w:color w:val="000000"/>
                <w:kern w:val="0"/>
                <w:sz w:val="21"/>
                <w:szCs w:val="21"/>
                <w:lang w:eastAsia="zh-CN"/>
              </w:rPr>
              <w:t>服务对象满意度指</w:t>
            </w:r>
            <w:r>
              <w:rPr>
                <w:rFonts w:hint="eastAsia" w:ascii="Times New Roman" w:hAnsi="Times New Roman" w:eastAsia="宋体" w:cs="Times New Roman"/>
                <w:snapToGrid/>
                <w:color w:val="000000"/>
                <w:kern w:val="0"/>
                <w:sz w:val="21"/>
                <w:szCs w:val="21"/>
                <w:lang w:eastAsia="zh-CN"/>
              </w:rPr>
              <w:t>标</w:t>
            </w:r>
          </w:p>
        </w:tc>
        <w:tc>
          <w:tcPr>
            <w:tcW w:w="1249" w:type="dxa"/>
            <w:vAlign w:val="top"/>
          </w:tcPr>
          <w:p w14:paraId="18143F05">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农民、企业等满意度</w:t>
            </w:r>
          </w:p>
        </w:tc>
        <w:tc>
          <w:tcPr>
            <w:tcW w:w="1328" w:type="dxa"/>
            <w:vAlign w:val="top"/>
          </w:tcPr>
          <w:p w14:paraId="791B271A">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≥95%</w:t>
            </w:r>
          </w:p>
        </w:tc>
        <w:tc>
          <w:tcPr>
            <w:tcW w:w="2075" w:type="dxa"/>
            <w:vAlign w:val="top"/>
          </w:tcPr>
          <w:p w14:paraId="565B9351">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93%</w:t>
            </w:r>
          </w:p>
        </w:tc>
        <w:tc>
          <w:tcPr>
            <w:tcW w:w="579" w:type="dxa"/>
            <w:vAlign w:val="top"/>
          </w:tcPr>
          <w:p w14:paraId="0B055222">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151C9A3C">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750" w:type="dxa"/>
            <w:vAlign w:val="top"/>
          </w:tcPr>
          <w:p w14:paraId="4CD3BF69">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p>
          <w:p w14:paraId="7203F10A">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8</w:t>
            </w:r>
          </w:p>
        </w:tc>
        <w:tc>
          <w:tcPr>
            <w:tcW w:w="1133" w:type="dxa"/>
            <w:vAlign w:val="top"/>
          </w:tcPr>
          <w:p w14:paraId="22854537">
            <w:pPr>
              <w:widowControl w:val="0"/>
              <w:kinsoku/>
              <w:autoSpaceDE w:val="0"/>
              <w:autoSpaceDN w:val="0"/>
              <w:adjustRightInd/>
              <w:snapToGrid/>
              <w:spacing w:line="300" w:lineRule="exact"/>
              <w:jc w:val="left"/>
              <w:textAlignment w:val="auto"/>
              <w:rPr>
                <w:rFonts w:ascii="Times New Roman" w:hAnsi="Times New Roman" w:eastAsia="宋体" w:cs="Times New Roman"/>
                <w:snapToGrid/>
                <w:color w:val="000000"/>
                <w:kern w:val="0"/>
                <w:sz w:val="21"/>
                <w:szCs w:val="21"/>
                <w:lang w:eastAsia="zh-CN"/>
              </w:rPr>
            </w:pPr>
            <w:r>
              <w:rPr>
                <w:rFonts w:hint="eastAsia" w:ascii="Times New Roman" w:hAnsi="Times New Roman" w:eastAsia="宋体" w:cs="Times New Roman"/>
                <w:snapToGrid/>
                <w:color w:val="000000"/>
                <w:kern w:val="0"/>
                <w:sz w:val="21"/>
                <w:szCs w:val="21"/>
                <w:lang w:val="en-US" w:eastAsia="zh-CN"/>
              </w:rPr>
              <w:t>反馈沟通欠缺</w:t>
            </w:r>
          </w:p>
        </w:tc>
      </w:tr>
      <w:tr w14:paraId="3ED38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7724" w:type="dxa"/>
            <w:gridSpan w:val="6"/>
            <w:vAlign w:val="top"/>
          </w:tcPr>
          <w:p w14:paraId="184D6114">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r>
              <w:rPr>
                <w:rFonts w:ascii="Times New Roman" w:hAnsi="Times New Roman" w:eastAsia="宋体" w:cs="Times New Roman"/>
                <w:snapToGrid/>
                <w:color w:val="000000"/>
                <w:kern w:val="0"/>
                <w:sz w:val="21"/>
                <w:szCs w:val="21"/>
                <w:lang w:eastAsia="zh-CN"/>
              </w:rPr>
              <w:t>总分</w:t>
            </w:r>
          </w:p>
        </w:tc>
        <w:tc>
          <w:tcPr>
            <w:tcW w:w="579" w:type="dxa"/>
            <w:vAlign w:val="top"/>
          </w:tcPr>
          <w:p w14:paraId="52D81DEB">
            <w:pPr>
              <w:widowControl w:val="0"/>
              <w:kinsoku/>
              <w:autoSpaceDE w:val="0"/>
              <w:autoSpaceDN w:val="0"/>
              <w:adjustRightInd/>
              <w:snapToGrid/>
              <w:spacing w:line="300" w:lineRule="exac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750" w:type="dxa"/>
            <w:vAlign w:val="top"/>
          </w:tcPr>
          <w:p w14:paraId="492B336B">
            <w:pPr>
              <w:widowControl w:val="0"/>
              <w:kinsoku/>
              <w:autoSpaceDE w:val="0"/>
              <w:autoSpaceDN w:val="0"/>
              <w:adjustRightInd/>
              <w:snapToGrid/>
              <w:spacing w:line="300" w:lineRule="exac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98</w:t>
            </w:r>
          </w:p>
        </w:tc>
        <w:tc>
          <w:tcPr>
            <w:tcW w:w="1133" w:type="dxa"/>
            <w:vAlign w:val="top"/>
          </w:tcPr>
          <w:p w14:paraId="0C836667">
            <w:pPr>
              <w:widowControl w:val="0"/>
              <w:kinsoku/>
              <w:autoSpaceDE w:val="0"/>
              <w:autoSpaceDN w:val="0"/>
              <w:adjustRightInd/>
              <w:snapToGrid/>
              <w:spacing w:line="300" w:lineRule="exact"/>
              <w:jc w:val="center"/>
              <w:textAlignment w:val="auto"/>
              <w:rPr>
                <w:rFonts w:ascii="Times New Roman" w:hAnsi="Times New Roman" w:eastAsia="宋体" w:cs="Times New Roman"/>
                <w:snapToGrid/>
                <w:color w:val="000000"/>
                <w:kern w:val="0"/>
                <w:sz w:val="21"/>
                <w:szCs w:val="21"/>
                <w:lang w:eastAsia="zh-CN"/>
              </w:rPr>
            </w:pPr>
          </w:p>
        </w:tc>
      </w:tr>
    </w:tbl>
    <w:p w14:paraId="7E10B95D">
      <w:pPr>
        <w:widowControl/>
        <w:kinsoku w:val="0"/>
        <w:autoSpaceDE w:val="0"/>
        <w:autoSpaceDN w:val="0"/>
        <w:adjustRightInd w:val="0"/>
        <w:snapToGrid w:val="0"/>
        <w:spacing w:line="70" w:lineRule="exact"/>
        <w:jc w:val="left"/>
        <w:textAlignment w:val="baseline"/>
        <w:rPr>
          <w:rFonts w:ascii="Arial" w:hAnsi="Arial" w:eastAsia="Arial" w:cs="Arial"/>
          <w:snapToGrid w:val="0"/>
          <w:color w:val="000000"/>
          <w:kern w:val="0"/>
          <w:sz w:val="21"/>
          <w:szCs w:val="21"/>
          <w:lang w:eastAsia="en-US"/>
        </w:rPr>
      </w:pPr>
    </w:p>
    <w:p w14:paraId="692EC392">
      <w:pPr>
        <w:widowControl w:val="0"/>
        <w:kinsoku/>
        <w:autoSpaceDE w:val="0"/>
        <w:autoSpaceDN w:val="0"/>
        <w:adjustRightInd/>
        <w:snapToGrid/>
        <w:spacing w:before="20" w:line="340" w:lineRule="atLeast"/>
        <w:jc w:val="both"/>
        <w:textAlignment w:val="auto"/>
        <w:rPr>
          <w:rFonts w:ascii="Times New Roman" w:hAnsi="宋体" w:eastAsia="宋体" w:cs="Times New Roman"/>
          <w:snapToGrid/>
          <w:color w:val="000000"/>
          <w:kern w:val="0"/>
          <w:sz w:val="21"/>
          <w:szCs w:val="21"/>
          <w:lang w:eastAsia="zh-CN"/>
        </w:rPr>
      </w:pPr>
      <w:r>
        <w:rPr>
          <w:rFonts w:ascii="Times New Roman" w:hAnsi="宋体" w:eastAsia="宋体" w:cs="Times New Roman"/>
          <w:snapToGrid/>
          <w:color w:val="000000"/>
          <w:kern w:val="0"/>
          <w:sz w:val="21"/>
          <w:szCs w:val="21"/>
          <w:lang w:eastAsia="zh-CN"/>
        </w:rPr>
        <w:t xml:space="preserve">填表人：   </w:t>
      </w:r>
      <w:r>
        <w:rPr>
          <w:rFonts w:hint="eastAsia" w:ascii="Times New Roman" w:hAnsi="宋体" w:eastAsia="宋体" w:cs="Times New Roman"/>
          <w:snapToGrid/>
          <w:color w:val="000000"/>
          <w:kern w:val="0"/>
          <w:sz w:val="21"/>
          <w:szCs w:val="21"/>
          <w:lang w:eastAsia="zh-CN"/>
        </w:rPr>
        <w:t>艾昱宏</w:t>
      </w:r>
      <w:r>
        <w:rPr>
          <w:rFonts w:ascii="Times New Roman" w:hAnsi="宋体" w:eastAsia="宋体" w:cs="Times New Roman"/>
          <w:snapToGrid/>
          <w:color w:val="000000"/>
          <w:kern w:val="0"/>
          <w:sz w:val="21"/>
          <w:szCs w:val="21"/>
          <w:lang w:eastAsia="zh-CN"/>
        </w:rPr>
        <w:t xml:space="preserve">   </w:t>
      </w:r>
      <w:r>
        <w:rPr>
          <w:rFonts w:hint="eastAsia" w:ascii="Times New Roman" w:hAnsi="宋体" w:eastAsia="宋体" w:cs="Times New Roman"/>
          <w:snapToGrid/>
          <w:color w:val="000000"/>
          <w:kern w:val="0"/>
          <w:sz w:val="21"/>
          <w:szCs w:val="21"/>
          <w:lang w:val="en-US" w:eastAsia="zh-CN"/>
        </w:rPr>
        <w:t xml:space="preserve">                               </w:t>
      </w:r>
      <w:r>
        <w:rPr>
          <w:rFonts w:ascii="Times New Roman" w:hAnsi="宋体" w:eastAsia="宋体" w:cs="Times New Roman"/>
          <w:snapToGrid/>
          <w:color w:val="000000"/>
          <w:kern w:val="0"/>
          <w:sz w:val="21"/>
          <w:szCs w:val="21"/>
          <w:lang w:eastAsia="zh-CN"/>
        </w:rPr>
        <w:t xml:space="preserve">    单位负责人签字：</w:t>
      </w:r>
      <w:r>
        <w:rPr>
          <w:rFonts w:hint="eastAsia" w:ascii="Times New Roman" w:hAnsi="宋体" w:eastAsia="宋体" w:cs="Times New Roman"/>
          <w:snapToGrid/>
          <w:color w:val="000000"/>
          <w:kern w:val="0"/>
          <w:sz w:val="21"/>
          <w:szCs w:val="21"/>
          <w:lang w:eastAsia="zh-CN"/>
        </w:rPr>
        <w:t>黄海龙</w:t>
      </w:r>
    </w:p>
    <w:p w14:paraId="6AA27FA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 w:val="21"/>
          <w:szCs w:val="21"/>
          <w:lang w:eastAsia="en-US"/>
        </w:rPr>
        <w:br w:type="page"/>
      </w:r>
    </w:p>
    <w:p w14:paraId="15731F7D">
      <w:pPr>
        <w:spacing w:line="594" w:lineRule="exact"/>
        <w:rPr>
          <w:rFonts w:hint="eastAsia" w:ascii="Times New Roman" w:hAnsi="Times New Roman" w:eastAsia="黑体" w:cs="Times New Roman"/>
          <w:bCs/>
          <w:kern w:val="0"/>
          <w:szCs w:val="32"/>
          <w:lang w:val="en-US" w:eastAsia="zh-CN"/>
        </w:rPr>
      </w:pPr>
      <w:r>
        <w:rPr>
          <w:rFonts w:hint="default" w:ascii="Times New Roman" w:hAnsi="Times New Roman" w:eastAsia="黑体" w:cs="Times New Roman"/>
          <w:bCs/>
          <w:kern w:val="0"/>
          <w:szCs w:val="32"/>
        </w:rPr>
        <w:t>附件</w:t>
      </w:r>
      <w:r>
        <w:rPr>
          <w:rFonts w:hint="eastAsia" w:ascii="Times New Roman" w:hAnsi="Times New Roman" w:eastAsia="黑体" w:cs="Times New Roman"/>
          <w:bCs/>
          <w:kern w:val="0"/>
          <w:szCs w:val="32"/>
          <w:lang w:val="en-US" w:eastAsia="zh-CN"/>
        </w:rPr>
        <w:t>4</w:t>
      </w:r>
    </w:p>
    <w:p w14:paraId="4A8FEDAB">
      <w:pPr>
        <w:spacing w:line="594" w:lineRule="exact"/>
        <w:jc w:val="center"/>
        <w:rPr>
          <w:rFonts w:hint="default" w:ascii="Times New Roman" w:hAnsi="Times New Roman" w:eastAsia="方正小标宋简体" w:cs="Times New Roman"/>
          <w:bCs/>
          <w:kern w:val="0"/>
          <w:sz w:val="44"/>
          <w:szCs w:val="44"/>
          <w:highlight w:val="none"/>
        </w:rPr>
      </w:pPr>
      <w:r>
        <w:rPr>
          <w:rFonts w:hint="default" w:ascii="Times New Roman" w:hAnsi="Times New Roman" w:eastAsia="方正小标宋简体" w:cs="Times New Roman"/>
          <w:bCs/>
          <w:kern w:val="0"/>
          <w:sz w:val="44"/>
          <w:szCs w:val="44"/>
          <w:highlight w:val="none"/>
        </w:rPr>
        <w:t>202</w:t>
      </w:r>
      <w:r>
        <w:rPr>
          <w:rFonts w:hint="eastAsia" w:ascii="Times New Roman" w:hAnsi="Times New Roman" w:eastAsia="方正小标宋简体" w:cs="Times New Roman"/>
          <w:bCs/>
          <w:kern w:val="0"/>
          <w:sz w:val="44"/>
          <w:szCs w:val="44"/>
          <w:highlight w:val="none"/>
          <w:lang w:val="en-US" w:eastAsia="zh-CN"/>
        </w:rPr>
        <w:t>4</w:t>
      </w:r>
      <w:r>
        <w:rPr>
          <w:rFonts w:hint="default" w:ascii="Times New Roman" w:hAnsi="Times New Roman" w:eastAsia="方正小标宋简体" w:cs="Times New Roman"/>
          <w:bCs/>
          <w:kern w:val="0"/>
          <w:sz w:val="44"/>
          <w:szCs w:val="44"/>
          <w:highlight w:val="none"/>
        </w:rPr>
        <w:t>年度项目支出绩效报告</w:t>
      </w:r>
    </w:p>
    <w:p w14:paraId="6CECAE68">
      <w:pPr>
        <w:spacing w:line="594" w:lineRule="exact"/>
        <w:jc w:val="center"/>
        <w:rPr>
          <w:rFonts w:hint="default" w:ascii="Times New Roman" w:hAnsi="Times New Roman" w:eastAsia="楷体_GB2312" w:cs="Times New Roman"/>
          <w:kern w:val="0"/>
          <w:szCs w:val="32"/>
        </w:rPr>
      </w:pPr>
    </w:p>
    <w:p w14:paraId="22EE0EDA">
      <w:pPr>
        <w:spacing w:line="594" w:lineRule="exact"/>
        <w:rPr>
          <w:rFonts w:hint="default" w:ascii="Times New Roman" w:hAnsi="Times New Roman" w:cs="Times New Roman"/>
          <w:b/>
          <w:bCs/>
          <w:kern w:val="0"/>
          <w:szCs w:val="32"/>
        </w:rPr>
      </w:pPr>
    </w:p>
    <w:p w14:paraId="5D55CC23">
      <w:pPr>
        <w:spacing w:line="594" w:lineRule="exact"/>
        <w:ind w:firstLine="640" w:firstLineChars="200"/>
        <w:rPr>
          <w:rFonts w:hint="default" w:ascii="Times New Roman" w:hAnsi="Times New Roman" w:eastAsia="黑体" w:cs="Times New Roman"/>
          <w:kern w:val="0"/>
          <w:szCs w:val="32"/>
        </w:rPr>
      </w:pPr>
      <w:r>
        <w:rPr>
          <w:rFonts w:hint="default" w:ascii="Times New Roman" w:hAnsi="Times New Roman" w:eastAsia="黑体" w:cs="Times New Roman"/>
          <w:bCs/>
          <w:kern w:val="0"/>
          <w:szCs w:val="32"/>
        </w:rPr>
        <w:t>一、项目概况</w:t>
      </w:r>
    </w:p>
    <w:p w14:paraId="449F12C8">
      <w:pPr>
        <w:spacing w:line="594" w:lineRule="exact"/>
        <w:ind w:firstLine="643" w:firstLineChars="200"/>
        <w:rPr>
          <w:rFonts w:hint="default" w:ascii="Times New Roman" w:hAnsi="Times New Roman" w:cs="Times New Roman"/>
          <w:b/>
          <w:bCs/>
          <w:kern w:val="0"/>
          <w:szCs w:val="32"/>
        </w:rPr>
      </w:pPr>
      <w:r>
        <w:rPr>
          <w:rFonts w:hint="default" w:ascii="Times New Roman" w:hAnsi="Times New Roman" w:cs="Times New Roman"/>
          <w:b/>
          <w:bCs/>
          <w:kern w:val="0"/>
          <w:szCs w:val="32"/>
        </w:rPr>
        <w:t>（一）项目单位基本情况</w:t>
      </w:r>
    </w:p>
    <w:p w14:paraId="6C8D57F2">
      <w:pPr>
        <w:spacing w:line="594" w:lineRule="exact"/>
        <w:ind w:firstLine="640" w:firstLineChars="200"/>
        <w:rPr>
          <w:rFonts w:hint="default" w:ascii="Times New Roman" w:hAnsi="Times New Roman" w:cs="Times New Roman"/>
        </w:rPr>
      </w:pPr>
      <w:r>
        <w:rPr>
          <w:rFonts w:hint="default" w:ascii="Times New Roman" w:hAnsi="Times New Roman" w:cs="Times New Roman"/>
        </w:rPr>
        <w:t>桃江县竹产业发展服务中心位于桃江县桃花江镇谷山路351号，为正科级公益一类事业单位。内设综合</w:t>
      </w:r>
      <w:r>
        <w:rPr>
          <w:rFonts w:hint="default" w:ascii="Times New Roman" w:hAnsi="Times New Roman" w:cs="Times New Roman"/>
          <w:lang w:eastAsia="zh-CN"/>
        </w:rPr>
        <w:t>股（</w:t>
      </w:r>
      <w:r>
        <w:rPr>
          <w:rFonts w:hint="default" w:ascii="Times New Roman" w:hAnsi="Times New Roman" w:cs="Times New Roman"/>
        </w:rPr>
        <w:t>办公室</w:t>
      </w:r>
      <w:r>
        <w:rPr>
          <w:rFonts w:hint="default" w:ascii="Times New Roman" w:hAnsi="Times New Roman" w:cs="Times New Roman"/>
          <w:lang w:eastAsia="zh-CN"/>
        </w:rPr>
        <w:t>）</w:t>
      </w:r>
      <w:r>
        <w:rPr>
          <w:rFonts w:hint="default" w:ascii="Times New Roman" w:hAnsi="Times New Roman" w:cs="Times New Roman"/>
        </w:rPr>
        <w:t>、发展规划股、科技服务股、项目建设股、宣传推广股五个股室。现有在职干职工</w:t>
      </w:r>
      <w:r>
        <w:rPr>
          <w:rFonts w:hint="eastAsia" w:ascii="Times New Roman" w:hAnsi="Times New Roman" w:cs="Times New Roman"/>
          <w:lang w:val="en-US" w:eastAsia="zh-CN"/>
        </w:rPr>
        <w:t>1</w:t>
      </w:r>
      <w:r>
        <w:rPr>
          <w:rFonts w:hint="eastAsia" w:cs="Times New Roman"/>
          <w:lang w:val="en-US" w:eastAsia="zh-CN"/>
        </w:rPr>
        <w:t>8</w:t>
      </w:r>
      <w:r>
        <w:rPr>
          <w:rFonts w:hint="default" w:ascii="Times New Roman" w:hAnsi="Times New Roman" w:cs="Times New Roman"/>
        </w:rPr>
        <w:t>人</w:t>
      </w:r>
      <w:r>
        <w:rPr>
          <w:rFonts w:hint="default" w:ascii="Times New Roman" w:hAnsi="Times New Roman" w:cs="Times New Roman"/>
          <w:lang w:eastAsia="zh-CN"/>
        </w:rPr>
        <w:t>，</w:t>
      </w:r>
      <w:r>
        <w:rPr>
          <w:rFonts w:hint="default" w:ascii="Times New Roman" w:hAnsi="Times New Roman" w:cs="Times New Roman"/>
        </w:rPr>
        <w:t>编办安排财政全额拨款人数25人。</w:t>
      </w:r>
    </w:p>
    <w:p w14:paraId="02D9D5A8">
      <w:pPr>
        <w:spacing w:line="594" w:lineRule="exact"/>
        <w:ind w:firstLine="643" w:firstLineChars="200"/>
        <w:rPr>
          <w:rFonts w:hint="default" w:ascii="Times New Roman" w:hAnsi="Times New Roman" w:cs="Times New Roman"/>
          <w:b/>
          <w:bCs/>
        </w:rPr>
      </w:pPr>
      <w:r>
        <w:rPr>
          <w:rFonts w:hint="default" w:ascii="Times New Roman" w:hAnsi="Times New Roman" w:cs="Times New Roman"/>
          <w:b/>
          <w:bCs/>
        </w:rPr>
        <w:t>（二）项目基本</w:t>
      </w:r>
      <w:r>
        <w:rPr>
          <w:rFonts w:hint="default" w:ascii="Times New Roman" w:hAnsi="Times New Roman" w:eastAsia="仿宋_GB2312" w:cs="Times New Roman"/>
          <w:b/>
          <w:bCs/>
          <w:kern w:val="0"/>
          <w:sz w:val="32"/>
          <w:szCs w:val="32"/>
          <w:lang w:val="en-US" w:eastAsia="zh-CN" w:bidi="ar-SA"/>
        </w:rPr>
        <w:t>情</w:t>
      </w:r>
      <w:r>
        <w:rPr>
          <w:rFonts w:hint="default" w:ascii="Times New Roman" w:hAnsi="Times New Roman" w:cs="Times New Roman"/>
          <w:b/>
          <w:bCs/>
        </w:rPr>
        <w:t>况简介</w:t>
      </w:r>
    </w:p>
    <w:p w14:paraId="1FFE4F2A">
      <w:pPr>
        <w:spacing w:line="594" w:lineRule="exact"/>
        <w:ind w:firstLine="640" w:firstLineChars="200"/>
        <w:rPr>
          <w:rFonts w:hint="default" w:ascii="Times New Roman" w:hAnsi="Times New Roman" w:cs="Times New Roman"/>
        </w:rPr>
      </w:pPr>
      <w:r>
        <w:rPr>
          <w:rFonts w:hint="default" w:ascii="Times New Roman" w:hAnsi="Times New Roman" w:cs="Times New Roman"/>
        </w:rPr>
        <w:t>202</w:t>
      </w:r>
      <w:r>
        <w:rPr>
          <w:rFonts w:hint="eastAsia" w:ascii="Times New Roman" w:hAnsi="Times New Roman" w:cs="Times New Roman"/>
          <w:lang w:val="en-US" w:eastAsia="zh-CN"/>
        </w:rPr>
        <w:t>4</w:t>
      </w:r>
      <w:r>
        <w:rPr>
          <w:rFonts w:hint="default" w:ascii="Times New Roman" w:hAnsi="Times New Roman" w:cs="Times New Roman"/>
        </w:rPr>
        <w:t>年度本中心</w:t>
      </w:r>
      <w:r>
        <w:rPr>
          <w:rFonts w:hint="default" w:ascii="Times New Roman" w:hAnsi="Times New Roman" w:eastAsia="仿宋_GB2312" w:cs="Times New Roman"/>
          <w:kern w:val="0"/>
          <w:sz w:val="32"/>
          <w:szCs w:val="32"/>
          <w:lang w:val="en-US" w:eastAsia="zh-CN" w:bidi="ar-SA"/>
        </w:rPr>
        <w:t>收</w:t>
      </w:r>
      <w:r>
        <w:rPr>
          <w:rFonts w:hint="default" w:ascii="Times New Roman" w:hAnsi="Times New Roman" w:cs="Times New Roman"/>
        </w:rPr>
        <w:t>支决算金额为</w:t>
      </w:r>
      <w:r>
        <w:rPr>
          <w:rFonts w:hint="eastAsia" w:ascii="Times New Roman" w:hAnsi="Times New Roman" w:cs="Times New Roman"/>
          <w:lang w:val="en-US" w:eastAsia="zh-CN"/>
        </w:rPr>
        <w:t>1591.69</w:t>
      </w:r>
      <w:r>
        <w:rPr>
          <w:rFonts w:hint="default" w:ascii="Times New Roman" w:hAnsi="Times New Roman" w:cs="Times New Roman"/>
        </w:rPr>
        <w:t>万元，其中基本支出</w:t>
      </w:r>
      <w:r>
        <w:rPr>
          <w:rFonts w:hint="eastAsia" w:ascii="Times New Roman" w:hAnsi="Times New Roman" w:cs="Times New Roman"/>
          <w:lang w:val="en-US" w:eastAsia="zh-CN"/>
        </w:rPr>
        <w:t>329.91</w:t>
      </w:r>
      <w:r>
        <w:rPr>
          <w:rFonts w:hint="default" w:ascii="Times New Roman" w:hAnsi="Times New Roman" w:cs="Times New Roman"/>
        </w:rPr>
        <w:t>万元；项目支出</w:t>
      </w:r>
      <w:r>
        <w:rPr>
          <w:rFonts w:hint="eastAsia" w:ascii="Times New Roman" w:hAnsi="Times New Roman" w:cs="Times New Roman"/>
          <w:lang w:val="en-US" w:eastAsia="zh-CN"/>
        </w:rPr>
        <w:t>1261.78</w:t>
      </w:r>
      <w:r>
        <w:rPr>
          <w:rFonts w:hint="default" w:ascii="Times New Roman" w:hAnsi="Times New Roman" w:cs="Times New Roman"/>
        </w:rPr>
        <w:t xml:space="preserve"> 万元。</w:t>
      </w:r>
    </w:p>
    <w:p w14:paraId="7527A0D8">
      <w:pPr>
        <w:spacing w:line="594" w:lineRule="exact"/>
        <w:ind w:firstLine="643" w:firstLineChars="200"/>
        <w:rPr>
          <w:rFonts w:hint="default" w:ascii="Times New Roman" w:hAnsi="Times New Roman" w:eastAsia="仿宋_GB2312" w:cs="Times New Roman"/>
          <w:b/>
          <w:bCs/>
          <w:lang w:eastAsia="zh-CN"/>
        </w:rPr>
      </w:pPr>
      <w:r>
        <w:rPr>
          <w:rFonts w:hint="default" w:ascii="Times New Roman" w:hAnsi="Times New Roman" w:cs="Times New Roman"/>
          <w:b/>
          <w:bCs/>
        </w:rPr>
        <w:t>（1）竹旅文体康产业融合发展奖补资金</w:t>
      </w:r>
      <w:r>
        <w:rPr>
          <w:rFonts w:hint="default" w:ascii="Times New Roman" w:hAnsi="Times New Roman" w:cs="Times New Roman"/>
          <w:b/>
          <w:bCs/>
          <w:lang w:eastAsia="zh-CN"/>
        </w:rPr>
        <w:t>项目</w:t>
      </w:r>
      <w:r>
        <w:rPr>
          <w:rFonts w:hint="eastAsia" w:ascii="Times New Roman" w:hAnsi="Times New Roman" w:cs="Times New Roman"/>
          <w:b/>
          <w:bCs/>
          <w:lang w:eastAsia="zh-CN"/>
        </w:rPr>
        <w:t>及</w:t>
      </w:r>
      <w:r>
        <w:rPr>
          <w:rFonts w:hint="default" w:ascii="Times New Roman" w:hAnsi="Times New Roman" w:cs="Times New Roman"/>
          <w:b/>
          <w:bCs/>
        </w:rPr>
        <w:t>竹产业高质量发展县</w:t>
      </w:r>
      <w:r>
        <w:rPr>
          <w:rFonts w:hint="eastAsia" w:ascii="Times New Roman" w:hAnsi="Times New Roman" w:cs="Times New Roman"/>
          <w:b/>
          <w:bCs/>
          <w:lang w:eastAsia="zh-CN"/>
        </w:rPr>
        <w:t>专项资金项目</w:t>
      </w:r>
    </w:p>
    <w:p w14:paraId="18FCCC0E">
      <w:pPr>
        <w:spacing w:line="594" w:lineRule="exact"/>
        <w:ind w:firstLine="640" w:firstLineChars="200"/>
        <w:rPr>
          <w:rFonts w:hint="eastAsia" w:ascii="Times New Roman" w:hAnsi="Times New Roman" w:eastAsia="仿宋_GB2312" w:cs="Times New Roman"/>
          <w:b/>
          <w:bCs/>
          <w:lang w:eastAsia="zh-CN"/>
        </w:rPr>
      </w:pPr>
      <w:r>
        <w:rPr>
          <w:rFonts w:hint="default" w:ascii="Times New Roman" w:hAnsi="Times New Roman" w:cs="Times New Roman"/>
          <w:kern w:val="0"/>
          <w:szCs w:val="32"/>
        </w:rPr>
        <w:t>根据《2023年度竹旅文体康产业融合发展工作要点》(桃竹旅办发〔2023〕11号)和《桃江县促进竹旅文体康产业融合发展的奖励办法》(桃政发〔2023〕12号)文件精神，每年县财政预算安排资金1000万元以上、整合归集项目资金5000万元以上，用于推动竹旅文体康产业融合发展，主要用于支持笋用林基地建设、产品开发、提升竹材产业、促进产业融合、强化科技创新、加强宣传推介和产品营销等方面。202</w:t>
      </w:r>
      <w:r>
        <w:rPr>
          <w:rFonts w:hint="eastAsia" w:ascii="Times New Roman" w:hAnsi="Times New Roman" w:cs="Times New Roman"/>
          <w:kern w:val="0"/>
          <w:szCs w:val="32"/>
          <w:lang w:val="en-US" w:eastAsia="zh-CN"/>
        </w:rPr>
        <w:t>4</w:t>
      </w:r>
      <w:r>
        <w:rPr>
          <w:rFonts w:hint="default" w:ascii="Times New Roman" w:hAnsi="Times New Roman" w:cs="Times New Roman"/>
          <w:kern w:val="0"/>
          <w:szCs w:val="32"/>
        </w:rPr>
        <w:t>年</w:t>
      </w:r>
      <w:r>
        <w:rPr>
          <w:rFonts w:hint="default" w:ascii="Times New Roman" w:hAnsi="Times New Roman" w:cs="Times New Roman"/>
          <w:kern w:val="0"/>
          <w:szCs w:val="32"/>
          <w:lang w:eastAsia="zh-CN"/>
        </w:rPr>
        <w:t>由我单位发放奖补资金</w:t>
      </w:r>
      <w:r>
        <w:rPr>
          <w:rFonts w:hint="eastAsia" w:ascii="Times New Roman" w:hAnsi="Times New Roman" w:cs="Times New Roman"/>
          <w:kern w:val="0"/>
          <w:szCs w:val="32"/>
          <w:lang w:val="en-US" w:eastAsia="zh-CN"/>
        </w:rPr>
        <w:t>957.91</w:t>
      </w:r>
      <w:r>
        <w:rPr>
          <w:rFonts w:hint="default" w:ascii="Times New Roman" w:hAnsi="Times New Roman" w:cs="Times New Roman"/>
          <w:kern w:val="0"/>
          <w:szCs w:val="32"/>
        </w:rPr>
        <w:t>万元。</w:t>
      </w:r>
    </w:p>
    <w:p w14:paraId="657AF7CC">
      <w:pPr>
        <w:spacing w:line="594" w:lineRule="exact"/>
        <w:ind w:firstLine="640" w:firstLineChars="200"/>
        <w:rPr>
          <w:rFonts w:hint="eastAsia" w:ascii="Times New Roman" w:hAnsi="Times New Roman" w:cs="Times New Roman"/>
          <w:kern w:val="0"/>
          <w:szCs w:val="32"/>
          <w:lang w:val="en-US" w:eastAsia="zh-CN"/>
        </w:rPr>
      </w:pPr>
      <w:r>
        <w:rPr>
          <w:rFonts w:hint="default" w:ascii="Times New Roman" w:hAnsi="Times New Roman" w:cs="Times New Roman"/>
          <w:sz w:val="32"/>
          <w:szCs w:val="32"/>
          <w:lang w:eastAsia="zh-CN"/>
        </w:rPr>
        <w:t>根据《2023年度竹旅文体康产业融合发展财政奖补资金安排方案》县人民政府同意由县财政拨付预算专项资金1000万元，超出预算的奖补资金从竹产业高质量发展项目资金中列支</w:t>
      </w:r>
      <w:r>
        <w:rPr>
          <w:rFonts w:hint="eastAsia" w:ascii="Times New Roman" w:hAnsi="Times New Roman" w:cs="Times New Roman"/>
          <w:sz w:val="32"/>
          <w:szCs w:val="32"/>
          <w:lang w:eastAsia="zh-CN"/>
        </w:rPr>
        <w:t>，</w:t>
      </w:r>
      <w:r>
        <w:rPr>
          <w:rFonts w:hint="eastAsia" w:ascii="Times New Roman" w:hAnsi="Times New Roman" w:cs="Times New Roman"/>
          <w:kern w:val="0"/>
          <w:szCs w:val="32"/>
          <w:lang w:val="en-US" w:eastAsia="zh-CN"/>
        </w:rPr>
        <w:t>2024年由我单位发放奖补资金181.45万元。</w:t>
      </w:r>
    </w:p>
    <w:p w14:paraId="363D346A">
      <w:pPr>
        <w:numPr>
          <w:ilvl w:val="0"/>
          <w:numId w:val="7"/>
        </w:numPr>
        <w:spacing w:line="594" w:lineRule="exact"/>
        <w:ind w:firstLine="643" w:firstLineChars="200"/>
        <w:rPr>
          <w:rFonts w:hint="eastAsia" w:ascii="Times New Roman" w:hAnsi="Times New Roman" w:cs="Times New Roman"/>
          <w:b/>
          <w:bCs/>
          <w:lang w:val="en-US" w:eastAsia="zh-CN"/>
        </w:rPr>
      </w:pPr>
      <w:r>
        <w:rPr>
          <w:rFonts w:hint="eastAsia" w:ascii="Times New Roman" w:hAnsi="Times New Roman" w:cs="Times New Roman"/>
          <w:b/>
          <w:bCs/>
          <w:lang w:val="en-US" w:eastAsia="zh-CN"/>
        </w:rPr>
        <w:t>2024年“以竹代塑”产业高质量发展推进专项经费项目</w:t>
      </w:r>
    </w:p>
    <w:p w14:paraId="5045250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b/>
          <w:bCs/>
          <w:lang w:val="en-US" w:eastAsia="zh-CN"/>
        </w:rPr>
      </w:pPr>
      <w:r>
        <w:rPr>
          <w:rFonts w:hint="eastAsia" w:ascii="Times New Roman" w:hAnsi="Times New Roman" w:cs="Times New Roman"/>
          <w:sz w:val="32"/>
          <w:szCs w:val="32"/>
          <w:lang w:val="en-US" w:eastAsia="zh-CN"/>
        </w:rPr>
        <w:t>根据习近平总书记向国际竹藤组织成立二十五周年志庆暨第二届世界竹藤大会致贺信中关于“以竹代塑”的有关精神，落实《加快“以竹代塑”发展三年行动计划》（发改环资〔2023〕1375号）相关要求，大力推动“以竹代塑”发展，由中国循环经济协会主办、桃江县人民政府承办了 2024“以竹代塑”产业高质量发展推进会，成立了“以竹代塑”产业高质量发展推进会（桃江）执行委员会，印发了《“以竹代塑”产业高质量发展推进会 （桃江）筹备工作方案》预算大会经费48.74万元，实际产生费用47.77万元，已全部拨付到位。</w:t>
      </w:r>
    </w:p>
    <w:p w14:paraId="6341AFD8">
      <w:pPr>
        <w:spacing w:line="594" w:lineRule="exact"/>
        <w:ind w:firstLine="643" w:firstLineChars="200"/>
        <w:rPr>
          <w:rFonts w:hint="default" w:ascii="Times New Roman" w:hAnsi="Times New Roman" w:cs="Times New Roman"/>
          <w:b/>
          <w:bCs/>
        </w:rPr>
      </w:pPr>
      <w:r>
        <w:rPr>
          <w:rFonts w:hint="default" w:ascii="Times New Roman" w:hAnsi="Times New Roman" w:cs="Times New Roman"/>
          <w:b/>
          <w:bCs/>
        </w:rPr>
        <w:t>（三）项目绩效目标设立情况</w:t>
      </w:r>
    </w:p>
    <w:p w14:paraId="6812B167">
      <w:pPr>
        <w:spacing w:line="594" w:lineRule="exact"/>
        <w:ind w:firstLine="643" w:firstLineChars="200"/>
        <w:rPr>
          <w:rFonts w:hint="default" w:ascii="Times New Roman" w:hAnsi="Times New Roman" w:cs="Times New Roman"/>
        </w:rPr>
      </w:pPr>
      <w:r>
        <w:rPr>
          <w:rFonts w:hint="default" w:ascii="Times New Roman" w:hAnsi="Times New Roman" w:cs="Times New Roman"/>
          <w:b/>
          <w:bCs/>
        </w:rPr>
        <w:t>项目名称：</w:t>
      </w:r>
      <w:r>
        <w:rPr>
          <w:rFonts w:hint="default" w:ascii="Times New Roman" w:hAnsi="Times New Roman" w:cs="Times New Roman"/>
        </w:rPr>
        <w:t>竹旅文体康产业融合发展奖补资金项目及竹产业高质量发展县专项资金项目</w:t>
      </w:r>
    </w:p>
    <w:p w14:paraId="2697F22E">
      <w:pPr>
        <w:spacing w:line="594" w:lineRule="exact"/>
        <w:ind w:firstLine="643" w:firstLineChars="200"/>
        <w:rPr>
          <w:rFonts w:hint="default" w:ascii="Times New Roman" w:hAnsi="Times New Roman" w:cs="Times New Roman"/>
        </w:rPr>
      </w:pPr>
      <w:r>
        <w:rPr>
          <w:rFonts w:hint="default" w:ascii="Times New Roman" w:hAnsi="Times New Roman" w:cs="Times New Roman"/>
          <w:b/>
          <w:bCs/>
        </w:rPr>
        <w:t>时间：</w:t>
      </w:r>
      <w:r>
        <w:rPr>
          <w:rFonts w:hint="default" w:ascii="Times New Roman" w:hAnsi="Times New Roman" w:cs="Times New Roman"/>
        </w:rPr>
        <w:t>202</w:t>
      </w:r>
      <w:r>
        <w:rPr>
          <w:rFonts w:hint="eastAsia" w:ascii="Times New Roman" w:hAnsi="Times New Roman" w:cs="Times New Roman"/>
          <w:lang w:val="en-US" w:eastAsia="zh-CN"/>
        </w:rPr>
        <w:t>4</w:t>
      </w:r>
      <w:r>
        <w:rPr>
          <w:rFonts w:hint="default" w:ascii="Times New Roman" w:hAnsi="Times New Roman" w:cs="Times New Roman"/>
        </w:rPr>
        <w:t>年</w:t>
      </w:r>
    </w:p>
    <w:p w14:paraId="5946AC6F">
      <w:pPr>
        <w:spacing w:line="594" w:lineRule="exact"/>
        <w:ind w:firstLine="643" w:firstLineChars="200"/>
        <w:rPr>
          <w:rFonts w:hint="default" w:ascii="Times New Roman" w:hAnsi="Times New Roman" w:cs="Times New Roman"/>
        </w:rPr>
      </w:pPr>
      <w:r>
        <w:rPr>
          <w:rFonts w:hint="default" w:ascii="Times New Roman" w:hAnsi="Times New Roman" w:cs="Times New Roman"/>
          <w:b/>
          <w:bCs/>
        </w:rPr>
        <w:t>建设</w:t>
      </w:r>
      <w:r>
        <w:rPr>
          <w:rFonts w:hint="default" w:ascii="Times New Roman" w:hAnsi="Times New Roman" w:cs="Times New Roman"/>
          <w:b/>
          <w:bCs/>
          <w:kern w:val="0"/>
          <w:szCs w:val="32"/>
        </w:rPr>
        <w:t>地点</w:t>
      </w:r>
      <w:r>
        <w:rPr>
          <w:rFonts w:hint="default" w:ascii="Times New Roman" w:hAnsi="Times New Roman" w:cs="Times New Roman"/>
          <w:b/>
          <w:bCs/>
        </w:rPr>
        <w:t>：</w:t>
      </w:r>
      <w:r>
        <w:rPr>
          <w:rFonts w:hint="default" w:ascii="Times New Roman" w:hAnsi="Times New Roman" w:cs="Times New Roman"/>
        </w:rPr>
        <w:t>全</w:t>
      </w:r>
      <w:r>
        <w:rPr>
          <w:rFonts w:hint="default" w:ascii="Times New Roman" w:hAnsi="Times New Roman" w:eastAsia="仿宋_GB2312" w:cs="Times New Roman"/>
          <w:kern w:val="0"/>
          <w:sz w:val="32"/>
          <w:szCs w:val="32"/>
          <w:lang w:val="en-US" w:eastAsia="zh-CN" w:bidi="ar-SA"/>
        </w:rPr>
        <w:t>县</w:t>
      </w:r>
    </w:p>
    <w:p w14:paraId="17C86479">
      <w:pPr>
        <w:spacing w:line="594" w:lineRule="exact"/>
        <w:ind w:firstLine="643" w:firstLineChars="200"/>
        <w:rPr>
          <w:rFonts w:hint="default" w:ascii="Times New Roman" w:hAnsi="Times New Roman" w:cs="Times New Roman"/>
          <w:b/>
          <w:bCs/>
        </w:rPr>
      </w:pPr>
      <w:r>
        <w:rPr>
          <w:rFonts w:hint="default" w:ascii="Times New Roman" w:hAnsi="Times New Roman" w:cs="Times New Roman"/>
          <w:b/>
          <w:bCs/>
        </w:rPr>
        <w:t>建设内容：</w:t>
      </w:r>
    </w:p>
    <w:p w14:paraId="4E36DD6C">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rPr>
        <w:t>（1）支持笋用林基地建设。主要包括开展竹笋基地建设、林道规划验收及奖</w:t>
      </w:r>
      <w:r>
        <w:rPr>
          <w:rFonts w:hint="default" w:ascii="Times New Roman" w:hAnsi="Times New Roman" w:cs="Times New Roman"/>
          <w:kern w:val="0"/>
          <w:szCs w:val="32"/>
        </w:rPr>
        <w:t>补。开展笋用林技术应用试验，对示范基地进行指导，指导全县进行笋用林改造，劈山除杂、垦复松土、开竹节沟、科学施肥、留笋养竹、号笋号竹。</w:t>
      </w:r>
    </w:p>
    <w:p w14:paraId="3446749B">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（2）进行榨笋奖补、林道建设奖补。</w:t>
      </w:r>
    </w:p>
    <w:p w14:paraId="542A8EE1">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（3）继续开展FSC森林认证。</w:t>
      </w:r>
    </w:p>
    <w:p w14:paraId="785EA188">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（4）乡镇初级加工集中区建设奖补。</w:t>
      </w:r>
    </w:p>
    <w:p w14:paraId="4A6A628C">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（5）支持开展竹笋加工及新产品开发。</w:t>
      </w:r>
    </w:p>
    <w:p w14:paraId="79AE4655">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（6）对企业参展进行奖补。</w:t>
      </w:r>
    </w:p>
    <w:p w14:paraId="1E2AAEA1">
      <w:pPr>
        <w:spacing w:line="594" w:lineRule="exact"/>
        <w:ind w:firstLine="643" w:firstLineChars="200"/>
        <w:rPr>
          <w:rFonts w:hint="default" w:ascii="Times New Roman" w:hAnsi="Times New Roman" w:cs="Times New Roman"/>
          <w:b/>
          <w:bCs/>
        </w:rPr>
      </w:pPr>
      <w:r>
        <w:rPr>
          <w:rFonts w:hint="default" w:ascii="Times New Roman" w:hAnsi="Times New Roman" w:cs="Times New Roman"/>
          <w:b/>
          <w:bCs/>
        </w:rPr>
        <w:t>建设目标：</w:t>
      </w:r>
    </w:p>
    <w:p w14:paraId="5E153990">
      <w:pPr>
        <w:spacing w:line="594" w:lineRule="exact"/>
        <w:ind w:firstLine="640" w:firstLineChars="200"/>
        <w:rPr>
          <w:rFonts w:hint="default" w:ascii="Times New Roman" w:hAnsi="Times New Roman" w:cs="Times New Roman"/>
        </w:rPr>
      </w:pPr>
      <w:r>
        <w:rPr>
          <w:rFonts w:hint="default" w:ascii="Times New Roman" w:hAnsi="Times New Roman" w:cs="Times New Roman"/>
        </w:rPr>
        <w:t>（1）笋用林基地建设目标。重点支持处于培育期的竹笋示范基地，以基地作示范，以合作社为龙头，引导农民积极参与基地建设。开展榨笋补助，提高笋农积极性。</w:t>
      </w:r>
    </w:p>
    <w:p w14:paraId="44EF39A6">
      <w:pPr>
        <w:spacing w:line="594" w:lineRule="exact"/>
        <w:ind w:firstLine="640" w:firstLineChars="200"/>
        <w:rPr>
          <w:rFonts w:hint="default" w:ascii="Times New Roman" w:hAnsi="Times New Roman" w:cs="Times New Roman"/>
        </w:rPr>
      </w:pPr>
      <w:r>
        <w:rPr>
          <w:rFonts w:hint="default" w:ascii="Times New Roman" w:hAnsi="Times New Roman" w:cs="Times New Roman"/>
        </w:rPr>
        <w:t>（2）开展FSC</w:t>
      </w:r>
      <w:r>
        <w:rPr>
          <w:rFonts w:hint="default" w:ascii="Times New Roman" w:hAnsi="Times New Roman" w:cs="Times New Roman"/>
          <w:kern w:val="0"/>
          <w:szCs w:val="32"/>
        </w:rPr>
        <w:t>森林</w:t>
      </w:r>
      <w:r>
        <w:rPr>
          <w:rFonts w:hint="default" w:ascii="Times New Roman" w:hAnsi="Times New Roman" w:cs="Times New Roman"/>
        </w:rPr>
        <w:t>认证。进一步拓展我县竹产业产品出口市场，提高企业竞争力。</w:t>
      </w:r>
    </w:p>
    <w:p w14:paraId="7D52D442">
      <w:pPr>
        <w:spacing w:line="594" w:lineRule="exact"/>
        <w:ind w:firstLine="640" w:firstLineChars="200"/>
        <w:rPr>
          <w:rFonts w:hint="default" w:ascii="Times New Roman" w:hAnsi="Times New Roman" w:cs="Times New Roman"/>
        </w:rPr>
      </w:pPr>
      <w:r>
        <w:rPr>
          <w:rFonts w:hint="default" w:ascii="Times New Roman" w:hAnsi="Times New Roman" w:cs="Times New Roman"/>
        </w:rPr>
        <w:t>（3）对企业参展进行奖补，鼓励企业参展和开展营销，提升桃江竹产品影响力，</w:t>
      </w:r>
      <w:r>
        <w:rPr>
          <w:rFonts w:hint="default" w:ascii="Times New Roman" w:hAnsi="Times New Roman" w:cs="Times New Roman"/>
          <w:kern w:val="0"/>
          <w:szCs w:val="32"/>
        </w:rPr>
        <w:t>进一步</w:t>
      </w:r>
      <w:r>
        <w:rPr>
          <w:rFonts w:hint="default" w:ascii="Times New Roman" w:hAnsi="Times New Roman" w:cs="Times New Roman"/>
        </w:rPr>
        <w:t>打开市场。</w:t>
      </w:r>
    </w:p>
    <w:p w14:paraId="396AE709">
      <w:pPr>
        <w:spacing w:line="594" w:lineRule="exact"/>
        <w:ind w:firstLine="640" w:firstLineChars="200"/>
        <w:rPr>
          <w:rFonts w:hint="default" w:ascii="Times New Roman" w:hAnsi="Times New Roman" w:cs="Times New Roman"/>
        </w:rPr>
      </w:pPr>
      <w:r>
        <w:rPr>
          <w:rFonts w:hint="default" w:ascii="Times New Roman" w:hAnsi="Times New Roman" w:cs="Times New Roman"/>
        </w:rPr>
        <w:t>（4）支持开展竹笋深加工及新产品开发，争取竹笋产品进一步丰富，深加工企业进一步增加。</w:t>
      </w:r>
    </w:p>
    <w:p w14:paraId="65BC9279">
      <w:pPr>
        <w:spacing w:line="594" w:lineRule="exact"/>
        <w:ind w:firstLine="640" w:firstLineChars="200"/>
        <w:rPr>
          <w:rFonts w:hint="default" w:ascii="Times New Roman" w:hAnsi="Times New Roman" w:cs="Times New Roman"/>
        </w:rPr>
      </w:pPr>
      <w:r>
        <w:rPr>
          <w:rFonts w:hint="default" w:ascii="Times New Roman" w:hAnsi="Times New Roman" w:cs="Times New Roman"/>
        </w:rPr>
        <w:t>（5）提升竹材</w:t>
      </w:r>
      <w:r>
        <w:rPr>
          <w:rFonts w:hint="default" w:ascii="Times New Roman" w:hAnsi="Times New Roman" w:cs="Times New Roman"/>
          <w:kern w:val="0"/>
          <w:szCs w:val="32"/>
        </w:rPr>
        <w:t>企业</w:t>
      </w:r>
      <w:r>
        <w:rPr>
          <w:rFonts w:hint="default" w:ascii="Times New Roman" w:hAnsi="Times New Roman" w:cs="Times New Roman"/>
        </w:rPr>
        <w:t>，支持乡镇初级加工集中区建设。</w:t>
      </w:r>
    </w:p>
    <w:p w14:paraId="5F1C2459">
      <w:pPr>
        <w:spacing w:line="594" w:lineRule="exact"/>
        <w:ind w:firstLine="643" w:firstLineChars="200"/>
        <w:rPr>
          <w:rFonts w:hint="eastAsia" w:ascii="Times New Roman" w:hAnsi="Times New Roman" w:eastAsia="仿宋_GB2312" w:cs="Times New Roman"/>
          <w:lang w:eastAsia="zh-CN"/>
        </w:rPr>
      </w:pPr>
      <w:r>
        <w:rPr>
          <w:rFonts w:hint="default" w:ascii="Times New Roman" w:hAnsi="Times New Roman" w:cs="Times New Roman"/>
          <w:b/>
          <w:bCs/>
        </w:rPr>
        <w:t>项目名称：</w:t>
      </w:r>
      <w:r>
        <w:rPr>
          <w:rFonts w:hint="eastAsia" w:ascii="Times New Roman" w:hAnsi="Times New Roman" w:cs="Times New Roman"/>
          <w:lang w:val="en-US" w:eastAsia="zh-CN"/>
        </w:rPr>
        <w:t>2024年“以竹代塑”产业高质量发展推进专项经费</w:t>
      </w:r>
    </w:p>
    <w:p w14:paraId="249D4178">
      <w:pPr>
        <w:spacing w:line="594" w:lineRule="exact"/>
        <w:ind w:firstLine="643" w:firstLineChars="200"/>
        <w:rPr>
          <w:rFonts w:hint="default" w:ascii="Times New Roman" w:hAnsi="Times New Roman" w:eastAsia="仿宋_GB2312" w:cs="Times New Roman"/>
          <w:lang w:val="en-US" w:eastAsia="zh-CN"/>
        </w:rPr>
      </w:pPr>
      <w:r>
        <w:rPr>
          <w:rFonts w:hint="eastAsia" w:ascii="Times New Roman" w:hAnsi="Times New Roman" w:cs="Times New Roman"/>
          <w:b/>
          <w:bCs/>
          <w:lang w:eastAsia="zh-CN"/>
        </w:rPr>
        <w:t>会议</w:t>
      </w:r>
      <w:r>
        <w:rPr>
          <w:rFonts w:hint="default" w:ascii="Times New Roman" w:hAnsi="Times New Roman" w:cs="Times New Roman"/>
          <w:b/>
          <w:bCs/>
        </w:rPr>
        <w:t>时间：</w:t>
      </w:r>
      <w:r>
        <w:rPr>
          <w:rFonts w:hint="default" w:ascii="Times New Roman" w:hAnsi="Times New Roman" w:cs="Times New Roman"/>
        </w:rPr>
        <w:t>202</w:t>
      </w:r>
      <w:r>
        <w:rPr>
          <w:rFonts w:hint="eastAsia" w:ascii="Times New Roman" w:hAnsi="Times New Roman" w:cs="Times New Roman"/>
          <w:lang w:val="en-US" w:eastAsia="zh-CN"/>
        </w:rPr>
        <w:t>4</w:t>
      </w:r>
      <w:r>
        <w:rPr>
          <w:rFonts w:hint="default" w:ascii="Times New Roman" w:hAnsi="Times New Roman" w:cs="Times New Roman"/>
        </w:rPr>
        <w:t>年</w:t>
      </w:r>
      <w:r>
        <w:rPr>
          <w:rFonts w:hint="eastAsia" w:ascii="Times New Roman" w:hAnsi="Times New Roman" w:cs="Times New Roman"/>
          <w:lang w:val="en-US" w:eastAsia="zh-CN"/>
        </w:rPr>
        <w:t>9月27日—29日</w:t>
      </w:r>
    </w:p>
    <w:p w14:paraId="1FE81E70">
      <w:pPr>
        <w:spacing w:line="594" w:lineRule="exact"/>
        <w:ind w:firstLine="643" w:firstLineChars="200"/>
        <w:rPr>
          <w:rFonts w:hint="eastAsia" w:ascii="Times New Roman" w:hAnsi="Times New Roman" w:eastAsia="仿宋_GB2312" w:cs="Times New Roman"/>
          <w:lang w:eastAsia="zh-CN"/>
        </w:rPr>
      </w:pPr>
      <w:r>
        <w:rPr>
          <w:rFonts w:hint="eastAsia" w:ascii="Times New Roman" w:hAnsi="Times New Roman" w:cs="Times New Roman"/>
          <w:b/>
          <w:bCs/>
          <w:kern w:val="0"/>
          <w:szCs w:val="32"/>
          <w:lang w:eastAsia="zh-CN"/>
        </w:rPr>
        <w:t>会议</w:t>
      </w:r>
      <w:r>
        <w:rPr>
          <w:rFonts w:hint="default" w:ascii="Times New Roman" w:hAnsi="Times New Roman" w:cs="Times New Roman"/>
          <w:b/>
          <w:bCs/>
          <w:kern w:val="0"/>
          <w:szCs w:val="32"/>
        </w:rPr>
        <w:t>地点</w:t>
      </w:r>
      <w:r>
        <w:rPr>
          <w:rFonts w:hint="default" w:ascii="Times New Roman" w:hAnsi="Times New Roman" w:cs="Times New Roman"/>
          <w:b/>
          <w:bCs/>
        </w:rPr>
        <w:t>：</w:t>
      </w:r>
      <w:r>
        <w:rPr>
          <w:rFonts w:hint="eastAsia" w:ascii="Times New Roman" w:hAnsi="Times New Roman" w:cs="Times New Roman"/>
          <w:b w:val="0"/>
          <w:bCs w:val="0"/>
          <w:lang w:eastAsia="zh-CN"/>
        </w:rPr>
        <w:t>桃江县华美达酒店</w:t>
      </w:r>
    </w:p>
    <w:p w14:paraId="085F4924">
      <w:pPr>
        <w:spacing w:line="594" w:lineRule="exact"/>
        <w:ind w:left="640" w:leftChars="200" w:firstLine="0" w:firstLineChars="0"/>
        <w:rPr>
          <w:rFonts w:hint="eastAsia" w:ascii="Times New Roman" w:hAnsi="Times New Roman" w:cs="Times New Roman"/>
          <w:b w:val="0"/>
          <w:bCs w:val="0"/>
          <w:lang w:val="en-US" w:eastAsia="zh-CN"/>
        </w:rPr>
      </w:pPr>
      <w:r>
        <w:rPr>
          <w:rFonts w:hint="eastAsia" w:ascii="Times New Roman" w:hAnsi="Times New Roman" w:cs="Times New Roman"/>
          <w:b/>
          <w:bCs/>
          <w:lang w:eastAsia="zh-CN"/>
        </w:rPr>
        <w:t>会议</w:t>
      </w:r>
      <w:r>
        <w:rPr>
          <w:rFonts w:hint="default" w:ascii="Times New Roman" w:hAnsi="Times New Roman" w:cs="Times New Roman"/>
          <w:b/>
          <w:bCs/>
        </w:rPr>
        <w:t>内容：</w:t>
      </w:r>
      <w:r>
        <w:rPr>
          <w:rFonts w:hint="eastAsia" w:ascii="Times New Roman" w:hAnsi="Times New Roman" w:cs="Times New Roman"/>
          <w:b w:val="0"/>
          <w:bCs w:val="0"/>
          <w:lang w:val="en-US" w:eastAsia="zh-CN"/>
        </w:rPr>
        <w:t>2024年“以竹代塑”产业高质量发展推进会</w:t>
      </w:r>
    </w:p>
    <w:p w14:paraId="23EB3937">
      <w:pPr>
        <w:spacing w:line="594" w:lineRule="exact"/>
        <w:ind w:left="640" w:leftChars="200" w:firstLine="0" w:firstLineChars="0"/>
        <w:rPr>
          <w:rFonts w:hint="default" w:ascii="Times New Roman" w:hAnsi="Times New Roman" w:cs="Times New Roman"/>
          <w:b/>
          <w:bCs/>
        </w:rPr>
      </w:pPr>
      <w:r>
        <w:rPr>
          <w:rFonts w:hint="eastAsia" w:ascii="Times New Roman" w:hAnsi="Times New Roman" w:cs="Times New Roman"/>
          <w:b/>
          <w:bCs/>
          <w:lang w:eastAsia="zh-CN"/>
        </w:rPr>
        <w:t>会议</w:t>
      </w:r>
      <w:r>
        <w:rPr>
          <w:rFonts w:hint="default" w:ascii="Times New Roman" w:hAnsi="Times New Roman" w:cs="Times New Roman"/>
          <w:b/>
          <w:bCs/>
        </w:rPr>
        <w:t>目标：</w:t>
      </w:r>
    </w:p>
    <w:p w14:paraId="3DE7F28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b w:val="0"/>
          <w:bCs w:val="0"/>
          <w:lang w:eastAsia="zh-CN"/>
        </w:rPr>
        <w:t>为贯彻</w:t>
      </w:r>
      <w:r>
        <w:rPr>
          <w:rFonts w:hint="eastAsia" w:ascii="Times New Roman" w:hAnsi="Times New Roman" w:cs="Times New Roman"/>
          <w:sz w:val="32"/>
          <w:szCs w:val="32"/>
          <w:lang w:val="en-US" w:eastAsia="zh-CN"/>
        </w:rPr>
        <w:t>习近平总书记向国际竹藤组织成立二十五周年志庆暨第二届世界竹藤大会致贺信中关于“以竹代塑”的有关精神，落实《加快“以竹代塑”发展三年行动计划》（发改环资〔2023〕1375号）相关要求，大力推动“以竹代塑”发展。</w:t>
      </w:r>
    </w:p>
    <w:p w14:paraId="62B366E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cs="Times New Roman"/>
          <w:sz w:val="32"/>
          <w:szCs w:val="32"/>
          <w:lang w:val="en-US" w:eastAsia="zh-CN"/>
        </w:rPr>
      </w:pPr>
    </w:p>
    <w:p w14:paraId="4731CD7A">
      <w:pPr>
        <w:spacing w:line="594" w:lineRule="exact"/>
        <w:ind w:firstLine="640" w:firstLineChars="200"/>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二、项目资金使用及管理情况分析</w:t>
      </w:r>
    </w:p>
    <w:p w14:paraId="67458B97">
      <w:pPr>
        <w:keepNext w:val="0"/>
        <w:keepLines w:val="0"/>
        <w:pageBreakBefore w:val="0"/>
        <w:widowControl w:val="0"/>
        <w:numPr>
          <w:ilvl w:val="0"/>
          <w:numId w:val="0"/>
        </w:numPr>
        <w:kinsoku/>
        <w:wordWrap/>
        <w:overflowPunct/>
        <w:topLinePunct w:val="0"/>
        <w:autoSpaceDE/>
        <w:autoSpaceDN/>
        <w:bidi w:val="0"/>
        <w:adjustRightInd/>
        <w:snapToGrid/>
        <w:spacing w:line="594" w:lineRule="atLeast"/>
        <w:ind w:firstLine="640"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竹旅文体康产业融合发展奖补资金</w:t>
      </w:r>
      <w:r>
        <w:rPr>
          <w:rFonts w:hint="eastAsia" w:ascii="Times New Roman" w:hAnsi="Times New Roman" w:eastAsia="仿宋_GB2312" w:cs="Times New Roman"/>
          <w:kern w:val="2"/>
          <w:sz w:val="32"/>
          <w:szCs w:val="24"/>
          <w:lang w:val="en-US" w:eastAsia="zh-CN" w:bidi="ar-SA"/>
        </w:rPr>
        <w:t>及竹产业高质量发展县专项资金</w:t>
      </w:r>
      <w:r>
        <w:rPr>
          <w:rFonts w:hint="default" w:ascii="Times New Roman" w:hAnsi="Times New Roman" w:eastAsia="仿宋_GB2312" w:cs="Times New Roman"/>
          <w:kern w:val="2"/>
          <w:sz w:val="32"/>
          <w:szCs w:val="24"/>
          <w:lang w:val="en-US" w:eastAsia="zh-CN" w:bidi="ar-SA"/>
        </w:rPr>
        <w:t>，由我中心和县林业局、县财政局对支出项目的真实性合理性逐一进行了认定，实际支出</w:t>
      </w:r>
      <w:r>
        <w:rPr>
          <w:rFonts w:hint="eastAsia" w:ascii="Times New Roman" w:hAnsi="Times New Roman" w:eastAsia="仿宋_GB2312" w:cs="Times New Roman"/>
          <w:kern w:val="0"/>
          <w:sz w:val="32"/>
          <w:szCs w:val="32"/>
          <w:lang w:val="en-US" w:eastAsia="zh-CN" w:bidi="ar-SA"/>
        </w:rPr>
        <w:t>1139.36</w:t>
      </w:r>
      <w:r>
        <w:rPr>
          <w:rFonts w:hint="default" w:ascii="Times New Roman" w:hAnsi="Times New Roman" w:eastAsia="仿宋_GB2312" w:cs="Times New Roman"/>
          <w:kern w:val="2"/>
          <w:sz w:val="32"/>
          <w:szCs w:val="24"/>
          <w:lang w:val="en-US" w:eastAsia="zh-CN" w:bidi="ar-SA"/>
        </w:rPr>
        <w:t>万元，具体情况详见下表：</w:t>
      </w:r>
    </w:p>
    <w:tbl>
      <w:tblPr>
        <w:tblStyle w:val="6"/>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1275"/>
        <w:gridCol w:w="1275"/>
        <w:gridCol w:w="1275"/>
        <w:gridCol w:w="1275"/>
        <w:gridCol w:w="1275"/>
        <w:gridCol w:w="1275"/>
      </w:tblGrid>
      <w:tr w14:paraId="2F55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25" w:type="dxa"/>
            <w:gridSpan w:val="7"/>
            <w:tcBorders>
              <w:top w:val="nil"/>
              <w:left w:val="nil"/>
              <w:bottom w:val="nil"/>
              <w:right w:val="nil"/>
            </w:tcBorders>
            <w:shd w:val="clear" w:color="auto" w:fill="auto"/>
            <w:vAlign w:val="center"/>
          </w:tcPr>
          <w:p w14:paraId="6F488685">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附件</w:t>
            </w:r>
            <w:r>
              <w:rPr>
                <w:rStyle w:val="10"/>
                <w:rFonts w:eastAsia="方正小标宋简体"/>
                <w:lang w:val="en-US" w:eastAsia="zh-CN" w:bidi="ar"/>
              </w:rPr>
              <w:t>1</w:t>
            </w:r>
          </w:p>
        </w:tc>
      </w:tr>
      <w:tr w14:paraId="5A66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925" w:type="dxa"/>
            <w:gridSpan w:val="7"/>
            <w:tcBorders>
              <w:top w:val="nil"/>
              <w:left w:val="nil"/>
              <w:bottom w:val="nil"/>
              <w:right w:val="nil"/>
            </w:tcBorders>
            <w:shd w:val="clear" w:color="auto" w:fill="auto"/>
            <w:vAlign w:val="center"/>
          </w:tcPr>
          <w:p w14:paraId="43EA5419">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2023</w:t>
            </w:r>
            <w:r>
              <w:rPr>
                <w:rStyle w:val="11"/>
                <w:lang w:val="en-US" w:eastAsia="zh-CN" w:bidi="ar"/>
              </w:rPr>
              <w:t>年度“竹旅文体康产业融合发展”财政奖补资金安排方案</w:t>
            </w:r>
          </w:p>
        </w:tc>
      </w:tr>
      <w:tr w14:paraId="2CF2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6CFEB">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申报类型</w:t>
            </w:r>
          </w:p>
        </w:tc>
        <w:tc>
          <w:tcPr>
            <w:tcW w:w="2550" w:type="dxa"/>
            <w:gridSpan w:val="2"/>
            <w:tcBorders>
              <w:top w:val="single" w:color="000000" w:sz="8" w:space="0"/>
              <w:left w:val="nil"/>
              <w:bottom w:val="single" w:color="000000" w:sz="8" w:space="0"/>
              <w:right w:val="single" w:color="000000" w:sz="8" w:space="0"/>
            </w:tcBorders>
            <w:shd w:val="clear" w:color="auto" w:fill="auto"/>
            <w:vAlign w:val="center"/>
          </w:tcPr>
          <w:p w14:paraId="05F2D17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申报事项</w:t>
            </w:r>
          </w:p>
        </w:tc>
        <w:tc>
          <w:tcPr>
            <w:tcW w:w="1275" w:type="dxa"/>
            <w:tcBorders>
              <w:top w:val="single" w:color="000000" w:sz="8" w:space="0"/>
              <w:left w:val="nil"/>
              <w:bottom w:val="single" w:color="000000" w:sz="8" w:space="0"/>
              <w:right w:val="single" w:color="000000" w:sz="8" w:space="0"/>
            </w:tcBorders>
            <w:shd w:val="clear" w:color="auto" w:fill="auto"/>
            <w:vAlign w:val="center"/>
          </w:tcPr>
          <w:p w14:paraId="5F95ED0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申报单位</w:t>
            </w:r>
          </w:p>
        </w:tc>
        <w:tc>
          <w:tcPr>
            <w:tcW w:w="1275" w:type="dxa"/>
            <w:tcBorders>
              <w:top w:val="single" w:color="000000" w:sz="8" w:space="0"/>
              <w:left w:val="nil"/>
              <w:bottom w:val="single" w:color="000000" w:sz="8" w:space="0"/>
              <w:right w:val="single" w:color="000000" w:sz="8" w:space="0"/>
            </w:tcBorders>
            <w:shd w:val="clear" w:color="auto" w:fill="auto"/>
            <w:vAlign w:val="center"/>
          </w:tcPr>
          <w:p w14:paraId="6BD8BF1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适应点条</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60D3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拟奖补金额（万元）</w:t>
            </w:r>
          </w:p>
        </w:tc>
        <w:tc>
          <w:tcPr>
            <w:tcW w:w="1275" w:type="dxa"/>
            <w:tcBorders>
              <w:top w:val="single" w:color="000000" w:sz="8" w:space="0"/>
              <w:left w:val="nil"/>
              <w:bottom w:val="single" w:color="000000" w:sz="8" w:space="0"/>
              <w:right w:val="single" w:color="000000" w:sz="8" w:space="0"/>
            </w:tcBorders>
            <w:shd w:val="clear" w:color="auto" w:fill="auto"/>
            <w:vAlign w:val="center"/>
          </w:tcPr>
          <w:p w14:paraId="155D7E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4F97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275" w:type="dxa"/>
            <w:vMerge w:val="restart"/>
            <w:tcBorders>
              <w:top w:val="nil"/>
              <w:left w:val="single" w:color="000000" w:sz="8" w:space="0"/>
              <w:bottom w:val="nil"/>
              <w:right w:val="single" w:color="000000" w:sz="8" w:space="0"/>
            </w:tcBorders>
            <w:shd w:val="clear" w:color="auto" w:fill="auto"/>
            <w:vAlign w:val="center"/>
          </w:tcPr>
          <w:p w14:paraId="26F26433">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一、推进竹林资源培育提质增效</w:t>
            </w:r>
          </w:p>
        </w:tc>
        <w:tc>
          <w:tcPr>
            <w:tcW w:w="1275" w:type="dxa"/>
            <w:tcBorders>
              <w:top w:val="nil"/>
              <w:left w:val="nil"/>
              <w:bottom w:val="single" w:color="000000" w:sz="8" w:space="0"/>
              <w:right w:val="single" w:color="000000" w:sz="8" w:space="0"/>
            </w:tcBorders>
            <w:shd w:val="clear" w:color="auto" w:fill="auto"/>
            <w:vAlign w:val="center"/>
          </w:tcPr>
          <w:p w14:paraId="2F1785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75" w:type="dxa"/>
            <w:tcBorders>
              <w:top w:val="nil"/>
              <w:left w:val="nil"/>
              <w:bottom w:val="single" w:color="000000" w:sz="8" w:space="0"/>
              <w:right w:val="single" w:color="000000" w:sz="8" w:space="0"/>
            </w:tcBorders>
            <w:shd w:val="clear" w:color="auto" w:fill="auto"/>
            <w:vAlign w:val="center"/>
          </w:tcPr>
          <w:p w14:paraId="576AFE0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笋竹两用林示范基地建设。2022年建设基地7622亩， 2023年建设基地3478亩，共计11100亩，每亩奖励200元。</w:t>
            </w:r>
          </w:p>
        </w:tc>
        <w:tc>
          <w:tcPr>
            <w:tcW w:w="1275" w:type="dxa"/>
            <w:tcBorders>
              <w:top w:val="nil"/>
              <w:left w:val="nil"/>
              <w:bottom w:val="single" w:color="000000" w:sz="8" w:space="0"/>
              <w:right w:val="single" w:color="000000" w:sz="8" w:space="0"/>
            </w:tcBorders>
            <w:shd w:val="clear" w:color="auto" w:fill="auto"/>
            <w:vAlign w:val="center"/>
          </w:tcPr>
          <w:p w14:paraId="1717C0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各建设主体</w:t>
            </w:r>
          </w:p>
        </w:tc>
        <w:tc>
          <w:tcPr>
            <w:tcW w:w="1275" w:type="dxa"/>
            <w:tcBorders>
              <w:top w:val="nil"/>
              <w:left w:val="nil"/>
              <w:bottom w:val="single" w:color="000000" w:sz="8" w:space="0"/>
              <w:right w:val="single" w:color="000000" w:sz="8" w:space="0"/>
            </w:tcBorders>
            <w:shd w:val="clear" w:color="auto" w:fill="auto"/>
            <w:vAlign w:val="center"/>
          </w:tcPr>
          <w:p w14:paraId="65A2A8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符合奖励办法第一点一条</w:t>
            </w:r>
          </w:p>
        </w:tc>
        <w:tc>
          <w:tcPr>
            <w:tcW w:w="1275" w:type="dxa"/>
            <w:tcBorders>
              <w:top w:val="nil"/>
              <w:left w:val="nil"/>
              <w:bottom w:val="single" w:color="000000" w:sz="8" w:space="0"/>
              <w:right w:val="single" w:color="000000" w:sz="8" w:space="0"/>
            </w:tcBorders>
            <w:shd w:val="clear" w:color="auto" w:fill="auto"/>
            <w:vAlign w:val="center"/>
          </w:tcPr>
          <w:p w14:paraId="1439F6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222</w:t>
            </w:r>
          </w:p>
        </w:tc>
        <w:tc>
          <w:tcPr>
            <w:tcW w:w="1275" w:type="dxa"/>
            <w:tcBorders>
              <w:top w:val="single" w:color="000000" w:sz="8" w:space="0"/>
              <w:left w:val="nil"/>
              <w:bottom w:val="single" w:color="000000" w:sz="8" w:space="0"/>
              <w:right w:val="single" w:color="000000" w:sz="8" w:space="0"/>
            </w:tcBorders>
            <w:shd w:val="clear" w:color="auto" w:fill="auto"/>
            <w:vAlign w:val="center"/>
          </w:tcPr>
          <w:p w14:paraId="78F6AAF7">
            <w:pPr>
              <w:rPr>
                <w:rFonts w:hint="default" w:ascii="Times New Roman" w:hAnsi="Times New Roman" w:eastAsia="宋体" w:cs="Times New Roman"/>
                <w:i w:val="0"/>
                <w:iCs w:val="0"/>
                <w:color w:val="000000"/>
                <w:sz w:val="24"/>
                <w:szCs w:val="24"/>
                <w:u w:val="none"/>
              </w:rPr>
            </w:pPr>
          </w:p>
        </w:tc>
      </w:tr>
      <w:tr w14:paraId="7433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275" w:type="dxa"/>
            <w:vMerge w:val="continue"/>
            <w:tcBorders>
              <w:top w:val="nil"/>
              <w:left w:val="single" w:color="000000" w:sz="8" w:space="0"/>
              <w:bottom w:val="nil"/>
              <w:right w:val="single" w:color="000000" w:sz="8" w:space="0"/>
            </w:tcBorders>
            <w:shd w:val="clear" w:color="auto" w:fill="auto"/>
            <w:vAlign w:val="center"/>
          </w:tcPr>
          <w:p w14:paraId="49C60F61">
            <w:pPr>
              <w:jc w:val="center"/>
              <w:rPr>
                <w:rFonts w:hint="eastAsia" w:ascii="仿宋_GB2312" w:hAnsi="宋体" w:eastAsia="仿宋_GB2312" w:cs="仿宋_GB2312"/>
                <w:i w:val="0"/>
                <w:iCs w:val="0"/>
                <w:color w:val="000000"/>
                <w:sz w:val="24"/>
                <w:szCs w:val="24"/>
                <w:u w:val="none"/>
              </w:rPr>
            </w:pPr>
          </w:p>
        </w:tc>
        <w:tc>
          <w:tcPr>
            <w:tcW w:w="1275" w:type="dxa"/>
            <w:tcBorders>
              <w:top w:val="nil"/>
              <w:left w:val="nil"/>
              <w:bottom w:val="single" w:color="000000" w:sz="8" w:space="0"/>
              <w:right w:val="single" w:color="000000" w:sz="8" w:space="0"/>
            </w:tcBorders>
            <w:shd w:val="clear" w:color="auto" w:fill="auto"/>
            <w:vAlign w:val="center"/>
          </w:tcPr>
          <w:p w14:paraId="447B1F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75" w:type="dxa"/>
            <w:tcBorders>
              <w:top w:val="nil"/>
              <w:left w:val="nil"/>
              <w:bottom w:val="single" w:color="000000" w:sz="8" w:space="0"/>
              <w:right w:val="single" w:color="000000" w:sz="8" w:space="0"/>
            </w:tcBorders>
            <w:shd w:val="clear" w:color="auto" w:fill="auto"/>
            <w:vAlign w:val="center"/>
          </w:tcPr>
          <w:p w14:paraId="5EAE693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县级笋竹两用林高产示范基地。共10个，每个奖励1 万元。</w:t>
            </w:r>
          </w:p>
        </w:tc>
        <w:tc>
          <w:tcPr>
            <w:tcW w:w="1275" w:type="dxa"/>
            <w:tcBorders>
              <w:top w:val="nil"/>
              <w:left w:val="nil"/>
              <w:bottom w:val="single" w:color="000000" w:sz="8" w:space="0"/>
              <w:right w:val="single" w:color="000000" w:sz="8" w:space="0"/>
            </w:tcBorders>
            <w:shd w:val="clear" w:color="auto" w:fill="auto"/>
            <w:vAlign w:val="center"/>
          </w:tcPr>
          <w:p w14:paraId="0A3CC7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各建设主体</w:t>
            </w:r>
          </w:p>
        </w:tc>
        <w:tc>
          <w:tcPr>
            <w:tcW w:w="1275" w:type="dxa"/>
            <w:tcBorders>
              <w:top w:val="nil"/>
              <w:left w:val="nil"/>
              <w:bottom w:val="single" w:color="000000" w:sz="8" w:space="0"/>
              <w:right w:val="single" w:color="000000" w:sz="8" w:space="0"/>
            </w:tcBorders>
            <w:shd w:val="clear" w:color="auto" w:fill="auto"/>
            <w:vAlign w:val="center"/>
          </w:tcPr>
          <w:p w14:paraId="2C5958B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符合奖励办法第一点一条</w:t>
            </w:r>
          </w:p>
        </w:tc>
        <w:tc>
          <w:tcPr>
            <w:tcW w:w="1275" w:type="dxa"/>
            <w:tcBorders>
              <w:top w:val="nil"/>
              <w:left w:val="nil"/>
              <w:bottom w:val="single" w:color="000000" w:sz="8" w:space="0"/>
              <w:right w:val="single" w:color="000000" w:sz="8" w:space="0"/>
            </w:tcBorders>
            <w:shd w:val="clear" w:color="auto" w:fill="auto"/>
            <w:vAlign w:val="center"/>
          </w:tcPr>
          <w:p w14:paraId="29C289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75" w:type="dxa"/>
            <w:tcBorders>
              <w:top w:val="nil"/>
              <w:left w:val="nil"/>
              <w:bottom w:val="single" w:color="000000" w:sz="8" w:space="0"/>
              <w:right w:val="single" w:color="000000" w:sz="8" w:space="0"/>
            </w:tcBorders>
            <w:shd w:val="clear" w:color="auto" w:fill="auto"/>
            <w:vAlign w:val="center"/>
          </w:tcPr>
          <w:p w14:paraId="3C3F2540">
            <w:pPr>
              <w:rPr>
                <w:rFonts w:hint="default" w:ascii="Times New Roman" w:hAnsi="Times New Roman" w:eastAsia="宋体" w:cs="Times New Roman"/>
                <w:i w:val="0"/>
                <w:iCs w:val="0"/>
                <w:color w:val="000000"/>
                <w:sz w:val="24"/>
                <w:szCs w:val="24"/>
                <w:u w:val="none"/>
              </w:rPr>
            </w:pPr>
          </w:p>
        </w:tc>
      </w:tr>
      <w:tr w14:paraId="4393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275" w:type="dxa"/>
            <w:vMerge w:val="continue"/>
            <w:tcBorders>
              <w:top w:val="nil"/>
              <w:left w:val="single" w:color="000000" w:sz="8" w:space="0"/>
              <w:bottom w:val="nil"/>
              <w:right w:val="single" w:color="000000" w:sz="8" w:space="0"/>
            </w:tcBorders>
            <w:shd w:val="clear" w:color="auto" w:fill="auto"/>
            <w:vAlign w:val="center"/>
          </w:tcPr>
          <w:p w14:paraId="60452656">
            <w:pPr>
              <w:jc w:val="center"/>
              <w:rPr>
                <w:rFonts w:hint="eastAsia" w:ascii="仿宋_GB2312" w:hAnsi="宋体" w:eastAsia="仿宋_GB2312" w:cs="仿宋_GB2312"/>
                <w:i w:val="0"/>
                <w:iCs w:val="0"/>
                <w:color w:val="000000"/>
                <w:sz w:val="24"/>
                <w:szCs w:val="24"/>
                <w:u w:val="none"/>
              </w:rPr>
            </w:pPr>
          </w:p>
        </w:tc>
        <w:tc>
          <w:tcPr>
            <w:tcW w:w="1275" w:type="dxa"/>
            <w:tcBorders>
              <w:top w:val="nil"/>
              <w:left w:val="nil"/>
              <w:bottom w:val="single" w:color="000000" w:sz="8" w:space="0"/>
              <w:right w:val="single" w:color="000000" w:sz="8" w:space="0"/>
            </w:tcBorders>
            <w:shd w:val="clear" w:color="auto" w:fill="auto"/>
            <w:vAlign w:val="center"/>
          </w:tcPr>
          <w:p w14:paraId="230B2D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49DCCE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竹林道建设。2023年新建373.11公里，每公里6000 元。</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FF6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各建设主体</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BFFEA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符合奖励办法第一点二条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AB26D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223.866</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DEF9BED">
            <w:pPr>
              <w:rPr>
                <w:rFonts w:hint="default" w:ascii="Times New Roman" w:hAnsi="Times New Roman" w:eastAsia="宋体" w:cs="Times New Roman"/>
                <w:i w:val="0"/>
                <w:iCs w:val="0"/>
                <w:color w:val="000000"/>
                <w:sz w:val="24"/>
                <w:szCs w:val="24"/>
                <w:u w:val="none"/>
              </w:rPr>
            </w:pPr>
          </w:p>
        </w:tc>
      </w:tr>
      <w:tr w14:paraId="560C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75" w:type="dxa"/>
            <w:vMerge w:val="continue"/>
            <w:tcBorders>
              <w:top w:val="nil"/>
              <w:left w:val="single" w:color="000000" w:sz="8" w:space="0"/>
              <w:bottom w:val="nil"/>
              <w:right w:val="single" w:color="000000" w:sz="8" w:space="0"/>
            </w:tcBorders>
            <w:shd w:val="clear" w:color="auto" w:fill="auto"/>
            <w:vAlign w:val="center"/>
          </w:tcPr>
          <w:p w14:paraId="1D727004">
            <w:pPr>
              <w:jc w:val="center"/>
              <w:rPr>
                <w:rFonts w:hint="eastAsia" w:ascii="仿宋_GB2312" w:hAnsi="宋体" w:eastAsia="仿宋_GB2312" w:cs="仿宋_GB2312"/>
                <w:i w:val="0"/>
                <w:iCs w:val="0"/>
                <w:color w:val="000000"/>
                <w:sz w:val="24"/>
                <w:szCs w:val="24"/>
                <w:u w:val="none"/>
              </w:rPr>
            </w:pPr>
          </w:p>
        </w:tc>
        <w:tc>
          <w:tcPr>
            <w:tcW w:w="1275" w:type="dxa"/>
            <w:tcBorders>
              <w:top w:val="nil"/>
              <w:left w:val="nil"/>
              <w:bottom w:val="single" w:color="000000" w:sz="8" w:space="0"/>
              <w:right w:val="single" w:color="000000" w:sz="8" w:space="0"/>
            </w:tcBorders>
            <w:shd w:val="clear" w:color="auto" w:fill="auto"/>
            <w:vAlign w:val="center"/>
          </w:tcPr>
          <w:p w14:paraId="363213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F886F3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专业砍伐队7支，每支奖励2万元。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EAA85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各砍伐队队长、 成立砍伐队单位</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AD116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符合奖励办法第一点三条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97CD8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5FB035F">
            <w:pPr>
              <w:rPr>
                <w:rFonts w:hint="default" w:ascii="Times New Roman" w:hAnsi="Times New Roman" w:eastAsia="宋体" w:cs="Times New Roman"/>
                <w:i w:val="0"/>
                <w:iCs w:val="0"/>
                <w:color w:val="000000"/>
                <w:sz w:val="24"/>
                <w:szCs w:val="24"/>
                <w:u w:val="none"/>
              </w:rPr>
            </w:pPr>
          </w:p>
        </w:tc>
      </w:tr>
      <w:tr w14:paraId="1047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75" w:type="dxa"/>
            <w:vMerge w:val="continue"/>
            <w:tcBorders>
              <w:top w:val="nil"/>
              <w:left w:val="single" w:color="000000" w:sz="8" w:space="0"/>
              <w:bottom w:val="nil"/>
              <w:right w:val="single" w:color="000000" w:sz="8" w:space="0"/>
            </w:tcBorders>
            <w:shd w:val="clear" w:color="auto" w:fill="auto"/>
            <w:vAlign w:val="center"/>
          </w:tcPr>
          <w:p w14:paraId="365E377E">
            <w:pPr>
              <w:jc w:val="center"/>
              <w:rPr>
                <w:rFonts w:hint="eastAsia" w:ascii="仿宋_GB2312" w:hAnsi="宋体" w:eastAsia="仿宋_GB2312" w:cs="仿宋_GB2312"/>
                <w:i w:val="0"/>
                <w:iCs w:val="0"/>
                <w:color w:val="000000"/>
                <w:sz w:val="24"/>
                <w:szCs w:val="24"/>
                <w:u w:val="none"/>
              </w:rPr>
            </w:pPr>
          </w:p>
        </w:tc>
        <w:tc>
          <w:tcPr>
            <w:tcW w:w="1275" w:type="dxa"/>
            <w:tcBorders>
              <w:top w:val="nil"/>
              <w:left w:val="nil"/>
              <w:bottom w:val="single" w:color="000000" w:sz="8" w:space="0"/>
              <w:right w:val="single" w:color="000000" w:sz="8" w:space="0"/>
            </w:tcBorders>
            <w:shd w:val="clear" w:color="auto" w:fill="auto"/>
            <w:vAlign w:val="center"/>
          </w:tcPr>
          <w:p w14:paraId="7961EC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72762C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竹笋丰产高效示范合作社10个，每个奖励1万元。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E23B7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各获奖合作社</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8A28C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符合奖励办法第一点五条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7DBDE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45398B0">
            <w:pPr>
              <w:rPr>
                <w:rFonts w:hint="default" w:ascii="Times New Roman" w:hAnsi="Times New Roman" w:eastAsia="宋体" w:cs="Times New Roman"/>
                <w:i w:val="0"/>
                <w:iCs w:val="0"/>
                <w:color w:val="000000"/>
                <w:sz w:val="24"/>
                <w:szCs w:val="24"/>
                <w:u w:val="none"/>
              </w:rPr>
            </w:pPr>
          </w:p>
        </w:tc>
      </w:tr>
      <w:tr w14:paraId="6BD2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75" w:type="dxa"/>
            <w:vMerge w:val="continue"/>
            <w:tcBorders>
              <w:top w:val="nil"/>
              <w:left w:val="single" w:color="000000" w:sz="8" w:space="0"/>
              <w:bottom w:val="nil"/>
              <w:right w:val="single" w:color="000000" w:sz="8" w:space="0"/>
            </w:tcBorders>
            <w:shd w:val="clear" w:color="auto" w:fill="auto"/>
            <w:vAlign w:val="center"/>
          </w:tcPr>
          <w:p w14:paraId="6AC64DF4">
            <w:pPr>
              <w:jc w:val="center"/>
              <w:rPr>
                <w:rFonts w:hint="eastAsia" w:ascii="仿宋_GB2312" w:hAnsi="宋体" w:eastAsia="仿宋_GB2312" w:cs="仿宋_GB2312"/>
                <w:i w:val="0"/>
                <w:iCs w:val="0"/>
                <w:color w:val="000000"/>
                <w:sz w:val="24"/>
                <w:szCs w:val="24"/>
                <w:u w:val="none"/>
              </w:rPr>
            </w:pPr>
          </w:p>
        </w:tc>
        <w:tc>
          <w:tcPr>
            <w:tcW w:w="1275" w:type="dxa"/>
            <w:tcBorders>
              <w:top w:val="nil"/>
              <w:left w:val="nil"/>
              <w:bottom w:val="single" w:color="000000" w:sz="8" w:space="0"/>
              <w:right w:val="single" w:color="000000" w:sz="8" w:space="0"/>
            </w:tcBorders>
            <w:shd w:val="clear" w:color="auto" w:fill="auto"/>
            <w:vAlign w:val="center"/>
          </w:tcPr>
          <w:p w14:paraId="26865C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8AB404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优秀竹笋生产示范户共18户，每户奖励2000元。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F8C5E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各获奖示范户</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1FFB0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符合奖励办法第一点六条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F994A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71651AC">
            <w:pPr>
              <w:rPr>
                <w:rFonts w:hint="default" w:ascii="Times New Roman" w:hAnsi="Times New Roman" w:eastAsia="宋体" w:cs="Times New Roman"/>
                <w:i w:val="0"/>
                <w:iCs w:val="0"/>
                <w:color w:val="000000"/>
                <w:sz w:val="24"/>
                <w:szCs w:val="24"/>
                <w:u w:val="none"/>
              </w:rPr>
            </w:pPr>
          </w:p>
        </w:tc>
      </w:tr>
      <w:tr w14:paraId="4693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75" w:type="dxa"/>
            <w:vMerge w:val="continue"/>
            <w:tcBorders>
              <w:top w:val="nil"/>
              <w:left w:val="single" w:color="000000" w:sz="8" w:space="0"/>
              <w:bottom w:val="nil"/>
              <w:right w:val="single" w:color="000000" w:sz="8" w:space="0"/>
            </w:tcBorders>
            <w:shd w:val="clear" w:color="auto" w:fill="auto"/>
            <w:vAlign w:val="center"/>
          </w:tcPr>
          <w:p w14:paraId="02AC60F0">
            <w:pPr>
              <w:jc w:val="center"/>
              <w:rPr>
                <w:rFonts w:hint="eastAsia" w:ascii="仿宋_GB2312" w:hAnsi="宋体" w:eastAsia="仿宋_GB2312" w:cs="仿宋_GB2312"/>
                <w:i w:val="0"/>
                <w:iCs w:val="0"/>
                <w:color w:val="000000"/>
                <w:sz w:val="24"/>
                <w:szCs w:val="24"/>
                <w:u w:val="none"/>
              </w:rPr>
            </w:pPr>
          </w:p>
        </w:tc>
        <w:tc>
          <w:tcPr>
            <w:tcW w:w="1275" w:type="dxa"/>
            <w:tcBorders>
              <w:top w:val="nil"/>
              <w:left w:val="nil"/>
              <w:bottom w:val="single" w:color="000000" w:sz="8" w:space="0"/>
              <w:right w:val="single" w:color="000000" w:sz="8" w:space="0"/>
            </w:tcBorders>
            <w:shd w:val="clear" w:color="auto" w:fill="auto"/>
            <w:vAlign w:val="center"/>
          </w:tcPr>
          <w:p w14:paraId="6EC8E4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C32CB5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竹林复合经营示范基地3个，每个奖励3万元。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369DA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各获奖复合基地</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4FBFA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符合奖励办法第一点七条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BF26C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C737060">
            <w:pPr>
              <w:rPr>
                <w:rFonts w:hint="default" w:ascii="Times New Roman" w:hAnsi="Times New Roman" w:eastAsia="宋体" w:cs="Times New Roman"/>
                <w:i w:val="0"/>
                <w:iCs w:val="0"/>
                <w:color w:val="000000"/>
                <w:sz w:val="24"/>
                <w:szCs w:val="24"/>
                <w:u w:val="none"/>
              </w:rPr>
            </w:pPr>
          </w:p>
        </w:tc>
      </w:tr>
      <w:tr w14:paraId="64F7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275" w:type="dxa"/>
            <w:vMerge w:val="continue"/>
            <w:tcBorders>
              <w:top w:val="nil"/>
              <w:left w:val="single" w:color="000000" w:sz="8" w:space="0"/>
              <w:bottom w:val="nil"/>
              <w:right w:val="single" w:color="000000" w:sz="8" w:space="0"/>
            </w:tcBorders>
            <w:shd w:val="clear" w:color="auto" w:fill="auto"/>
            <w:vAlign w:val="center"/>
          </w:tcPr>
          <w:p w14:paraId="07259AC7">
            <w:pPr>
              <w:jc w:val="center"/>
              <w:rPr>
                <w:rFonts w:hint="eastAsia" w:ascii="仿宋_GB2312" w:hAnsi="宋体" w:eastAsia="仿宋_GB2312" w:cs="仿宋_GB2312"/>
                <w:i w:val="0"/>
                <w:iCs w:val="0"/>
                <w:color w:val="000000"/>
                <w:sz w:val="24"/>
                <w:szCs w:val="24"/>
                <w:u w:val="none"/>
              </w:rPr>
            </w:pPr>
          </w:p>
        </w:tc>
        <w:tc>
          <w:tcPr>
            <w:tcW w:w="1275" w:type="dxa"/>
            <w:tcBorders>
              <w:top w:val="nil"/>
              <w:left w:val="nil"/>
              <w:bottom w:val="single" w:color="000000" w:sz="8" w:space="0"/>
              <w:right w:val="single" w:color="000000" w:sz="8" w:space="0"/>
            </w:tcBorders>
            <w:shd w:val="clear" w:color="auto" w:fill="auto"/>
            <w:vAlign w:val="center"/>
          </w:tcPr>
          <w:p w14:paraId="59EEC2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E34999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FSC森林认证</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EAD93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桃花江国有林场</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AE96A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符合奖励办法第一点八条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DFED2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27609EB">
            <w:pPr>
              <w:rPr>
                <w:rFonts w:hint="default" w:ascii="Times New Roman" w:hAnsi="Times New Roman" w:eastAsia="宋体" w:cs="Times New Roman"/>
                <w:i w:val="0"/>
                <w:iCs w:val="0"/>
                <w:color w:val="000000"/>
                <w:sz w:val="24"/>
                <w:szCs w:val="24"/>
                <w:u w:val="none"/>
              </w:rPr>
            </w:pPr>
          </w:p>
        </w:tc>
      </w:tr>
      <w:tr w14:paraId="0655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275" w:type="dxa"/>
            <w:vMerge w:val="restart"/>
            <w:tcBorders>
              <w:top w:val="nil"/>
              <w:left w:val="single" w:color="000000" w:sz="8" w:space="0"/>
              <w:bottom w:val="nil"/>
              <w:right w:val="single" w:color="000000" w:sz="8" w:space="0"/>
            </w:tcBorders>
            <w:shd w:val="clear" w:color="auto" w:fill="auto"/>
            <w:vAlign w:val="center"/>
          </w:tcPr>
          <w:p w14:paraId="2005E7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二、推动笋竹加工转型升级</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3E0BB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9F373B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新增固定资产投资</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A625B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各相关企业</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1CBCA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符合奖励办法第二点九条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828E8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0A00E07">
            <w:pPr>
              <w:rPr>
                <w:rFonts w:hint="default" w:ascii="Times New Roman" w:hAnsi="Times New Roman" w:eastAsia="宋体" w:cs="Times New Roman"/>
                <w:i w:val="0"/>
                <w:iCs w:val="0"/>
                <w:color w:val="000000"/>
                <w:sz w:val="24"/>
                <w:szCs w:val="24"/>
                <w:u w:val="none"/>
              </w:rPr>
            </w:pPr>
          </w:p>
        </w:tc>
      </w:tr>
      <w:tr w14:paraId="1AC5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275" w:type="dxa"/>
            <w:vMerge w:val="continue"/>
            <w:tcBorders>
              <w:top w:val="nil"/>
              <w:left w:val="single" w:color="000000" w:sz="8" w:space="0"/>
              <w:bottom w:val="nil"/>
              <w:right w:val="single" w:color="000000" w:sz="8" w:space="0"/>
            </w:tcBorders>
            <w:shd w:val="clear" w:color="auto" w:fill="auto"/>
            <w:vAlign w:val="center"/>
          </w:tcPr>
          <w:p w14:paraId="6D335F5E">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A5EB1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8E4892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鼓励科研技术攻关</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B7804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各建设主体</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6A3BE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符合奖励办法第二点十一条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20847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4813223">
            <w:pPr>
              <w:rPr>
                <w:rFonts w:hint="default" w:ascii="Times New Roman" w:hAnsi="Times New Roman" w:eastAsia="宋体" w:cs="Times New Roman"/>
                <w:i w:val="0"/>
                <w:iCs w:val="0"/>
                <w:color w:val="000000"/>
                <w:sz w:val="24"/>
                <w:szCs w:val="24"/>
                <w:u w:val="none"/>
              </w:rPr>
            </w:pPr>
          </w:p>
        </w:tc>
      </w:tr>
      <w:tr w14:paraId="7BF3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1275" w:type="dxa"/>
            <w:vMerge w:val="continue"/>
            <w:tcBorders>
              <w:top w:val="nil"/>
              <w:left w:val="single" w:color="000000" w:sz="8" w:space="0"/>
              <w:bottom w:val="nil"/>
              <w:right w:val="single" w:color="000000" w:sz="8" w:space="0"/>
            </w:tcBorders>
            <w:shd w:val="clear" w:color="auto" w:fill="auto"/>
            <w:vAlign w:val="center"/>
          </w:tcPr>
          <w:p w14:paraId="3B2B62C6">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453A7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DE24C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新建标准化笋榨共448个，每个奖励3000元。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05189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各建设主体</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D774E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符合奖励办法第二点十二条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5CD62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134.4</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EFB35">
            <w:pPr>
              <w:rPr>
                <w:rFonts w:hint="default" w:ascii="Times New Roman" w:hAnsi="Times New Roman" w:eastAsia="宋体" w:cs="Times New Roman"/>
                <w:i w:val="0"/>
                <w:iCs w:val="0"/>
                <w:color w:val="000000"/>
                <w:sz w:val="24"/>
                <w:szCs w:val="24"/>
                <w:u w:val="none"/>
              </w:rPr>
            </w:pPr>
          </w:p>
        </w:tc>
      </w:tr>
      <w:tr w14:paraId="7994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1275" w:type="dxa"/>
            <w:vMerge w:val="continue"/>
            <w:tcBorders>
              <w:top w:val="nil"/>
              <w:left w:val="single" w:color="000000" w:sz="8" w:space="0"/>
              <w:bottom w:val="nil"/>
              <w:right w:val="single" w:color="000000" w:sz="8" w:space="0"/>
            </w:tcBorders>
            <w:shd w:val="clear" w:color="auto" w:fill="auto"/>
            <w:vAlign w:val="center"/>
          </w:tcPr>
          <w:p w14:paraId="210E7C3B">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40A39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A86F1B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湖南省波恩贝竹木科技有限公司、湖南惊石农业科技 有限公司获评市级专家工作站</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CBDE0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湖南省波恩贝竹木科技有限公司、湖南惊石农业科技有限公司</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6CC1A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符合奖励办法第二点十三条，每个专家工作站市级拟奖补50万元。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4CE31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E6BF2">
            <w:pPr>
              <w:rPr>
                <w:rFonts w:hint="default" w:ascii="Times New Roman" w:hAnsi="Times New Roman" w:eastAsia="宋体" w:cs="Times New Roman"/>
                <w:i w:val="0"/>
                <w:iCs w:val="0"/>
                <w:color w:val="000000"/>
                <w:sz w:val="24"/>
                <w:szCs w:val="24"/>
                <w:u w:val="none"/>
              </w:rPr>
            </w:pPr>
          </w:p>
        </w:tc>
      </w:tr>
      <w:tr w14:paraId="1377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12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8846C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三、推进产业融合发展</w:t>
            </w:r>
          </w:p>
        </w:tc>
        <w:tc>
          <w:tcPr>
            <w:tcW w:w="1275" w:type="dxa"/>
            <w:vMerge w:val="restart"/>
            <w:tcBorders>
              <w:top w:val="nil"/>
              <w:left w:val="single" w:color="000000" w:sz="8" w:space="0"/>
              <w:bottom w:val="single" w:color="000000" w:sz="8" w:space="0"/>
              <w:right w:val="single" w:color="000000" w:sz="8" w:space="0"/>
            </w:tcBorders>
            <w:shd w:val="clear" w:color="auto" w:fill="auto"/>
            <w:vAlign w:val="center"/>
          </w:tcPr>
          <w:p w14:paraId="4B370F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r>
              <w:rPr>
                <w:rStyle w:val="12"/>
                <w:lang w:val="en-US" w:eastAsia="zh-CN" w:bidi="ar"/>
              </w:rPr>
              <w:t>、</w:t>
            </w:r>
            <w:r>
              <w:rPr>
                <w:rStyle w:val="13"/>
                <w:rFonts w:hAnsi="Times New Roman"/>
                <w:lang w:val="en-US" w:eastAsia="zh-CN" w:bidi="ar"/>
              </w:rPr>
              <w:t>鼓励A级景区提质升级</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66EDD4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桃花江竹海景区获评为国家4A级旅游景区</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2AD0F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桃江县遇见美文化旅游投资有限公司</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3A9E1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符合奖励办法第三点十五条。奖补标准为100万元，市级拟奖补20万元。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452C3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229F3">
            <w:pPr>
              <w:rPr>
                <w:rFonts w:hint="default" w:ascii="Times New Roman" w:hAnsi="Times New Roman" w:eastAsia="宋体" w:cs="Times New Roman"/>
                <w:i w:val="0"/>
                <w:iCs w:val="0"/>
                <w:color w:val="000000"/>
                <w:sz w:val="24"/>
                <w:szCs w:val="24"/>
                <w:u w:val="none"/>
              </w:rPr>
            </w:pPr>
          </w:p>
        </w:tc>
      </w:tr>
      <w:tr w14:paraId="0299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C092B3">
            <w:pPr>
              <w:jc w:val="center"/>
              <w:rPr>
                <w:rFonts w:hint="eastAsia" w:ascii="仿宋_GB2312" w:hAnsi="宋体" w:eastAsia="仿宋_GB2312" w:cs="仿宋_GB2312"/>
                <w:i w:val="0"/>
                <w:iCs w:val="0"/>
                <w:color w:val="000000"/>
                <w:sz w:val="24"/>
                <w:szCs w:val="24"/>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7C843C33">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B4313E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浮邱山景区获评国家3A级旅游景区</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4C9EA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桃江县城市建设投资运营集团有限公司</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BB163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符合奖励办法第三点十五条。奖补标准为50万元，市级拟奖补5万元。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A0C8A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DEB65">
            <w:pPr>
              <w:rPr>
                <w:rFonts w:hint="default" w:ascii="Times New Roman" w:hAnsi="Times New Roman" w:eastAsia="宋体" w:cs="Times New Roman"/>
                <w:i w:val="0"/>
                <w:iCs w:val="0"/>
                <w:color w:val="000000"/>
                <w:sz w:val="24"/>
                <w:szCs w:val="24"/>
                <w:u w:val="none"/>
              </w:rPr>
            </w:pPr>
          </w:p>
        </w:tc>
      </w:tr>
      <w:tr w14:paraId="511E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3"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6125EE">
            <w:pPr>
              <w:jc w:val="center"/>
              <w:rPr>
                <w:rFonts w:hint="eastAsia" w:ascii="仿宋_GB2312" w:hAnsi="宋体" w:eastAsia="仿宋_GB2312" w:cs="仿宋_GB2312"/>
                <w:i w:val="0"/>
                <w:iCs w:val="0"/>
                <w:color w:val="000000"/>
                <w:sz w:val="24"/>
                <w:szCs w:val="24"/>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6C5663E7">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3CDD83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莲花坪生态农业观光旅游区获评国家3A级旅游景区。</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161A9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湖南学子研学实践教育服务有限公司</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D76E5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符合奖励办法第三点十五条。奖补标准为50万元，市级拟奖补5万元。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70B60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85A03">
            <w:pPr>
              <w:rPr>
                <w:rFonts w:hint="default" w:ascii="Times New Roman" w:hAnsi="Times New Roman" w:eastAsia="宋体" w:cs="Times New Roman"/>
                <w:i w:val="0"/>
                <w:iCs w:val="0"/>
                <w:color w:val="000000"/>
                <w:sz w:val="24"/>
                <w:szCs w:val="24"/>
                <w:u w:val="none"/>
              </w:rPr>
            </w:pPr>
          </w:p>
        </w:tc>
      </w:tr>
      <w:tr w14:paraId="383B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59A113">
            <w:pPr>
              <w:jc w:val="center"/>
              <w:rPr>
                <w:rFonts w:hint="eastAsia" w:ascii="仿宋_GB2312" w:hAnsi="宋体" w:eastAsia="仿宋_GB2312" w:cs="仿宋_GB2312"/>
                <w:i w:val="0"/>
                <w:iCs w:val="0"/>
                <w:color w:val="000000"/>
                <w:sz w:val="24"/>
                <w:szCs w:val="24"/>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7F761CA9">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FAA0CC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竹乡旅游厕所1个</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2B3FA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石牛江镇小坡头村村民委员会</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52754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符合奖励办法第三点十五条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EAF5A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A102C">
            <w:pPr>
              <w:rPr>
                <w:rFonts w:hint="default" w:ascii="Times New Roman" w:hAnsi="Times New Roman" w:eastAsia="宋体" w:cs="Times New Roman"/>
                <w:i w:val="0"/>
                <w:iCs w:val="0"/>
                <w:color w:val="000000"/>
                <w:sz w:val="24"/>
                <w:szCs w:val="24"/>
                <w:u w:val="none"/>
              </w:rPr>
            </w:pPr>
          </w:p>
        </w:tc>
      </w:tr>
      <w:tr w14:paraId="0BFC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0FB3BA">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590AC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r>
              <w:rPr>
                <w:rStyle w:val="12"/>
                <w:lang w:val="en-US" w:eastAsia="zh-CN" w:bidi="ar"/>
              </w:rPr>
              <w:t>、</w:t>
            </w:r>
            <w:r>
              <w:rPr>
                <w:rStyle w:val="13"/>
                <w:rFonts w:hAnsi="Times New Roman"/>
                <w:lang w:val="en-US" w:eastAsia="zh-CN" w:bidi="ar"/>
              </w:rPr>
              <w:t>鼓励星级酒店和休闲农业发展</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02F2EB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美人谷获评为国家四星级旅游饭店、湖南省五星级农庄</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A6838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桃江县喜龙餐饮管理有限公司</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80947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符合奖励办法第三点十六条。国家四星级旅游饭店奖补标准为50万元，省五星级农庄奖补标准为10万元，市级拟奖补10万元。(同一家建设主体同一内容，按就高不就低的原则奖补)</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57C2A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E4227">
            <w:pPr>
              <w:rPr>
                <w:rFonts w:hint="default" w:ascii="Times New Roman" w:hAnsi="Times New Roman" w:eastAsia="宋体" w:cs="Times New Roman"/>
                <w:i w:val="0"/>
                <w:iCs w:val="0"/>
                <w:color w:val="000000"/>
                <w:sz w:val="24"/>
                <w:szCs w:val="24"/>
                <w:u w:val="none"/>
              </w:rPr>
            </w:pPr>
          </w:p>
        </w:tc>
      </w:tr>
      <w:tr w14:paraId="4BCD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3D860C">
            <w:pPr>
              <w:jc w:val="center"/>
              <w:rPr>
                <w:rFonts w:hint="eastAsia" w:ascii="仿宋_GB2312" w:hAnsi="宋体" w:eastAsia="仿宋_GB2312" w:cs="仿宋_GB2312"/>
                <w:i w:val="0"/>
                <w:iCs w:val="0"/>
                <w:color w:val="000000"/>
                <w:sz w:val="24"/>
                <w:szCs w:val="24"/>
                <w:u w:val="none"/>
              </w:rPr>
            </w:pPr>
          </w:p>
        </w:tc>
        <w:tc>
          <w:tcPr>
            <w:tcW w:w="1275" w:type="dxa"/>
            <w:vMerge w:val="restart"/>
            <w:tcBorders>
              <w:top w:val="nil"/>
              <w:left w:val="single" w:color="000000" w:sz="8" w:space="0"/>
              <w:bottom w:val="single" w:color="000000" w:sz="8" w:space="0"/>
              <w:right w:val="single" w:color="000000" w:sz="8" w:space="0"/>
            </w:tcBorders>
            <w:shd w:val="clear" w:color="auto" w:fill="auto"/>
            <w:vAlign w:val="center"/>
          </w:tcPr>
          <w:p w14:paraId="1E57C6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r>
              <w:rPr>
                <w:rStyle w:val="12"/>
                <w:lang w:val="en-US" w:eastAsia="zh-CN" w:bidi="ar"/>
              </w:rPr>
              <w:t>、</w:t>
            </w:r>
            <w:r>
              <w:rPr>
                <w:rStyle w:val="13"/>
                <w:rFonts w:hAnsi="Times New Roman"/>
                <w:lang w:val="en-US" w:eastAsia="zh-CN" w:bidi="ar"/>
              </w:rPr>
              <w:t>鼓励竹乡民宿发展</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C456E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初寻南村获评湖南省四星级旅游民宿、湖南省四星级 农庄</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65D15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桃江湘约生态农 业开发有限公司</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FF9A7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符合奖励办法第三点十六条，省四星级农庄奖补标准为5万元，符合奖励办法第三点十七条，省四星级旅游民宿奖补标准为30万元，市级拟奖补2万元。(同一家建设主体同一内容，按就高不就低的原则奖补)</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7D137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5CF7A">
            <w:pPr>
              <w:rPr>
                <w:rFonts w:hint="default" w:ascii="Times New Roman" w:hAnsi="Times New Roman" w:eastAsia="宋体" w:cs="Times New Roman"/>
                <w:i w:val="0"/>
                <w:iCs w:val="0"/>
                <w:color w:val="000000"/>
                <w:sz w:val="24"/>
                <w:szCs w:val="24"/>
                <w:u w:val="none"/>
              </w:rPr>
            </w:pPr>
          </w:p>
        </w:tc>
      </w:tr>
      <w:tr w14:paraId="5538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9C6356">
            <w:pPr>
              <w:jc w:val="center"/>
              <w:rPr>
                <w:rFonts w:hint="eastAsia" w:ascii="仿宋_GB2312" w:hAnsi="宋体" w:eastAsia="仿宋_GB2312" w:cs="仿宋_GB2312"/>
                <w:i w:val="0"/>
                <w:iCs w:val="0"/>
                <w:color w:val="000000"/>
                <w:sz w:val="24"/>
                <w:szCs w:val="24"/>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702ED14E">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39FA1D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桃江县竹乡精品民宿2个(桃江县拾旧茶宿民宿服务  中心、桃江县三山民宿服务中心),每个奖励10万元。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3B6B00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各建设主体</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03FB4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符合奖励办法第三点十七条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6EA17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11011">
            <w:pPr>
              <w:rPr>
                <w:rFonts w:hint="default" w:ascii="Times New Roman" w:hAnsi="Times New Roman" w:eastAsia="宋体" w:cs="Times New Roman"/>
                <w:i w:val="0"/>
                <w:iCs w:val="0"/>
                <w:color w:val="000000"/>
                <w:sz w:val="24"/>
                <w:szCs w:val="24"/>
                <w:u w:val="none"/>
              </w:rPr>
            </w:pPr>
          </w:p>
        </w:tc>
      </w:tr>
      <w:tr w14:paraId="11EB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7"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25399C">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2A084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r>
              <w:rPr>
                <w:rStyle w:val="12"/>
                <w:lang w:val="en-US" w:eastAsia="zh-CN" w:bidi="ar"/>
              </w:rPr>
              <w:t>、</w:t>
            </w:r>
            <w:r>
              <w:rPr>
                <w:rStyle w:val="13"/>
                <w:rFonts w:hAnsi="Times New Roman"/>
                <w:lang w:val="en-US" w:eastAsia="zh-CN" w:bidi="ar"/>
              </w:rPr>
              <w:t>鼓励竹乡农家乐发展</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CE96E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桃江县精品竹乡农家乐6个(桃江县粮宝嗲生态农庄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饭店、桃江县龙塘湾村红色农庄、桃江县米儿家庭农场有限</w:t>
            </w:r>
            <w:r>
              <w:rPr>
                <w:rFonts w:hint="eastAsia" w:ascii="仿宋_GB2312" w:hAnsi="宋体" w:cs="仿宋_GB2312"/>
                <w:i w:val="0"/>
                <w:iCs w:val="0"/>
                <w:color w:val="000000"/>
                <w:kern w:val="0"/>
                <w:sz w:val="24"/>
                <w:szCs w:val="24"/>
                <w:u w:val="none"/>
                <w:lang w:val="en-US" w:eastAsia="zh-CN" w:bidi="ar"/>
              </w:rPr>
              <w:t>公</w:t>
            </w:r>
            <w:r>
              <w:rPr>
                <w:rFonts w:hint="eastAsia" w:ascii="仿宋_GB2312" w:hAnsi="宋体" w:eastAsia="仿宋_GB2312" w:cs="仿宋_GB2312"/>
                <w:i w:val="0"/>
                <w:iCs w:val="0"/>
                <w:color w:val="000000"/>
                <w:kern w:val="0"/>
                <w:sz w:val="24"/>
                <w:szCs w:val="24"/>
                <w:u w:val="none"/>
                <w:lang w:val="en-US" w:eastAsia="zh-CN" w:bidi="ar"/>
              </w:rPr>
              <w:t>司、桃江卸甲山休闲农家院、桃江具竹隐轩 餐饮店、桃江县砖屋里农庄),每个奖励2万元。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88951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各建设主体</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7262A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符合奖励办法第三点十八条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4B161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AB2DE">
            <w:pPr>
              <w:rPr>
                <w:rFonts w:hint="default" w:ascii="Times New Roman" w:hAnsi="Times New Roman" w:eastAsia="宋体" w:cs="Times New Roman"/>
                <w:i w:val="0"/>
                <w:iCs w:val="0"/>
                <w:color w:val="000000"/>
                <w:sz w:val="24"/>
                <w:szCs w:val="24"/>
                <w:u w:val="none"/>
              </w:rPr>
            </w:pPr>
          </w:p>
        </w:tc>
      </w:tr>
      <w:tr w14:paraId="2342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677241">
            <w:pPr>
              <w:jc w:val="center"/>
              <w:rPr>
                <w:rFonts w:hint="eastAsia" w:ascii="仿宋_GB2312" w:hAnsi="宋体" w:eastAsia="仿宋_GB2312" w:cs="仿宋_GB2312"/>
                <w:i w:val="0"/>
                <w:iCs w:val="0"/>
                <w:color w:val="000000"/>
                <w:sz w:val="24"/>
                <w:szCs w:val="24"/>
                <w:u w:val="none"/>
              </w:rPr>
            </w:pPr>
          </w:p>
        </w:tc>
        <w:tc>
          <w:tcPr>
            <w:tcW w:w="1275" w:type="dxa"/>
            <w:vMerge w:val="restart"/>
            <w:tcBorders>
              <w:top w:val="nil"/>
              <w:left w:val="single" w:color="000000" w:sz="8" w:space="0"/>
              <w:bottom w:val="single" w:color="000000" w:sz="8" w:space="0"/>
              <w:right w:val="single" w:color="000000" w:sz="8" w:space="0"/>
            </w:tcBorders>
            <w:shd w:val="clear" w:color="auto" w:fill="auto"/>
            <w:vAlign w:val="center"/>
          </w:tcPr>
          <w:p w14:paraId="4950D4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r>
              <w:rPr>
                <w:rStyle w:val="12"/>
                <w:lang w:val="en-US" w:eastAsia="zh-CN" w:bidi="ar"/>
              </w:rPr>
              <w:t>、</w:t>
            </w:r>
            <w:r>
              <w:rPr>
                <w:rStyle w:val="13"/>
                <w:rFonts w:hAnsi="Times New Roman"/>
                <w:lang w:val="en-US" w:eastAsia="zh-CN" w:bidi="ar"/>
              </w:rPr>
              <w:t>支持竹旅游文体康产业新业态发展</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217410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羞山官厅面工坊获省非遗工坊示范点</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A23E4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益阳市修山钟氏面业有限公司</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BB8D83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奖励办法第三点二十条对固定资产投资10万元以上，开展竹郁、竹编、竹艺等非遗传承的非遗工坊，每年补贴1万元，每年补贴对象不超过5个。(市级拟奖补2万元)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36C6B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5105395">
            <w:pPr>
              <w:rPr>
                <w:rFonts w:hint="default" w:ascii="Times New Roman" w:hAnsi="Times New Roman" w:eastAsia="宋体" w:cs="Times New Roman"/>
                <w:i w:val="0"/>
                <w:iCs w:val="0"/>
                <w:color w:val="000000"/>
                <w:sz w:val="24"/>
                <w:szCs w:val="24"/>
                <w:u w:val="none"/>
              </w:rPr>
            </w:pPr>
          </w:p>
        </w:tc>
      </w:tr>
      <w:tr w14:paraId="3BF5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2E3673">
            <w:pPr>
              <w:jc w:val="center"/>
              <w:rPr>
                <w:rFonts w:hint="eastAsia" w:ascii="仿宋_GB2312" w:hAnsi="宋体" w:eastAsia="仿宋_GB2312" w:cs="仿宋_GB2312"/>
                <w:i w:val="0"/>
                <w:iCs w:val="0"/>
                <w:color w:val="000000"/>
                <w:sz w:val="24"/>
                <w:szCs w:val="24"/>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171B672C">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62089E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蚱埠回族乡获省非遗村镇示范点</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8E293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蚱埠回族乡人民政府</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FFFB5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奖励办法第三点二十条对固 定资产投资10万元以上，开展竹郁、竹编、竹艺等非遗传承的非遗工坊，每年补贴1万元，每年补贴对象不超过5个。(市级拟奖补2万元)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3C24B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4EAB737">
            <w:pPr>
              <w:rPr>
                <w:rFonts w:hint="default" w:ascii="Times New Roman" w:hAnsi="Times New Roman" w:eastAsia="宋体" w:cs="Times New Roman"/>
                <w:i w:val="0"/>
                <w:iCs w:val="0"/>
                <w:color w:val="000000"/>
                <w:sz w:val="24"/>
                <w:szCs w:val="24"/>
                <w:u w:val="none"/>
              </w:rPr>
            </w:pPr>
          </w:p>
        </w:tc>
      </w:tr>
      <w:tr w14:paraId="1149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173572">
            <w:pPr>
              <w:jc w:val="center"/>
              <w:rPr>
                <w:rFonts w:hint="eastAsia" w:ascii="仿宋_GB2312" w:hAnsi="宋体" w:eastAsia="仿宋_GB2312" w:cs="仿宋_GB2312"/>
                <w:i w:val="0"/>
                <w:iCs w:val="0"/>
                <w:color w:val="000000"/>
                <w:sz w:val="24"/>
                <w:szCs w:val="24"/>
                <w:u w:val="none"/>
              </w:rPr>
            </w:pPr>
          </w:p>
        </w:tc>
        <w:tc>
          <w:tcPr>
            <w:tcW w:w="1275" w:type="dxa"/>
            <w:vMerge w:val="restart"/>
            <w:tcBorders>
              <w:top w:val="nil"/>
              <w:left w:val="single" w:color="000000" w:sz="8" w:space="0"/>
              <w:bottom w:val="single" w:color="000000" w:sz="8" w:space="0"/>
              <w:right w:val="single" w:color="000000" w:sz="8" w:space="0"/>
            </w:tcBorders>
            <w:shd w:val="clear" w:color="auto" w:fill="auto"/>
            <w:vAlign w:val="center"/>
          </w:tcPr>
          <w:p w14:paraId="029AB2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r>
              <w:rPr>
                <w:rStyle w:val="12"/>
                <w:lang w:val="en-US" w:eastAsia="zh-CN" w:bidi="ar"/>
              </w:rPr>
              <w:t>、</w:t>
            </w:r>
            <w:r>
              <w:rPr>
                <w:rStyle w:val="13"/>
                <w:rFonts w:hAnsi="Times New Roman"/>
                <w:lang w:val="en-US" w:eastAsia="zh-CN" w:bidi="ar"/>
              </w:rPr>
              <w:t>鼓励乡村旅游区点创建</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263388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美人谷生态山庄获评湖南省五星级乡村旅游区</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E9A53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桃江县喜龙餐饮管理有限公司</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870DA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符合奖励办法第三点二十一条。奖补标准为20万元，市级拟奖补5万元。(同一家建设主体同一内容，按就高不就低的原则奖补)</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396FC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AB1FCF2">
            <w:pPr>
              <w:rPr>
                <w:rFonts w:hint="default" w:ascii="Times New Roman" w:hAnsi="Times New Roman" w:eastAsia="宋体" w:cs="Times New Roman"/>
                <w:i w:val="0"/>
                <w:iCs w:val="0"/>
                <w:color w:val="000000"/>
                <w:sz w:val="24"/>
                <w:szCs w:val="24"/>
                <w:u w:val="none"/>
              </w:rPr>
            </w:pPr>
          </w:p>
        </w:tc>
      </w:tr>
      <w:tr w14:paraId="7579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8BB97D">
            <w:pPr>
              <w:jc w:val="center"/>
              <w:rPr>
                <w:rFonts w:hint="eastAsia" w:ascii="仿宋_GB2312" w:hAnsi="宋体" w:eastAsia="仿宋_GB2312" w:cs="仿宋_GB2312"/>
                <w:i w:val="0"/>
                <w:iCs w:val="0"/>
                <w:color w:val="000000"/>
                <w:sz w:val="24"/>
                <w:szCs w:val="24"/>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1D6A51D6">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5E8446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栗农生态庄园获评湖南省五星级乡村旅游区</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510A7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桃江县栗农生态庄园</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DCE26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符合奖励办法第三点二十一条。奖补标准为20万元，市级拟奖补5万元。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5EB85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6C8CEBE">
            <w:pPr>
              <w:rPr>
                <w:rFonts w:hint="default" w:ascii="Times New Roman" w:hAnsi="Times New Roman" w:eastAsia="宋体" w:cs="Times New Roman"/>
                <w:i w:val="0"/>
                <w:iCs w:val="0"/>
                <w:color w:val="000000"/>
                <w:sz w:val="24"/>
                <w:szCs w:val="24"/>
                <w:u w:val="none"/>
              </w:rPr>
            </w:pPr>
          </w:p>
        </w:tc>
      </w:tr>
      <w:tr w14:paraId="3BE4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B4BA41">
            <w:pPr>
              <w:jc w:val="center"/>
              <w:rPr>
                <w:rFonts w:hint="eastAsia" w:ascii="仿宋_GB2312" w:hAnsi="宋体" w:eastAsia="仿宋_GB2312" w:cs="仿宋_GB2312"/>
                <w:i w:val="0"/>
                <w:iCs w:val="0"/>
                <w:color w:val="000000"/>
                <w:sz w:val="24"/>
                <w:szCs w:val="24"/>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37992980">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0CF2A9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张子清红色教育基地获评湖南省四星级乡村旅游区</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CEE47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桃江县张子清村红色文化发展有限公司</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07CDA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符合奖励办法第三点二十一条。奖补标准为10万元，市级拟奖补3万元。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BB15A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CC6700F">
            <w:pPr>
              <w:rPr>
                <w:rFonts w:hint="default" w:ascii="Times New Roman" w:hAnsi="Times New Roman" w:eastAsia="宋体" w:cs="Times New Roman"/>
                <w:i w:val="0"/>
                <w:iCs w:val="0"/>
                <w:color w:val="000000"/>
                <w:sz w:val="24"/>
                <w:szCs w:val="24"/>
                <w:u w:val="none"/>
              </w:rPr>
            </w:pPr>
          </w:p>
        </w:tc>
      </w:tr>
      <w:tr w14:paraId="5357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829F26">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54A23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F1F5CC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鼓励电商直播</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EEAF0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各相关企业</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23CFD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符合奖励办法第三点二十四条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854AD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A7C1D81">
            <w:pPr>
              <w:rPr>
                <w:rFonts w:hint="default" w:ascii="Times New Roman" w:hAnsi="Times New Roman" w:eastAsia="宋体" w:cs="Times New Roman"/>
                <w:i w:val="0"/>
                <w:iCs w:val="0"/>
                <w:color w:val="000000"/>
                <w:sz w:val="24"/>
                <w:szCs w:val="24"/>
                <w:u w:val="none"/>
              </w:rPr>
            </w:pPr>
          </w:p>
        </w:tc>
      </w:tr>
      <w:tr w14:paraId="6A95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61C090">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90353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625032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企业参加国内国际展会36次。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A87CB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各相关企业</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7D6E1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符合奖励办法第三点二十五条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E9BB1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B1DA979">
            <w:pPr>
              <w:rPr>
                <w:rFonts w:hint="default" w:ascii="Times New Roman" w:hAnsi="Times New Roman" w:eastAsia="宋体" w:cs="Times New Roman"/>
                <w:i w:val="0"/>
                <w:iCs w:val="0"/>
                <w:color w:val="000000"/>
                <w:sz w:val="24"/>
                <w:szCs w:val="24"/>
                <w:u w:val="none"/>
              </w:rPr>
            </w:pPr>
          </w:p>
        </w:tc>
      </w:tr>
      <w:tr w14:paraId="18E3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D5075B">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1558A4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0718AA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培训费用</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DCFED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县竹产业发展服务中心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90154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符合奖励办法第三点二十六条。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12FAD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C06D2B2">
            <w:pPr>
              <w:rPr>
                <w:rFonts w:hint="default" w:ascii="Times New Roman" w:hAnsi="Times New Roman" w:eastAsia="宋体" w:cs="Times New Roman"/>
                <w:i w:val="0"/>
                <w:iCs w:val="0"/>
                <w:color w:val="000000"/>
                <w:sz w:val="24"/>
                <w:szCs w:val="24"/>
                <w:u w:val="none"/>
              </w:rPr>
            </w:pPr>
          </w:p>
        </w:tc>
      </w:tr>
      <w:tr w14:paraId="27FE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DCD5A0">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71892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4433EE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刘少军获高级导游</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ABDCC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县文旅广体新局</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77164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符合奖励办法第三点二十六条。奖补标准为1万元，市级拟奖补0.8万元。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B4570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0.2</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F2AABE8">
            <w:pPr>
              <w:rPr>
                <w:rFonts w:hint="default" w:ascii="Times New Roman" w:hAnsi="Times New Roman" w:eastAsia="宋体" w:cs="Times New Roman"/>
                <w:i w:val="0"/>
                <w:iCs w:val="0"/>
                <w:color w:val="000000"/>
                <w:sz w:val="24"/>
                <w:szCs w:val="24"/>
                <w:u w:val="none"/>
              </w:rPr>
            </w:pPr>
          </w:p>
        </w:tc>
      </w:tr>
      <w:tr w14:paraId="7AF1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2254E5">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07543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198AAF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竹旅文体康产业融合发展贡献奖</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9C990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各获奖企业</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70C91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符合奖励办法第三点二十七条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D993D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FD73776">
            <w:pPr>
              <w:rPr>
                <w:rFonts w:hint="default" w:ascii="Times New Roman" w:hAnsi="Times New Roman" w:eastAsia="宋体" w:cs="Times New Roman"/>
                <w:i w:val="0"/>
                <w:iCs w:val="0"/>
                <w:color w:val="000000"/>
                <w:sz w:val="24"/>
                <w:szCs w:val="24"/>
                <w:u w:val="none"/>
              </w:rPr>
            </w:pPr>
          </w:p>
        </w:tc>
      </w:tr>
      <w:tr w14:paraId="63A9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2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4E0C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四、组织保障(99万元)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37376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E9FA7D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宣传引导工作经费</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1BC16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详见明细</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873F5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符合奖励办法第四点二十八条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2AC429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14C699A">
            <w:pPr>
              <w:rPr>
                <w:rFonts w:hint="default" w:ascii="Times New Roman" w:hAnsi="Times New Roman" w:eastAsia="宋体" w:cs="Times New Roman"/>
                <w:i w:val="0"/>
                <w:iCs w:val="0"/>
                <w:color w:val="000000"/>
                <w:sz w:val="24"/>
                <w:szCs w:val="24"/>
                <w:u w:val="none"/>
              </w:rPr>
            </w:pPr>
          </w:p>
        </w:tc>
      </w:tr>
      <w:tr w14:paraId="00FA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2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FFC6B5">
            <w:pPr>
              <w:jc w:val="center"/>
              <w:rPr>
                <w:rFonts w:hint="eastAsia" w:ascii="仿宋_GB2312" w:hAnsi="宋体" w:eastAsia="仿宋_GB2312" w:cs="仿宋_GB2312"/>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8770A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5B6275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先进村(社区)10个，每个奖励5000元</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6EFFC2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各先进村(社区)</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A4ABA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符合奖励办法第四点三十条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07A0F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77A0CE08">
            <w:pPr>
              <w:rPr>
                <w:rFonts w:hint="default" w:ascii="Times New Roman" w:hAnsi="Times New Roman" w:eastAsia="宋体" w:cs="Times New Roman"/>
                <w:i w:val="0"/>
                <w:iCs w:val="0"/>
                <w:color w:val="000000"/>
                <w:sz w:val="24"/>
                <w:szCs w:val="24"/>
                <w:u w:val="none"/>
              </w:rPr>
            </w:pPr>
          </w:p>
        </w:tc>
      </w:tr>
      <w:tr w14:paraId="6722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75" w:type="dxa"/>
            <w:tcBorders>
              <w:top w:val="nil"/>
              <w:left w:val="single" w:color="000000" w:sz="8" w:space="0"/>
              <w:bottom w:val="single" w:color="000000" w:sz="8" w:space="0"/>
              <w:right w:val="single" w:color="000000" w:sz="8" w:space="0"/>
            </w:tcBorders>
            <w:shd w:val="clear" w:color="auto" w:fill="auto"/>
            <w:vAlign w:val="center"/>
          </w:tcPr>
          <w:p w14:paraId="257FFC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合计</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9B60904">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314BBFE">
            <w:pPr>
              <w:jc w:val="left"/>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5DFD7AE8">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3617708D">
            <w:pPr>
              <w:jc w:val="center"/>
              <w:rPr>
                <w:rFonts w:hint="default" w:ascii="Times New Roman" w:hAnsi="Times New Roman" w:eastAsia="宋体" w:cs="Times New Roman"/>
                <w:i w:val="0"/>
                <w:iCs w:val="0"/>
                <w:color w:val="000000"/>
                <w:sz w:val="24"/>
                <w:szCs w:val="24"/>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6DA2E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1181.566</w:t>
            </w: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4EB99CE2">
            <w:pPr>
              <w:rPr>
                <w:rFonts w:hint="default" w:ascii="Times New Roman" w:hAnsi="Times New Roman" w:eastAsia="宋体" w:cs="Times New Roman"/>
                <w:i w:val="0"/>
                <w:iCs w:val="0"/>
                <w:color w:val="000000"/>
                <w:sz w:val="24"/>
                <w:szCs w:val="24"/>
                <w:u w:val="none"/>
              </w:rPr>
            </w:pPr>
          </w:p>
        </w:tc>
      </w:tr>
    </w:tbl>
    <w:p w14:paraId="37BDD583">
      <w:pPr>
        <w:spacing w:line="594" w:lineRule="exact"/>
        <w:rPr>
          <w:rFonts w:hint="default" w:ascii="Times New Roman" w:hAnsi="Times New Roman" w:eastAsia="黑体" w:cs="Times New Roman"/>
          <w:bCs/>
          <w:kern w:val="0"/>
          <w:szCs w:val="32"/>
        </w:rPr>
      </w:pPr>
    </w:p>
    <w:p w14:paraId="49CA8097">
      <w:pPr>
        <w:spacing w:line="594" w:lineRule="exact"/>
        <w:ind w:firstLine="640" w:firstLineChars="200"/>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三、项目组织实施情况分析</w:t>
      </w:r>
    </w:p>
    <w:p w14:paraId="1D0EF00A">
      <w:pPr>
        <w:spacing w:line="594" w:lineRule="exact"/>
        <w:ind w:firstLine="643" w:firstLineChars="200"/>
        <w:rPr>
          <w:rFonts w:hint="default" w:ascii="Times New Roman" w:hAnsi="Times New Roman" w:cs="Times New Roman"/>
          <w:b/>
          <w:bCs/>
          <w:lang w:eastAsia="zh-CN"/>
        </w:rPr>
      </w:pPr>
      <w:r>
        <w:rPr>
          <w:rFonts w:hint="default" w:ascii="Times New Roman" w:hAnsi="Times New Roman" w:cs="Times New Roman"/>
          <w:b/>
          <w:bCs/>
          <w:lang w:eastAsia="zh-CN"/>
        </w:rPr>
        <w:t>（一）竹旅文体康产业融合发展奖补资金项目</w:t>
      </w:r>
    </w:p>
    <w:p w14:paraId="4262BCF4">
      <w:pPr>
        <w:spacing w:line="594" w:lineRule="exact"/>
        <w:ind w:firstLine="640" w:firstLineChars="200"/>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主要包括以下部分：</w:t>
      </w:r>
    </w:p>
    <w:p w14:paraId="4C13A329">
      <w:pPr>
        <w:spacing w:line="594" w:lineRule="exact"/>
        <w:ind w:firstLine="640" w:firstLineChars="200"/>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1. 共验收镇级笋竹两用林示范基地建设</w:t>
      </w:r>
      <w:r>
        <w:rPr>
          <w:rFonts w:hint="eastAsia" w:ascii="Times New Roman" w:hAnsi="Times New Roman" w:cs="Times New Roman"/>
          <w:kern w:val="0"/>
          <w:szCs w:val="32"/>
          <w:lang w:val="en-US" w:eastAsia="zh-CN"/>
        </w:rPr>
        <w:t>11100</w:t>
      </w:r>
      <w:r>
        <w:rPr>
          <w:rFonts w:hint="default" w:ascii="Times New Roman" w:hAnsi="Times New Roman" w:cs="Times New Roman"/>
          <w:kern w:val="0"/>
          <w:szCs w:val="32"/>
          <w:lang w:val="en-US" w:eastAsia="zh-CN"/>
        </w:rPr>
        <w:t>亩，按每亩200元予以奖补，共奖补</w:t>
      </w:r>
      <w:r>
        <w:rPr>
          <w:rFonts w:hint="eastAsia" w:ascii="Times New Roman" w:hAnsi="Times New Roman" w:cs="Times New Roman"/>
          <w:kern w:val="0"/>
          <w:szCs w:val="32"/>
          <w:lang w:val="en-US" w:eastAsia="zh-CN"/>
        </w:rPr>
        <w:t>222</w:t>
      </w:r>
      <w:r>
        <w:rPr>
          <w:rFonts w:hint="default" w:ascii="Times New Roman" w:hAnsi="Times New Roman" w:cs="Times New Roman"/>
          <w:kern w:val="0"/>
          <w:szCs w:val="32"/>
          <w:lang w:val="en-US" w:eastAsia="zh-CN"/>
        </w:rPr>
        <w:t>万元。</w:t>
      </w:r>
    </w:p>
    <w:p w14:paraId="72EB7C15">
      <w:pPr>
        <w:spacing w:line="594" w:lineRule="exact"/>
        <w:ind w:firstLine="640" w:firstLineChars="200"/>
        <w:rPr>
          <w:rFonts w:hint="default" w:ascii="Times New Roman" w:hAnsi="Times New Roman" w:cs="Times New Roman"/>
          <w:kern w:val="0"/>
          <w:szCs w:val="32"/>
          <w:lang w:val="en-US" w:eastAsia="zh-CN"/>
        </w:rPr>
      </w:pPr>
      <w:r>
        <w:rPr>
          <w:rFonts w:hint="default" w:ascii="Times New Roman" w:hAnsi="Times New Roman" w:cs="Times New Roman"/>
          <w:kern w:val="0"/>
          <w:szCs w:val="32"/>
          <w:lang w:val="en-US" w:eastAsia="zh-CN"/>
        </w:rPr>
        <w:t>2. 共修建林道</w:t>
      </w:r>
      <w:r>
        <w:rPr>
          <w:rFonts w:hint="eastAsia" w:ascii="Times New Roman" w:hAnsi="Times New Roman" w:cs="Times New Roman"/>
          <w:kern w:val="0"/>
          <w:szCs w:val="32"/>
          <w:lang w:val="en-US" w:eastAsia="zh-CN"/>
        </w:rPr>
        <w:t>373.11</w:t>
      </w:r>
      <w:r>
        <w:rPr>
          <w:rFonts w:hint="default" w:ascii="Times New Roman" w:hAnsi="Times New Roman" w:cs="Times New Roman"/>
          <w:kern w:val="0"/>
          <w:szCs w:val="32"/>
          <w:lang w:val="en-US" w:eastAsia="zh-CN"/>
        </w:rPr>
        <w:t>公里，按每公里6000元予以奖补，共奖补</w:t>
      </w:r>
      <w:r>
        <w:rPr>
          <w:rFonts w:hint="eastAsia" w:ascii="Times New Roman" w:hAnsi="Times New Roman" w:cs="Times New Roman"/>
          <w:kern w:val="0"/>
          <w:szCs w:val="32"/>
          <w:lang w:val="en-US" w:eastAsia="zh-CN"/>
        </w:rPr>
        <w:t>223.866</w:t>
      </w:r>
      <w:r>
        <w:rPr>
          <w:rFonts w:hint="default" w:ascii="Times New Roman" w:hAnsi="Times New Roman" w:cs="Times New Roman"/>
          <w:kern w:val="0"/>
          <w:szCs w:val="32"/>
          <w:lang w:val="en-US" w:eastAsia="zh-CN"/>
        </w:rPr>
        <w:t>万元。</w:t>
      </w:r>
    </w:p>
    <w:p w14:paraId="4BB4B29F">
      <w:pPr>
        <w:spacing w:line="594" w:lineRule="exact"/>
        <w:ind w:firstLine="640" w:firstLineChars="200"/>
        <w:rPr>
          <w:rFonts w:hint="default"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3</w:t>
      </w:r>
      <w:r>
        <w:rPr>
          <w:rFonts w:hint="default" w:ascii="Times New Roman" w:hAnsi="Times New Roman" w:cs="Times New Roman"/>
          <w:kern w:val="0"/>
          <w:szCs w:val="32"/>
          <w:lang w:val="en-US" w:eastAsia="zh-CN"/>
        </w:rPr>
        <w:t>.</w:t>
      </w:r>
      <w:r>
        <w:rPr>
          <w:rFonts w:hint="eastAsia" w:ascii="Times New Roman" w:hAnsi="Times New Roman" w:cs="Times New Roman"/>
          <w:kern w:val="0"/>
          <w:szCs w:val="32"/>
          <w:lang w:val="en-US" w:eastAsia="zh-CN"/>
        </w:rPr>
        <w:t xml:space="preserve"> </w:t>
      </w:r>
      <w:r>
        <w:rPr>
          <w:rFonts w:hint="default" w:ascii="Times New Roman" w:hAnsi="Times New Roman" w:cs="Times New Roman"/>
          <w:kern w:val="0"/>
          <w:szCs w:val="32"/>
          <w:lang w:val="en-US" w:eastAsia="zh-CN"/>
        </w:rPr>
        <w:t>新建标准化笋榨，每个3000元，共计</w:t>
      </w:r>
      <w:r>
        <w:rPr>
          <w:rFonts w:hint="eastAsia" w:ascii="Times New Roman" w:hAnsi="Times New Roman" w:cs="Times New Roman"/>
          <w:kern w:val="0"/>
          <w:szCs w:val="32"/>
          <w:lang w:val="en-US" w:eastAsia="zh-CN"/>
        </w:rPr>
        <w:t>448</w:t>
      </w:r>
      <w:r>
        <w:rPr>
          <w:rFonts w:hint="default" w:ascii="Times New Roman" w:hAnsi="Times New Roman" w:cs="Times New Roman"/>
          <w:kern w:val="0"/>
          <w:szCs w:val="32"/>
          <w:lang w:val="en-US" w:eastAsia="zh-CN"/>
        </w:rPr>
        <w:t>个，共奖补</w:t>
      </w:r>
      <w:r>
        <w:rPr>
          <w:rFonts w:hint="eastAsia" w:ascii="Times New Roman" w:hAnsi="Times New Roman" w:cs="Times New Roman"/>
          <w:kern w:val="0"/>
          <w:szCs w:val="32"/>
          <w:lang w:val="en-US" w:eastAsia="zh-CN"/>
        </w:rPr>
        <w:t>134.4</w:t>
      </w:r>
      <w:r>
        <w:rPr>
          <w:rFonts w:hint="default" w:ascii="Times New Roman" w:hAnsi="Times New Roman" w:cs="Times New Roman"/>
          <w:kern w:val="0"/>
          <w:szCs w:val="32"/>
          <w:lang w:val="en-US" w:eastAsia="zh-CN"/>
        </w:rPr>
        <w:t>万元。</w:t>
      </w:r>
    </w:p>
    <w:p w14:paraId="500F6A5A">
      <w:pPr>
        <w:spacing w:line="594" w:lineRule="exact"/>
        <w:ind w:firstLine="640" w:firstLineChars="200"/>
        <w:rPr>
          <w:rFonts w:hint="default"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4.</w:t>
      </w:r>
      <w:r>
        <w:rPr>
          <w:rFonts w:hint="default" w:ascii="Times New Roman" w:hAnsi="Times New Roman" w:cs="Times New Roman"/>
          <w:kern w:val="0"/>
          <w:szCs w:val="32"/>
          <w:lang w:val="en-US" w:eastAsia="zh-CN"/>
        </w:rPr>
        <w:t>鼓励A级景区提质升级（</w:t>
      </w:r>
      <w:r>
        <w:rPr>
          <w:rFonts w:hint="eastAsia" w:ascii="Times New Roman" w:hAnsi="Times New Roman" w:cs="Times New Roman"/>
          <w:kern w:val="0"/>
          <w:szCs w:val="32"/>
          <w:lang w:val="en-US" w:eastAsia="zh-CN"/>
        </w:rPr>
        <w:t>178</w:t>
      </w:r>
      <w:r>
        <w:rPr>
          <w:rFonts w:hint="default" w:ascii="Times New Roman" w:hAnsi="Times New Roman" w:cs="Times New Roman"/>
          <w:kern w:val="0"/>
          <w:szCs w:val="32"/>
          <w:lang w:val="en-US" w:eastAsia="zh-CN"/>
        </w:rPr>
        <w:t>万元）</w:t>
      </w:r>
      <w:r>
        <w:rPr>
          <w:rFonts w:hint="eastAsia" w:ascii="Times New Roman" w:hAnsi="Times New Roman" w:cs="Times New Roman"/>
          <w:kern w:val="0"/>
          <w:szCs w:val="32"/>
          <w:lang w:val="en-US" w:eastAsia="zh-CN"/>
        </w:rPr>
        <w:t>，包括桃花江竹海景区获评国家4A级旅游景区（80万），浮邱山景区获评国家3A级旅游景区（45万元），莲花坪生态农业观光旅游区获评国家3A级旅游景区（45万元），竹乡旅游厕所1个（8万元）。</w:t>
      </w:r>
    </w:p>
    <w:p w14:paraId="2B0387E5">
      <w:pPr>
        <w:spacing w:line="594" w:lineRule="exact"/>
        <w:ind w:firstLine="640" w:firstLineChars="200"/>
        <w:rPr>
          <w:rFonts w:hint="default"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5</w:t>
      </w:r>
      <w:r>
        <w:rPr>
          <w:rFonts w:hint="default" w:ascii="Times New Roman" w:hAnsi="Times New Roman" w:cs="Times New Roman"/>
          <w:kern w:val="0"/>
          <w:szCs w:val="32"/>
          <w:lang w:val="en-US" w:eastAsia="zh-CN"/>
        </w:rPr>
        <w:t xml:space="preserve">. </w:t>
      </w:r>
      <w:r>
        <w:rPr>
          <w:rFonts w:hint="default" w:ascii="Times New Roman" w:hAnsi="Times New Roman" w:cs="Times New Roman"/>
          <w:kern w:val="0"/>
          <w:szCs w:val="32"/>
          <w:lang w:eastAsia="zh-CN"/>
        </w:rPr>
        <w:t>宣传引导工作经费</w:t>
      </w:r>
      <w:r>
        <w:rPr>
          <w:rFonts w:hint="eastAsia" w:ascii="Times New Roman" w:hAnsi="Times New Roman" w:cs="Times New Roman"/>
          <w:kern w:val="0"/>
          <w:szCs w:val="32"/>
          <w:lang w:val="en-US" w:eastAsia="zh-CN"/>
        </w:rPr>
        <w:t>94</w:t>
      </w:r>
      <w:r>
        <w:rPr>
          <w:rFonts w:hint="default" w:ascii="Times New Roman" w:hAnsi="Times New Roman" w:cs="Times New Roman"/>
          <w:kern w:val="0"/>
          <w:szCs w:val="32"/>
          <w:lang w:eastAsia="zh-CN"/>
        </w:rPr>
        <w:t>万元</w:t>
      </w:r>
      <w:r>
        <w:rPr>
          <w:rFonts w:hint="default" w:ascii="Times New Roman" w:hAnsi="Times New Roman" w:cs="Times New Roman"/>
          <w:kern w:val="0"/>
          <w:szCs w:val="32"/>
          <w:lang w:val="en-US" w:eastAsia="zh-CN"/>
        </w:rPr>
        <w:t>。</w:t>
      </w:r>
    </w:p>
    <w:p w14:paraId="6E8E7A33">
      <w:pPr>
        <w:spacing w:line="594" w:lineRule="exact"/>
        <w:ind w:firstLine="643" w:firstLineChars="200"/>
        <w:rPr>
          <w:rFonts w:hint="eastAsia" w:ascii="Times New Roman" w:hAnsi="Times New Roman" w:cs="Times New Roman"/>
          <w:sz w:val="32"/>
          <w:szCs w:val="32"/>
          <w:lang w:val="en-US" w:eastAsia="zh-CN"/>
        </w:rPr>
      </w:pPr>
      <w:r>
        <w:rPr>
          <w:rFonts w:hint="default" w:ascii="Times New Roman" w:hAnsi="Times New Roman" w:cs="Times New Roman"/>
          <w:b/>
          <w:bCs/>
          <w:lang w:val="en-US" w:eastAsia="zh-CN"/>
        </w:rPr>
        <w:t>（二）</w:t>
      </w:r>
      <w:r>
        <w:rPr>
          <w:rFonts w:hint="eastAsia" w:ascii="Times New Roman" w:hAnsi="Times New Roman" w:cs="Times New Roman"/>
          <w:sz w:val="32"/>
          <w:szCs w:val="32"/>
          <w:lang w:val="en-US" w:eastAsia="zh-CN"/>
        </w:rPr>
        <w:t>2024年“以竹代塑”产业高质量发展推进会专项经费</w:t>
      </w:r>
    </w:p>
    <w:p w14:paraId="21B102CC">
      <w:pPr>
        <w:spacing w:line="594" w:lineRule="exact"/>
        <w:ind w:firstLine="640" w:firstLineChars="200"/>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具体情况详见下表：</w:t>
      </w:r>
    </w:p>
    <w:p w14:paraId="3A0DC77E">
      <w:pPr>
        <w:spacing w:line="594" w:lineRule="exact"/>
        <w:rPr>
          <w:rFonts w:hint="eastAsia" w:ascii="Times New Roman" w:hAnsi="Times New Roman" w:cs="Times New Roman"/>
          <w:sz w:val="32"/>
          <w:szCs w:val="32"/>
          <w:lang w:val="en-US" w:eastAsia="zh-CN"/>
        </w:rPr>
      </w:pPr>
    </w:p>
    <w:tbl>
      <w:tblPr>
        <w:tblStyle w:val="6"/>
        <w:tblW w:w="95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3915"/>
        <w:gridCol w:w="1740"/>
        <w:gridCol w:w="1575"/>
        <w:gridCol w:w="1417"/>
      </w:tblGrid>
      <w:tr w14:paraId="749A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47" w:type="dxa"/>
            <w:gridSpan w:val="5"/>
            <w:tcBorders>
              <w:top w:val="nil"/>
              <w:left w:val="nil"/>
              <w:bottom w:val="nil"/>
              <w:right w:val="nil"/>
            </w:tcBorders>
            <w:shd w:val="clear" w:color="auto" w:fill="auto"/>
            <w:vAlign w:val="center"/>
          </w:tcPr>
          <w:p w14:paraId="5474658C">
            <w:pPr>
              <w:keepNext w:val="0"/>
              <w:keepLines w:val="0"/>
              <w:widowControl/>
              <w:suppressLineNumbers w:val="0"/>
              <w:jc w:val="left"/>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附件2</w:t>
            </w:r>
          </w:p>
        </w:tc>
      </w:tr>
      <w:tr w14:paraId="1BAE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47" w:type="dxa"/>
            <w:gridSpan w:val="5"/>
            <w:tcBorders>
              <w:top w:val="single" w:color="000000" w:sz="8" w:space="0"/>
              <w:left w:val="single" w:color="000000" w:sz="8" w:space="0"/>
              <w:bottom w:val="nil"/>
              <w:right w:val="single" w:color="000000" w:sz="8" w:space="0"/>
            </w:tcBorders>
            <w:shd w:val="clear" w:color="auto" w:fill="auto"/>
            <w:vAlign w:val="center"/>
          </w:tcPr>
          <w:p w14:paraId="06E6A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i w:val="0"/>
                <w:iCs w:val="0"/>
                <w:color w:val="000000"/>
                <w:kern w:val="0"/>
                <w:sz w:val="32"/>
                <w:szCs w:val="32"/>
                <w:u w:val="none"/>
                <w:lang w:val="en-US" w:eastAsia="zh-CN" w:bidi="ar"/>
              </w:rPr>
              <w:t>2024</w:t>
            </w:r>
            <w:r>
              <w:rPr>
                <w:rStyle w:val="11"/>
                <w:rFonts w:hint="eastAsia"/>
                <w:lang w:val="en-US" w:eastAsia="zh-CN" w:bidi="ar"/>
              </w:rPr>
              <w:t>年“以竹代塑”产业高质量发展推进会费用明细</w:t>
            </w:r>
          </w:p>
        </w:tc>
      </w:tr>
      <w:tr w14:paraId="78A1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12C7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序号</w:t>
            </w:r>
          </w:p>
        </w:tc>
        <w:tc>
          <w:tcPr>
            <w:tcW w:w="3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DC76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支出项目</w:t>
            </w:r>
          </w:p>
        </w:tc>
        <w:tc>
          <w:tcPr>
            <w:tcW w:w="1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6E59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金额(元)</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F3BA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经手</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5A84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备注</w:t>
            </w:r>
          </w:p>
        </w:tc>
      </w:tr>
      <w:tr w14:paraId="1D24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3DCCDD0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13B7A79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嘉宾接送公车派遣(机关事务中心)</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3F68C84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62577.5</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2F27D9F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李照宇</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2238EBE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p>
        </w:tc>
      </w:tr>
      <w:tr w14:paraId="4719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51C2F05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421383D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实地观摩用车以及酒店摆渡车(湘、汽运租车)</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2667694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8000</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4A04131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李照宇</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6B6962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7CCF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78FD237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04D0EBF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华美达酒店餐饮、会场租赁</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1F76B39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149395</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3A0D73F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李照宇</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4FA91E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66E2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0E09124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100E1F2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梦宜酒店(参展企业、记者住宿)</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560002D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29328</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50DF5AA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李照宇</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3771DCB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19C5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50DB816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7DF2AE8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接站志愿者、司机33人误餐补助</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1E288E6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1400</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6E90061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李照宇</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5CA335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原预算3300元实际发放1400元</w:t>
            </w:r>
          </w:p>
        </w:tc>
      </w:tr>
      <w:tr w14:paraId="58E3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5305D00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6</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127E1B1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随车志愿者化妆费(6人，68元/人)</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511C6F4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408</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4263A29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李照宇</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70C918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7B17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1E567D5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7</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7F8E5B6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资料袋、工作证、展台租赁等(竹玩)</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389B42D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33300</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0522218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黄霖</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607BE4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2782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49E64AE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8</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4C0844A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会务、展位的布置及室内、户外广告等 (广告公司)</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3381ED9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132448</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6DD0501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黄霖</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2FE6F9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4F7C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31C10C9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9</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645B6B8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直播平台费(世界竹藤通讯)</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40D661D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10000</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0BC0E08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黄霖</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321231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78E0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4158AA5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10</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5348D8A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上级媒体宣传</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69C90C8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14000</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6F4C9CC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黄霖</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693002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04E6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29B08FE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11</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2F904B6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直播、视频剪辑等(融媒体中心)</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198DBDC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20000</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1D161EB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黄霖</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6CFC58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72F3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0EB2F40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12</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4E02B292">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礼仪费用(8×300)</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1C96637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2400</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07DD83A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黄霖</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1E1559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7226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5BE05A2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13</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1B25316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摊位租赁费</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1193E15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4500</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3D38F64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尹进</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10E312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5E4E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42FA811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14</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652719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广告公司</w:t>
            </w:r>
            <w:r>
              <w:rPr>
                <w:rFonts w:hint="eastAsia" w:ascii="Times New Roman" w:hAnsi="Times New Roman" w:cs="Times New Roman"/>
                <w:i w:val="0"/>
                <w:iCs w:val="0"/>
                <w:color w:val="000000"/>
                <w:kern w:val="0"/>
                <w:sz w:val="24"/>
                <w:szCs w:val="24"/>
                <w:u w:val="none"/>
                <w:lang w:val="en-US" w:eastAsia="zh-CN" w:bidi="ar"/>
              </w:rPr>
              <w:t>ppt</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389C6C1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3825</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5D67445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尹进</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2B1883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18A3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1A22148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15</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703B63A9">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加班餐费(专班18天，12人)</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20D9D65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3770</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494BA9C3">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尹进</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3EB7BF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28C8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2E185261">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18</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726743E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矿泉水(68件，34元/件)</w:t>
            </w: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4A32766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2312</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5035D6F8">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詹艳红</w:t>
            </w:r>
          </w:p>
        </w:tc>
        <w:tc>
          <w:tcPr>
            <w:tcW w:w="1417" w:type="dxa"/>
            <w:tcBorders>
              <w:top w:val="nil"/>
              <w:left w:val="single" w:color="000000" w:sz="8" w:space="0"/>
              <w:bottom w:val="single" w:color="000000" w:sz="8" w:space="0"/>
              <w:right w:val="single" w:color="000000" w:sz="8" w:space="0"/>
            </w:tcBorders>
            <w:shd w:val="clear" w:color="auto" w:fill="auto"/>
            <w:vAlign w:val="center"/>
          </w:tcPr>
          <w:p w14:paraId="30488A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3455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0" w:type="dxa"/>
            <w:tcBorders>
              <w:top w:val="nil"/>
              <w:left w:val="single" w:color="000000" w:sz="8" w:space="0"/>
              <w:bottom w:val="single" w:color="000000" w:sz="8" w:space="0"/>
              <w:right w:val="single" w:color="000000" w:sz="8" w:space="0"/>
            </w:tcBorders>
            <w:shd w:val="clear" w:color="auto" w:fill="auto"/>
            <w:vAlign w:val="center"/>
          </w:tcPr>
          <w:p w14:paraId="3D42AB54">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合计</w:t>
            </w:r>
          </w:p>
        </w:tc>
        <w:tc>
          <w:tcPr>
            <w:tcW w:w="3915" w:type="dxa"/>
            <w:tcBorders>
              <w:top w:val="nil"/>
              <w:left w:val="single" w:color="000000" w:sz="8" w:space="0"/>
              <w:bottom w:val="single" w:color="000000" w:sz="8" w:space="0"/>
              <w:right w:val="single" w:color="000000" w:sz="8" w:space="0"/>
            </w:tcBorders>
            <w:shd w:val="clear" w:color="auto" w:fill="auto"/>
            <w:vAlign w:val="center"/>
          </w:tcPr>
          <w:p w14:paraId="58C1C2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740" w:type="dxa"/>
            <w:tcBorders>
              <w:top w:val="nil"/>
              <w:left w:val="single" w:color="000000" w:sz="8" w:space="0"/>
              <w:bottom w:val="single" w:color="000000" w:sz="8" w:space="0"/>
              <w:right w:val="single" w:color="000000" w:sz="8" w:space="0"/>
            </w:tcBorders>
            <w:shd w:val="clear" w:color="auto" w:fill="auto"/>
            <w:vAlign w:val="center"/>
          </w:tcPr>
          <w:p w14:paraId="104EDAD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477663.5</w:t>
            </w:r>
          </w:p>
        </w:tc>
        <w:tc>
          <w:tcPr>
            <w:tcW w:w="1575" w:type="dxa"/>
            <w:tcBorders>
              <w:top w:val="nil"/>
              <w:left w:val="single" w:color="000000" w:sz="8" w:space="0"/>
              <w:bottom w:val="single" w:color="000000" w:sz="8" w:space="0"/>
              <w:right w:val="single" w:color="000000" w:sz="8" w:space="0"/>
            </w:tcBorders>
            <w:shd w:val="clear" w:color="auto" w:fill="auto"/>
            <w:vAlign w:val="center"/>
          </w:tcPr>
          <w:p w14:paraId="3DEB23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417" w:type="dxa"/>
            <w:tcBorders>
              <w:top w:val="nil"/>
              <w:left w:val="single" w:color="000000" w:sz="8" w:space="0"/>
              <w:bottom w:val="single" w:color="000000" w:sz="8" w:space="0"/>
              <w:right w:val="single" w:color="000000" w:sz="8" w:space="0"/>
            </w:tcBorders>
            <w:shd w:val="clear" w:color="auto" w:fill="auto"/>
            <w:noWrap/>
            <w:vAlign w:val="center"/>
          </w:tcPr>
          <w:p w14:paraId="5D8AE4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bl>
    <w:p w14:paraId="31A0CDB2">
      <w:pPr>
        <w:spacing w:line="594" w:lineRule="exact"/>
        <w:ind w:firstLine="640" w:firstLineChars="200"/>
        <w:rPr>
          <w:rFonts w:hint="eastAsia" w:ascii="Times New Roman" w:hAnsi="Times New Roman" w:cs="Times New Roman"/>
          <w:sz w:val="32"/>
          <w:szCs w:val="32"/>
          <w:lang w:val="en-US" w:eastAsia="zh-CN"/>
        </w:rPr>
      </w:pPr>
    </w:p>
    <w:p w14:paraId="6158592A">
      <w:pPr>
        <w:spacing w:line="594" w:lineRule="exact"/>
        <w:ind w:firstLine="640" w:firstLineChars="200"/>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四、项目绩效情况分析</w:t>
      </w:r>
    </w:p>
    <w:p w14:paraId="5973546F">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lang w:eastAsia="zh-CN"/>
        </w:rPr>
        <w:t>（</w:t>
      </w:r>
      <w:r>
        <w:rPr>
          <w:rFonts w:hint="default" w:ascii="Times New Roman" w:hAnsi="Times New Roman" w:cs="Times New Roman"/>
          <w:kern w:val="0"/>
          <w:szCs w:val="32"/>
          <w:lang w:val="en-US" w:eastAsia="zh-CN"/>
        </w:rPr>
        <w:t>1</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竹旅文体康融合发展奖励资金</w:t>
      </w:r>
      <w:r>
        <w:rPr>
          <w:rFonts w:hint="default" w:ascii="Times New Roman" w:hAnsi="Times New Roman" w:cs="Times New Roman"/>
          <w:kern w:val="0"/>
          <w:szCs w:val="32"/>
          <w:lang w:eastAsia="zh-CN"/>
        </w:rPr>
        <w:t>项目</w:t>
      </w:r>
      <w:r>
        <w:rPr>
          <w:rFonts w:hint="eastAsia" w:ascii="Times New Roman" w:hAnsi="Times New Roman" w:cs="Times New Roman"/>
          <w:kern w:val="0"/>
          <w:szCs w:val="32"/>
          <w:lang w:eastAsia="zh-CN"/>
        </w:rPr>
        <w:t>及</w:t>
      </w:r>
      <w:r>
        <w:rPr>
          <w:rFonts w:hint="eastAsia" w:ascii="Times New Roman" w:hAnsi="Times New Roman" w:cs="Times New Roman"/>
          <w:lang w:val="en-US" w:eastAsia="zh-CN"/>
        </w:rPr>
        <w:t>竹产业高质量发展县专项资金</w:t>
      </w:r>
      <w:r>
        <w:rPr>
          <w:rFonts w:hint="default" w:ascii="Times New Roman" w:hAnsi="Times New Roman" w:cs="Times New Roman"/>
          <w:kern w:val="0"/>
          <w:szCs w:val="32"/>
        </w:rPr>
        <w:t>：</w:t>
      </w:r>
    </w:p>
    <w:p w14:paraId="6CC15D3F">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竹产业发展项目实施后，林道修建实际完成</w:t>
      </w:r>
      <w:r>
        <w:rPr>
          <w:rFonts w:hint="eastAsia" w:ascii="Times New Roman" w:hAnsi="Times New Roman" w:cs="Times New Roman"/>
          <w:kern w:val="0"/>
          <w:szCs w:val="32"/>
          <w:lang w:val="en-US" w:eastAsia="zh-CN"/>
        </w:rPr>
        <w:t>373.11</w:t>
      </w:r>
      <w:r>
        <w:rPr>
          <w:rFonts w:hint="default" w:ascii="Times New Roman" w:hAnsi="Times New Roman" w:cs="Times New Roman"/>
          <w:kern w:val="0"/>
          <w:szCs w:val="32"/>
        </w:rPr>
        <w:t>公里，据估算，采伐的竹材，如果肩挑的距离为30米，竹农基本无利可图，林道修建后，能够将竹材滑到距离林道30米以内的范围的竹林内，实现有效益经营。以1公里林道带动100亩竹林计算，实际完成的林道可带动</w:t>
      </w:r>
      <w:r>
        <w:rPr>
          <w:rFonts w:hint="eastAsia" w:ascii="Times New Roman" w:hAnsi="Times New Roman" w:cs="Times New Roman"/>
          <w:kern w:val="0"/>
          <w:szCs w:val="32"/>
          <w:lang w:val="en-US" w:eastAsia="zh-CN"/>
        </w:rPr>
        <w:t>37311</w:t>
      </w:r>
      <w:r>
        <w:rPr>
          <w:rFonts w:hint="default" w:ascii="Times New Roman" w:hAnsi="Times New Roman" w:cs="Times New Roman"/>
          <w:kern w:val="0"/>
          <w:szCs w:val="32"/>
        </w:rPr>
        <w:t>亩竹林的经营，以每亩新增收益100元计算，每年可为林农增收</w:t>
      </w:r>
      <w:r>
        <w:rPr>
          <w:rFonts w:hint="eastAsia" w:ascii="Times New Roman" w:hAnsi="Times New Roman" w:cs="Times New Roman"/>
          <w:kern w:val="0"/>
          <w:szCs w:val="32"/>
          <w:lang w:val="en-US" w:eastAsia="zh-CN"/>
        </w:rPr>
        <w:t>373.11</w:t>
      </w:r>
      <w:r>
        <w:rPr>
          <w:rFonts w:hint="default" w:ascii="Times New Roman" w:hAnsi="Times New Roman" w:cs="Times New Roman"/>
          <w:kern w:val="0"/>
          <w:szCs w:val="32"/>
        </w:rPr>
        <w:t>万元。</w:t>
      </w:r>
      <w:r>
        <w:rPr>
          <w:rFonts w:hint="default" w:ascii="Times New Roman" w:hAnsi="Times New Roman" w:cs="Times New Roman"/>
          <w:kern w:val="0"/>
          <w:szCs w:val="32"/>
          <w:lang w:eastAsia="zh-CN"/>
        </w:rPr>
        <w:t>新建</w:t>
      </w:r>
      <w:r>
        <w:rPr>
          <w:rFonts w:hint="default" w:ascii="Times New Roman" w:hAnsi="Times New Roman" w:cs="Times New Roman"/>
          <w:kern w:val="0"/>
          <w:szCs w:val="32"/>
        </w:rPr>
        <w:t>笋竹两用林示范基地共计</w:t>
      </w:r>
      <w:r>
        <w:rPr>
          <w:rFonts w:hint="eastAsia" w:ascii="Times New Roman" w:hAnsi="Times New Roman" w:cs="Times New Roman"/>
          <w:kern w:val="0"/>
          <w:szCs w:val="32"/>
          <w:lang w:val="en-US" w:eastAsia="zh-CN"/>
        </w:rPr>
        <w:t>11100</w:t>
      </w:r>
      <w:r>
        <w:rPr>
          <w:rFonts w:hint="default" w:ascii="Times New Roman" w:hAnsi="Times New Roman" w:cs="Times New Roman"/>
          <w:kern w:val="0"/>
          <w:szCs w:val="32"/>
        </w:rPr>
        <w:t>亩。</w:t>
      </w:r>
    </w:p>
    <w:p w14:paraId="11399F29">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项目实施后，对发展竹产业，促进资源增殖，提高竹资源附加值，改善人们食物结构，提高人们健康水平，满足人们生活需求，增加国民经济收入等，都具有十分重要的意义。</w:t>
      </w:r>
    </w:p>
    <w:p w14:paraId="3797CC8D">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通过</w:t>
      </w:r>
      <w:r>
        <w:rPr>
          <w:rFonts w:hint="eastAsia" w:ascii="Times New Roman" w:hAnsi="Times New Roman" w:cs="Times New Roman"/>
          <w:kern w:val="0"/>
          <w:szCs w:val="32"/>
          <w:lang w:eastAsia="zh-CN"/>
        </w:rPr>
        <w:t>竹旅文体康产业融合发展奖补资金</w:t>
      </w:r>
      <w:r>
        <w:rPr>
          <w:rFonts w:hint="default" w:ascii="Times New Roman" w:hAnsi="Times New Roman" w:cs="Times New Roman"/>
          <w:kern w:val="0"/>
          <w:szCs w:val="32"/>
        </w:rPr>
        <w:t>项目的实施，榨笋奖补项目能极大鼓舞竹笋加工者的积极性，进一步带动竹笋培育，夯实全县竹笋产业发展的基础。林道修建，能极大地提升我县竹林的可及度，大幅降低所在竹林的竹材售卖时的运输成本。</w:t>
      </w:r>
    </w:p>
    <w:p w14:paraId="489DE4B7">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项目实施使桃江县的竹产业总产值在全省领先，又成功跃上了新台阶，竹笋是可再生资源，通过合理实时采挖，可促进竹笋当年再生，其效益是长期性的，同时采挖竹笋可疏松土壤，垦复竹林，净化山中污染物，保持水土肥不流失，生态效益十分显著。较好地促进了地方经济和社会的可持续发展，持续提高了当地居民的生存环境质量。</w:t>
      </w:r>
    </w:p>
    <w:p w14:paraId="412D58C0">
      <w:pPr>
        <w:numPr>
          <w:ilvl w:val="0"/>
          <w:numId w:val="8"/>
        </w:numPr>
        <w:spacing w:line="594" w:lineRule="exact"/>
        <w:ind w:firstLine="640" w:firstLineChars="200"/>
        <w:rPr>
          <w:rFonts w:hint="default" w:ascii="Times New Roman" w:hAnsi="Times New Roman" w:cs="Times New Roman"/>
          <w:kern w:val="0"/>
          <w:szCs w:val="32"/>
        </w:rPr>
      </w:pPr>
      <w:r>
        <w:rPr>
          <w:rFonts w:hint="eastAsia" w:ascii="Times New Roman" w:hAnsi="Times New Roman" w:cs="Times New Roman"/>
          <w:lang w:val="en-US" w:eastAsia="zh-CN"/>
        </w:rPr>
        <w:t>2024年“以竹代塑”产业高质量发展推进专项经费</w:t>
      </w:r>
      <w:r>
        <w:rPr>
          <w:rFonts w:hint="default" w:ascii="Times New Roman" w:hAnsi="Times New Roman" w:cs="Times New Roman"/>
          <w:kern w:val="0"/>
          <w:szCs w:val="32"/>
        </w:rPr>
        <w:t>：</w:t>
      </w:r>
    </w:p>
    <w:p w14:paraId="26332AD5">
      <w:pPr>
        <w:spacing w:line="594" w:lineRule="exact"/>
        <w:ind w:firstLine="640" w:firstLineChars="200"/>
        <w:rPr>
          <w:rFonts w:hint="eastAsia" w:ascii="Times New Roman" w:hAnsi="Times New Roman" w:cs="Times New Roman"/>
          <w:kern w:val="0"/>
          <w:szCs w:val="32"/>
          <w:lang w:eastAsia="zh-CN"/>
        </w:rPr>
      </w:pPr>
      <w:r>
        <w:rPr>
          <w:rFonts w:hint="eastAsia" w:ascii="Times New Roman" w:hAnsi="Times New Roman" w:cs="Times New Roman"/>
          <w:kern w:val="0"/>
          <w:szCs w:val="32"/>
          <w:lang w:eastAsia="zh-CN"/>
        </w:rPr>
        <w:t>桃江县召开“以竹代塑”高质量发展推进会，具有推动产业升级、促进绿色转型、增强区域竞争力等多重意义，为全国竹产业高质量发展提供了示范样本。</w:t>
      </w:r>
    </w:p>
    <w:p w14:paraId="52AD584B">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桃江县作为“十大竹乡”之一，通过政策解读和战略签约，将国家战略转化为地方行动，推动竹产业从粗放型向集约型、创新型转变。通过“以竹代塑”，竹产业不仅成为地方经济支柱，同时，竹林具有固碳、保水、护土等生态功能，促进了生态保护与经济发展的良性循环。</w:t>
      </w:r>
    </w:p>
    <w:p w14:paraId="5CFDEEF4">
      <w:pPr>
        <w:spacing w:line="594" w:lineRule="exact"/>
        <w:ind w:firstLine="640" w:firstLineChars="200"/>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桃江县以竹产业为核心，融合文化、旅游、体育、大健康等产业，打造“竹特”旅游圈、“竹核”文化圈、“竹美”体验圈。推进会的举办进一步提升了桃江“楠竹之乡”的品牌影响力，推动了竹旅文体康产业的深度融合。</w:t>
      </w:r>
    </w:p>
    <w:p w14:paraId="53097CC3">
      <w:pPr>
        <w:spacing w:line="594" w:lineRule="exact"/>
        <w:ind w:firstLine="640" w:firstLineChars="200"/>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五、绩效评价工作开展情况</w:t>
      </w:r>
    </w:p>
    <w:p w14:paraId="41B1E21C">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（一）绩效评价目的</w:t>
      </w:r>
    </w:p>
    <w:p w14:paraId="6430F72E">
      <w:pPr>
        <w:spacing w:line="594" w:lineRule="exact"/>
        <w:ind w:firstLine="640" w:firstLineChars="200"/>
        <w:rPr>
          <w:rFonts w:hint="default" w:ascii="Times New Roman" w:hAnsi="Times New Roman" w:cs="Times New Roman"/>
        </w:rPr>
      </w:pPr>
      <w:r>
        <w:rPr>
          <w:rFonts w:hint="default" w:ascii="Times New Roman" w:hAnsi="Times New Roman" w:cs="Times New Roman"/>
        </w:rPr>
        <w:t>通过绩效评价全面分析该项目资金使用、管理和项目实施情况，进一步规范完善资金使用管理制度，切实提高财政资金的使用效益。</w:t>
      </w:r>
    </w:p>
    <w:p w14:paraId="3A02AD65">
      <w:pPr>
        <w:numPr>
          <w:ilvl w:val="0"/>
          <w:numId w:val="9"/>
        </w:num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绩效评价工作过程</w:t>
      </w:r>
    </w:p>
    <w:p w14:paraId="0D1ADF56">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根据上级有关的绩效评价有关文件精神，</w:t>
      </w:r>
      <w:r>
        <w:rPr>
          <w:rFonts w:hint="default" w:ascii="Times New Roman" w:hAnsi="Times New Roman" w:cs="Times New Roman"/>
          <w:kern w:val="0"/>
          <w:szCs w:val="32"/>
          <w:lang w:eastAsia="zh-CN"/>
        </w:rPr>
        <w:t>我中心</w:t>
      </w:r>
      <w:r>
        <w:rPr>
          <w:rFonts w:hint="default" w:ascii="Times New Roman" w:hAnsi="Times New Roman" w:cs="Times New Roman"/>
          <w:kern w:val="0"/>
          <w:szCs w:val="32"/>
        </w:rPr>
        <w:t>成立由</w:t>
      </w:r>
      <w:r>
        <w:rPr>
          <w:rFonts w:hint="default" w:ascii="Times New Roman" w:hAnsi="Times New Roman" w:cs="Times New Roman"/>
          <w:kern w:val="0"/>
          <w:szCs w:val="32"/>
          <w:lang w:eastAsia="zh-CN"/>
        </w:rPr>
        <w:t>党组</w:t>
      </w:r>
      <w:r>
        <w:rPr>
          <w:rFonts w:hint="eastAsia" w:ascii="Times New Roman" w:hAnsi="Times New Roman" w:cs="Times New Roman"/>
          <w:kern w:val="0"/>
          <w:szCs w:val="32"/>
          <w:lang w:eastAsia="zh-CN"/>
        </w:rPr>
        <w:t>副</w:t>
      </w:r>
      <w:r>
        <w:rPr>
          <w:rFonts w:hint="default" w:ascii="Times New Roman" w:hAnsi="Times New Roman" w:cs="Times New Roman"/>
          <w:kern w:val="0"/>
          <w:szCs w:val="32"/>
          <w:lang w:eastAsia="zh-CN"/>
        </w:rPr>
        <w:t>书记、</w:t>
      </w:r>
      <w:r>
        <w:rPr>
          <w:rFonts w:hint="eastAsia" w:ascii="Times New Roman" w:hAnsi="Times New Roman" w:cs="Times New Roman"/>
          <w:kern w:val="0"/>
          <w:szCs w:val="32"/>
          <w:lang w:eastAsia="zh-CN"/>
        </w:rPr>
        <w:t>副</w:t>
      </w:r>
      <w:r>
        <w:rPr>
          <w:rFonts w:hint="default" w:ascii="Times New Roman" w:hAnsi="Times New Roman" w:cs="Times New Roman"/>
          <w:kern w:val="0"/>
          <w:szCs w:val="32"/>
          <w:lang w:eastAsia="zh-CN"/>
        </w:rPr>
        <w:t>主任</w:t>
      </w:r>
      <w:r>
        <w:rPr>
          <w:rFonts w:hint="eastAsia" w:ascii="Times New Roman" w:hAnsi="Times New Roman" w:cs="Times New Roman"/>
          <w:kern w:val="0"/>
          <w:szCs w:val="32"/>
          <w:lang w:eastAsia="zh-CN"/>
        </w:rPr>
        <w:t>黄海龙</w:t>
      </w:r>
      <w:r>
        <w:rPr>
          <w:rFonts w:hint="default" w:ascii="Times New Roman" w:hAnsi="Times New Roman" w:cs="Times New Roman"/>
          <w:kern w:val="0"/>
          <w:szCs w:val="32"/>
        </w:rPr>
        <w:t>任组长的绩效工作领导小组，明确各自的工作职责，确定评价方案。</w:t>
      </w:r>
    </w:p>
    <w:p w14:paraId="293880F6">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绩效评价实施步骤：</w:t>
      </w:r>
    </w:p>
    <w:p w14:paraId="17FECB5B">
      <w:pPr>
        <w:numPr>
          <w:ilvl w:val="0"/>
          <w:numId w:val="10"/>
        </w:numPr>
        <w:spacing w:line="594" w:lineRule="exact"/>
        <w:ind w:firstLine="643" w:firstLineChars="200"/>
        <w:rPr>
          <w:rFonts w:hint="default" w:ascii="Times New Roman" w:hAnsi="Times New Roman" w:cs="Times New Roman"/>
          <w:b/>
          <w:bCs/>
          <w:kern w:val="0"/>
          <w:szCs w:val="32"/>
          <w:lang w:eastAsia="zh-CN"/>
        </w:rPr>
      </w:pPr>
      <w:r>
        <w:rPr>
          <w:rFonts w:hint="default" w:ascii="Times New Roman" w:hAnsi="Times New Roman" w:cs="Times New Roman"/>
          <w:b/>
          <w:bCs/>
          <w:kern w:val="0"/>
          <w:szCs w:val="32"/>
          <w:lang w:eastAsia="zh-CN"/>
        </w:rPr>
        <w:t>组织各股室召开会议，听取各项目的实施情况介绍。</w:t>
      </w:r>
    </w:p>
    <w:p w14:paraId="6C09700E">
      <w:pPr>
        <w:spacing w:line="594" w:lineRule="exact"/>
        <w:ind w:firstLine="643" w:firstLineChars="200"/>
        <w:rPr>
          <w:rFonts w:hint="default" w:ascii="Times New Roman" w:hAnsi="Times New Roman" w:cs="Times New Roman"/>
          <w:b/>
          <w:bCs/>
          <w:kern w:val="0"/>
          <w:szCs w:val="32"/>
          <w:lang w:eastAsia="zh-CN"/>
        </w:rPr>
      </w:pPr>
      <w:r>
        <w:rPr>
          <w:rFonts w:hint="default" w:ascii="Times New Roman" w:hAnsi="Times New Roman" w:cs="Times New Roman"/>
          <w:b/>
          <w:bCs/>
          <w:kern w:val="0"/>
          <w:szCs w:val="32"/>
          <w:lang w:val="en-US" w:eastAsia="zh-CN"/>
        </w:rPr>
        <w:t xml:space="preserve">2. </w:t>
      </w:r>
      <w:r>
        <w:rPr>
          <w:rFonts w:hint="default" w:ascii="Times New Roman" w:hAnsi="Times New Roman" w:cs="Times New Roman"/>
          <w:b/>
          <w:bCs/>
          <w:kern w:val="0"/>
          <w:szCs w:val="32"/>
          <w:lang w:eastAsia="zh-CN"/>
        </w:rPr>
        <w:t>收集资料。</w:t>
      </w:r>
    </w:p>
    <w:p w14:paraId="7EB04472">
      <w:pPr>
        <w:spacing w:line="594" w:lineRule="exact"/>
        <w:ind w:firstLine="643" w:firstLineChars="200"/>
        <w:rPr>
          <w:rFonts w:hint="default" w:ascii="Times New Roman" w:hAnsi="Times New Roman" w:cs="Times New Roman"/>
          <w:b/>
          <w:bCs/>
          <w:kern w:val="0"/>
          <w:szCs w:val="32"/>
          <w:lang w:eastAsia="zh-CN"/>
        </w:rPr>
      </w:pPr>
      <w:r>
        <w:rPr>
          <w:rFonts w:hint="default" w:ascii="Times New Roman" w:hAnsi="Times New Roman" w:cs="Times New Roman"/>
          <w:b/>
          <w:bCs/>
          <w:kern w:val="0"/>
          <w:szCs w:val="32"/>
          <w:lang w:val="en-US" w:eastAsia="zh-CN"/>
        </w:rPr>
        <w:t xml:space="preserve">3. </w:t>
      </w:r>
      <w:r>
        <w:rPr>
          <w:rFonts w:hint="default" w:ascii="Times New Roman" w:hAnsi="Times New Roman" w:cs="Times New Roman"/>
          <w:b/>
          <w:bCs/>
          <w:kern w:val="0"/>
          <w:szCs w:val="32"/>
          <w:lang w:eastAsia="zh-CN"/>
        </w:rPr>
        <w:t>现场查看，进行实地查看，调查走访，发放问卷调查。</w:t>
      </w:r>
    </w:p>
    <w:p w14:paraId="24C6139C">
      <w:pPr>
        <w:spacing w:line="594" w:lineRule="exact"/>
        <w:ind w:firstLine="643" w:firstLineChars="200"/>
        <w:rPr>
          <w:rFonts w:hint="default" w:ascii="Times New Roman" w:hAnsi="Times New Roman" w:cs="Times New Roman"/>
          <w:b/>
          <w:bCs/>
          <w:kern w:val="0"/>
          <w:szCs w:val="32"/>
          <w:lang w:eastAsia="zh-CN"/>
        </w:rPr>
      </w:pPr>
      <w:r>
        <w:rPr>
          <w:rFonts w:hint="default" w:ascii="Times New Roman" w:hAnsi="Times New Roman" w:cs="Times New Roman"/>
          <w:b/>
          <w:bCs/>
          <w:kern w:val="0"/>
          <w:szCs w:val="32"/>
          <w:lang w:val="en-US" w:eastAsia="zh-CN"/>
        </w:rPr>
        <w:t xml:space="preserve">4. </w:t>
      </w:r>
      <w:r>
        <w:rPr>
          <w:rFonts w:hint="default" w:ascii="Times New Roman" w:hAnsi="Times New Roman" w:cs="Times New Roman"/>
          <w:b/>
          <w:bCs/>
          <w:kern w:val="0"/>
          <w:szCs w:val="32"/>
          <w:lang w:eastAsia="zh-CN"/>
        </w:rPr>
        <w:t>得出评价结论，形成评价报告。</w:t>
      </w:r>
    </w:p>
    <w:p w14:paraId="2D35A192">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（三）评价结果</w:t>
      </w:r>
    </w:p>
    <w:p w14:paraId="0B2E40DE">
      <w:pPr>
        <w:spacing w:line="594"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通过项目的实施，</w:t>
      </w:r>
      <w:r>
        <w:rPr>
          <w:rFonts w:hint="default" w:ascii="Times New Roman" w:hAnsi="Times New Roman" w:cs="Times New Roman"/>
          <w:kern w:val="0"/>
          <w:szCs w:val="32"/>
          <w:lang w:eastAsia="zh-CN"/>
        </w:rPr>
        <w:t>大力促进了我县竹产业和村级集体经济的发展，为加快推进竹产业创新发展和巩固脱贫攻坚成果与乡村振兴有效衔接，提供了强有力的支持与保障。</w:t>
      </w:r>
    </w:p>
    <w:p w14:paraId="19D3EEDA">
      <w:pPr>
        <w:spacing w:line="594" w:lineRule="exact"/>
        <w:ind w:firstLine="640" w:firstLineChars="200"/>
        <w:rPr>
          <w:rFonts w:hint="default" w:ascii="Times New Roman" w:hAnsi="Times New Roman" w:eastAsia="黑体" w:cs="Times New Roman"/>
          <w:bCs/>
          <w:kern w:val="0"/>
          <w:szCs w:val="32"/>
        </w:rPr>
      </w:pPr>
      <w:r>
        <w:rPr>
          <w:rFonts w:hint="default" w:ascii="Times New Roman" w:hAnsi="Times New Roman" w:eastAsia="黑体" w:cs="Times New Roman"/>
          <w:bCs/>
          <w:kern w:val="0"/>
          <w:szCs w:val="32"/>
        </w:rPr>
        <w:t>六、其他需要说明的问题</w:t>
      </w:r>
    </w:p>
    <w:p w14:paraId="1FE91A24">
      <w:pPr>
        <w:spacing w:line="594" w:lineRule="exact"/>
        <w:ind w:firstLine="640" w:firstLineChars="200"/>
        <w:rPr>
          <w:rFonts w:hint="default" w:ascii="Times New Roman" w:hAnsi="Times New Roman" w:cs="Times New Roman"/>
        </w:rPr>
      </w:pPr>
      <w:r>
        <w:rPr>
          <w:rFonts w:hint="default" w:ascii="Times New Roman" w:hAnsi="Times New Roman" w:cs="Times New Roman"/>
        </w:rPr>
        <w:t>（一）后续工作计划</w:t>
      </w:r>
    </w:p>
    <w:p w14:paraId="28DBD01C">
      <w:pPr>
        <w:spacing w:line="594" w:lineRule="exact"/>
        <w:ind w:firstLine="640" w:firstLineChars="200"/>
        <w:rPr>
          <w:rFonts w:hint="default" w:ascii="Times New Roman" w:hAnsi="Times New Roman" w:cs="Times New Roman"/>
        </w:rPr>
      </w:pPr>
      <w:r>
        <w:rPr>
          <w:rFonts w:hint="default" w:ascii="Times New Roman" w:hAnsi="Times New Roman" w:cs="Times New Roman"/>
        </w:rPr>
        <w:t>出台促进竹产业创新发展的新的工作要点、奖励办法、基地建设标准、林道建设标准等一系列政策文件，明确任务分工，狠抓工作落实。着力推动资源提质增效，实施示范基地提升工程。着力推动规模高效发展，实施特色园区建设工程。着力推动产业深度融合，实施核心景区升级工程。</w:t>
      </w:r>
    </w:p>
    <w:p w14:paraId="713CB41E">
      <w:pPr>
        <w:spacing w:line="594" w:lineRule="exact"/>
        <w:ind w:firstLine="640" w:firstLineChars="200"/>
        <w:rPr>
          <w:rFonts w:hint="default" w:ascii="Times New Roman" w:hAnsi="Times New Roman" w:cs="Times New Roman"/>
        </w:rPr>
      </w:pPr>
      <w:r>
        <w:rPr>
          <w:rFonts w:hint="default" w:ascii="Times New Roman" w:hAnsi="Times New Roman" w:cs="Times New Roman"/>
        </w:rPr>
        <w:t>（二）主要经验做法、存在的问题和建议</w:t>
      </w:r>
    </w:p>
    <w:p w14:paraId="53465902">
      <w:pPr>
        <w:spacing w:line="594" w:lineRule="exact"/>
        <w:ind w:firstLine="640" w:firstLineChars="200"/>
        <w:rPr>
          <w:rFonts w:ascii="Arial" w:hAnsi="Arial" w:eastAsia="Arial" w:cs="Arial"/>
          <w:sz w:val="21"/>
          <w:szCs w:val="21"/>
        </w:rPr>
        <w:sectPr>
          <w:footerReference r:id="rId6" w:type="default"/>
          <w:pgSz w:w="11900" w:h="16832"/>
          <w:pgMar w:top="1871" w:right="1417" w:bottom="1616" w:left="1587" w:header="850" w:footer="1304" w:gutter="0"/>
          <w:pgNumType w:fmt="decimal"/>
          <w:cols w:space="0" w:num="1"/>
          <w:rtlGutter w:val="0"/>
          <w:docGrid w:linePitch="0" w:charSpace="0"/>
        </w:sectPr>
      </w:pPr>
      <w:r>
        <w:rPr>
          <w:rFonts w:hint="default" w:ascii="Times New Roman" w:hAnsi="Times New Roman" w:cs="Times New Roman"/>
          <w:lang w:eastAsia="zh-CN"/>
        </w:rPr>
        <w:t>笋竹产业基地与基础设施建设滞后，资源利用率低，采伐成本高，整体效益和林农收入普遍较低，林农增收难，积极性有待提高，生产技术落后，企业规模较小，市场拓展不够</w:t>
      </w:r>
      <w:r>
        <w:rPr>
          <w:rFonts w:hint="eastAsia" w:ascii="Times New Roman" w:hAnsi="Times New Roman" w:cs="Times New Roman"/>
          <w:lang w:eastAsia="zh-CN"/>
        </w:rPr>
        <w:t>。</w:t>
      </w:r>
    </w:p>
    <w:p w14:paraId="03CC14DE">
      <w:pPr>
        <w:widowControl w:val="0"/>
        <w:kinsoku/>
        <w:autoSpaceDE/>
        <w:autoSpaceDN/>
        <w:adjustRightInd/>
        <w:snapToGrid/>
        <w:spacing w:line="560" w:lineRule="exact"/>
        <w:jc w:val="left"/>
        <w:textAlignment w:val="auto"/>
        <w:rPr>
          <w:rFonts w:hint="default" w:ascii="Times New Roman" w:hAnsi="Times New Roman" w:eastAsia="黑体" w:cs="Times New Roman"/>
          <w:bCs/>
          <w:snapToGrid/>
          <w:color w:val="000000"/>
          <w:kern w:val="0"/>
          <w:sz w:val="32"/>
          <w:szCs w:val="32"/>
          <w:lang w:val="en-US" w:eastAsia="zh-CN"/>
        </w:rPr>
      </w:pPr>
      <w:r>
        <w:rPr>
          <w:rFonts w:ascii="Times New Roman" w:hAnsi="Times New Roman" w:eastAsia="黑体" w:cs="Times New Roman"/>
          <w:bCs/>
          <w:snapToGrid/>
          <w:color w:val="000000"/>
          <w:kern w:val="0"/>
          <w:sz w:val="32"/>
          <w:szCs w:val="32"/>
          <w:lang w:eastAsia="zh-CN"/>
        </w:rPr>
        <w:t>附件</w:t>
      </w:r>
      <w:r>
        <w:rPr>
          <w:rFonts w:hint="eastAsia" w:ascii="Times New Roman" w:hAnsi="Times New Roman" w:eastAsia="黑体" w:cs="Times New Roman"/>
          <w:bCs/>
          <w:snapToGrid/>
          <w:color w:val="000000"/>
          <w:kern w:val="0"/>
          <w:sz w:val="32"/>
          <w:szCs w:val="32"/>
          <w:lang w:val="en-US" w:eastAsia="zh-CN"/>
        </w:rPr>
        <w:t>5</w:t>
      </w:r>
    </w:p>
    <w:p w14:paraId="6E2AE9D1">
      <w:pPr>
        <w:kinsoku w:val="0"/>
        <w:autoSpaceDE w:val="0"/>
        <w:autoSpaceDN w:val="0"/>
        <w:adjustRightInd w:val="0"/>
        <w:snapToGrid w:val="0"/>
        <w:spacing w:before="171" w:line="219" w:lineRule="auto"/>
        <w:ind w:left="971"/>
        <w:jc w:val="left"/>
        <w:textAlignment w:val="baseline"/>
        <w:rPr>
          <w:rFonts w:ascii="宋体" w:hAnsi="宋体" w:eastAsia="宋体" w:cs="宋体"/>
          <w:snapToGrid w:val="0"/>
          <w:color w:val="000000"/>
          <w:kern w:val="0"/>
          <w:sz w:val="44"/>
          <w:szCs w:val="44"/>
          <w:lang w:val="en-US" w:eastAsia="en-US" w:bidi="ar-SA"/>
        </w:rPr>
      </w:pPr>
      <w:r>
        <w:rPr>
          <w:rFonts w:ascii="Times New Roman" w:hAnsi="Times New Roman" w:eastAsia="方正小标宋简体" w:cs="Times New Roman"/>
          <w:bCs/>
          <w:snapToGrid/>
          <w:color w:val="000000"/>
          <w:kern w:val="0"/>
          <w:sz w:val="44"/>
          <w:szCs w:val="44"/>
          <w:lang w:val="en-US" w:eastAsia="zh-CN" w:bidi="ar-SA"/>
        </w:rPr>
        <w:t>桃江县2024年度项目支出绩效自评表</w:t>
      </w:r>
    </w:p>
    <w:p w14:paraId="693EC617">
      <w:pPr>
        <w:widowControl/>
        <w:kinsoku w:val="0"/>
        <w:autoSpaceDE w:val="0"/>
        <w:autoSpaceDN w:val="0"/>
        <w:adjustRightInd w:val="0"/>
        <w:snapToGrid w:val="0"/>
        <w:spacing w:line="160" w:lineRule="exact"/>
        <w:jc w:val="left"/>
        <w:textAlignment w:val="baseline"/>
        <w:rPr>
          <w:rFonts w:ascii="Arial" w:hAnsi="Arial" w:eastAsia="Arial" w:cs="Arial"/>
          <w:snapToGrid w:val="0"/>
          <w:color w:val="000000"/>
          <w:kern w:val="0"/>
          <w:sz w:val="21"/>
          <w:szCs w:val="21"/>
          <w:lang w:eastAsia="en-US"/>
        </w:rPr>
      </w:pPr>
    </w:p>
    <w:tbl>
      <w:tblPr>
        <w:tblStyle w:val="9"/>
        <w:tblW w:w="97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1069"/>
        <w:gridCol w:w="929"/>
        <w:gridCol w:w="1557"/>
        <w:gridCol w:w="1093"/>
        <w:gridCol w:w="1067"/>
        <w:gridCol w:w="712"/>
        <w:gridCol w:w="921"/>
        <w:gridCol w:w="1372"/>
      </w:tblGrid>
      <w:tr w14:paraId="798A0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3012" w:type="dxa"/>
            <w:gridSpan w:val="3"/>
            <w:vAlign w:val="top"/>
          </w:tcPr>
          <w:p w14:paraId="0F983795">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项目支出名称</w:t>
            </w:r>
          </w:p>
        </w:tc>
        <w:tc>
          <w:tcPr>
            <w:tcW w:w="6722" w:type="dxa"/>
            <w:gridSpan w:val="6"/>
            <w:vAlign w:val="top"/>
          </w:tcPr>
          <w:p w14:paraId="72C5BD5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eastAsia="en-US"/>
              </w:rPr>
              <w:t>竹旅文体康产业融合发展奖补资金</w:t>
            </w:r>
          </w:p>
        </w:tc>
      </w:tr>
      <w:tr w14:paraId="630D7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014" w:type="dxa"/>
            <w:vAlign w:val="top"/>
          </w:tcPr>
          <w:p w14:paraId="221DB68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主管部门</w:t>
            </w:r>
          </w:p>
        </w:tc>
        <w:tc>
          <w:tcPr>
            <w:tcW w:w="4648" w:type="dxa"/>
            <w:gridSpan w:val="4"/>
            <w:vAlign w:val="top"/>
          </w:tcPr>
          <w:p w14:paraId="069D0F0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桃江县竹产业发展服务中心</w:t>
            </w:r>
          </w:p>
        </w:tc>
        <w:tc>
          <w:tcPr>
            <w:tcW w:w="1067" w:type="dxa"/>
            <w:vAlign w:val="top"/>
          </w:tcPr>
          <w:p w14:paraId="5443837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实施单位</w:t>
            </w:r>
          </w:p>
        </w:tc>
        <w:tc>
          <w:tcPr>
            <w:tcW w:w="3005" w:type="dxa"/>
            <w:gridSpan w:val="3"/>
            <w:vAlign w:val="top"/>
          </w:tcPr>
          <w:p w14:paraId="6E244EC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桃江县竹产业发展服务中心</w:t>
            </w:r>
          </w:p>
        </w:tc>
      </w:tr>
      <w:tr w14:paraId="07743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014" w:type="dxa"/>
            <w:vMerge w:val="restart"/>
            <w:tcBorders>
              <w:bottom w:val="nil"/>
            </w:tcBorders>
            <w:vAlign w:val="top"/>
          </w:tcPr>
          <w:p w14:paraId="0C9BF7C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15CC5C5C">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76CE6EE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56E839E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项目资金</w:t>
            </w:r>
          </w:p>
          <w:p w14:paraId="6521EAF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(万元)</w:t>
            </w:r>
          </w:p>
        </w:tc>
        <w:tc>
          <w:tcPr>
            <w:tcW w:w="1998" w:type="dxa"/>
            <w:gridSpan w:val="2"/>
            <w:vAlign w:val="top"/>
          </w:tcPr>
          <w:p w14:paraId="2FA190C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557" w:type="dxa"/>
            <w:vAlign w:val="top"/>
          </w:tcPr>
          <w:p w14:paraId="68D20ED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年初预算数</w:t>
            </w:r>
          </w:p>
        </w:tc>
        <w:tc>
          <w:tcPr>
            <w:tcW w:w="1093" w:type="dxa"/>
            <w:vAlign w:val="top"/>
          </w:tcPr>
          <w:p w14:paraId="78AE28F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全年预算数</w:t>
            </w:r>
          </w:p>
        </w:tc>
        <w:tc>
          <w:tcPr>
            <w:tcW w:w="1067" w:type="dxa"/>
            <w:vAlign w:val="top"/>
          </w:tcPr>
          <w:p w14:paraId="7B27AD2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全年执行数</w:t>
            </w:r>
          </w:p>
        </w:tc>
        <w:tc>
          <w:tcPr>
            <w:tcW w:w="712" w:type="dxa"/>
            <w:vAlign w:val="top"/>
          </w:tcPr>
          <w:p w14:paraId="41D7F07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分值</w:t>
            </w:r>
          </w:p>
        </w:tc>
        <w:tc>
          <w:tcPr>
            <w:tcW w:w="921" w:type="dxa"/>
            <w:vAlign w:val="top"/>
          </w:tcPr>
          <w:p w14:paraId="2A2A63D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执行率</w:t>
            </w:r>
          </w:p>
        </w:tc>
        <w:tc>
          <w:tcPr>
            <w:tcW w:w="1372" w:type="dxa"/>
            <w:vAlign w:val="top"/>
          </w:tcPr>
          <w:p w14:paraId="5FBE930C">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自评得分</w:t>
            </w:r>
          </w:p>
        </w:tc>
      </w:tr>
      <w:tr w14:paraId="1BB2F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014" w:type="dxa"/>
            <w:vMerge w:val="continue"/>
            <w:tcBorders>
              <w:top w:val="nil"/>
              <w:bottom w:val="nil"/>
            </w:tcBorders>
            <w:vAlign w:val="top"/>
          </w:tcPr>
          <w:p w14:paraId="63A3409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4893525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年度资金总额</w:t>
            </w:r>
          </w:p>
        </w:tc>
        <w:tc>
          <w:tcPr>
            <w:tcW w:w="1557" w:type="dxa"/>
            <w:vAlign w:val="top"/>
          </w:tcPr>
          <w:p w14:paraId="439DD298">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0</w:t>
            </w:r>
          </w:p>
        </w:tc>
        <w:tc>
          <w:tcPr>
            <w:tcW w:w="1093" w:type="dxa"/>
            <w:vAlign w:val="top"/>
          </w:tcPr>
          <w:p w14:paraId="26D41E80">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957.91</w:t>
            </w:r>
          </w:p>
        </w:tc>
        <w:tc>
          <w:tcPr>
            <w:tcW w:w="1067" w:type="dxa"/>
            <w:vAlign w:val="top"/>
          </w:tcPr>
          <w:p w14:paraId="224ADAB5">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957.91</w:t>
            </w:r>
          </w:p>
        </w:tc>
        <w:tc>
          <w:tcPr>
            <w:tcW w:w="712" w:type="dxa"/>
            <w:vAlign w:val="top"/>
          </w:tcPr>
          <w:p w14:paraId="4C8BCE3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10</w:t>
            </w:r>
          </w:p>
        </w:tc>
        <w:tc>
          <w:tcPr>
            <w:tcW w:w="921" w:type="dxa"/>
            <w:vAlign w:val="top"/>
          </w:tcPr>
          <w:p w14:paraId="636C374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100%</w:t>
            </w:r>
          </w:p>
        </w:tc>
        <w:tc>
          <w:tcPr>
            <w:tcW w:w="1372" w:type="dxa"/>
            <w:vAlign w:val="top"/>
          </w:tcPr>
          <w:p w14:paraId="5D2B281D">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10</w:t>
            </w:r>
          </w:p>
        </w:tc>
      </w:tr>
      <w:tr w14:paraId="2B39D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014" w:type="dxa"/>
            <w:vMerge w:val="continue"/>
            <w:tcBorders>
              <w:top w:val="nil"/>
              <w:bottom w:val="nil"/>
            </w:tcBorders>
            <w:vAlign w:val="top"/>
          </w:tcPr>
          <w:p w14:paraId="0DC89E05">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21C2264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其中：当年财政拨款</w:t>
            </w:r>
          </w:p>
        </w:tc>
        <w:tc>
          <w:tcPr>
            <w:tcW w:w="1557" w:type="dxa"/>
            <w:vAlign w:val="top"/>
          </w:tcPr>
          <w:p w14:paraId="4330EEF2">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93" w:type="dxa"/>
            <w:vAlign w:val="top"/>
          </w:tcPr>
          <w:p w14:paraId="2B0567B1">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957.91</w:t>
            </w:r>
          </w:p>
        </w:tc>
        <w:tc>
          <w:tcPr>
            <w:tcW w:w="1067" w:type="dxa"/>
            <w:vAlign w:val="top"/>
          </w:tcPr>
          <w:p w14:paraId="73BD1C6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712" w:type="dxa"/>
            <w:vAlign w:val="top"/>
          </w:tcPr>
          <w:p w14:paraId="4683D6E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921" w:type="dxa"/>
            <w:vAlign w:val="top"/>
          </w:tcPr>
          <w:p w14:paraId="249FA8F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372" w:type="dxa"/>
            <w:vAlign w:val="top"/>
          </w:tcPr>
          <w:p w14:paraId="0833BC4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r>
      <w:tr w14:paraId="17796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014" w:type="dxa"/>
            <w:vMerge w:val="continue"/>
            <w:tcBorders>
              <w:top w:val="nil"/>
              <w:bottom w:val="nil"/>
            </w:tcBorders>
            <w:vAlign w:val="top"/>
          </w:tcPr>
          <w:p w14:paraId="4F8DD2F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1480479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上年结转资金</w:t>
            </w:r>
          </w:p>
        </w:tc>
        <w:tc>
          <w:tcPr>
            <w:tcW w:w="1557" w:type="dxa"/>
            <w:vAlign w:val="top"/>
          </w:tcPr>
          <w:p w14:paraId="3D8EEE2C">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93" w:type="dxa"/>
            <w:vAlign w:val="top"/>
          </w:tcPr>
          <w:p w14:paraId="0E82AC36">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0</w:t>
            </w:r>
          </w:p>
        </w:tc>
        <w:tc>
          <w:tcPr>
            <w:tcW w:w="1067" w:type="dxa"/>
            <w:vAlign w:val="top"/>
          </w:tcPr>
          <w:p w14:paraId="7D2522E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712" w:type="dxa"/>
            <w:vAlign w:val="top"/>
          </w:tcPr>
          <w:p w14:paraId="777A18D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921" w:type="dxa"/>
            <w:vAlign w:val="top"/>
          </w:tcPr>
          <w:p w14:paraId="74D39C7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372" w:type="dxa"/>
            <w:vAlign w:val="top"/>
          </w:tcPr>
          <w:p w14:paraId="1B286EC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r>
      <w:tr w14:paraId="64678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1014" w:type="dxa"/>
            <w:vMerge w:val="continue"/>
            <w:tcBorders>
              <w:top w:val="nil"/>
            </w:tcBorders>
            <w:vAlign w:val="top"/>
          </w:tcPr>
          <w:p w14:paraId="7CB22702">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09925A6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其他资金</w:t>
            </w:r>
          </w:p>
        </w:tc>
        <w:tc>
          <w:tcPr>
            <w:tcW w:w="1557" w:type="dxa"/>
            <w:vAlign w:val="top"/>
          </w:tcPr>
          <w:p w14:paraId="2AA7B13C">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93" w:type="dxa"/>
            <w:vAlign w:val="top"/>
          </w:tcPr>
          <w:p w14:paraId="6D189AB2">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0</w:t>
            </w:r>
          </w:p>
        </w:tc>
        <w:tc>
          <w:tcPr>
            <w:tcW w:w="1067" w:type="dxa"/>
            <w:vAlign w:val="top"/>
          </w:tcPr>
          <w:p w14:paraId="1330BD2E">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712" w:type="dxa"/>
            <w:vAlign w:val="top"/>
          </w:tcPr>
          <w:p w14:paraId="5FCD38A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921" w:type="dxa"/>
            <w:vAlign w:val="top"/>
          </w:tcPr>
          <w:p w14:paraId="264678A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372" w:type="dxa"/>
            <w:vAlign w:val="top"/>
          </w:tcPr>
          <w:p w14:paraId="64DCE7C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r>
      <w:tr w14:paraId="2E691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014" w:type="dxa"/>
            <w:vMerge w:val="restart"/>
            <w:tcBorders>
              <w:bottom w:val="nil"/>
            </w:tcBorders>
            <w:vAlign w:val="top"/>
          </w:tcPr>
          <w:p w14:paraId="190BA51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年度总体</w:t>
            </w:r>
          </w:p>
          <w:p w14:paraId="5C043D6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目标</w:t>
            </w:r>
          </w:p>
        </w:tc>
        <w:tc>
          <w:tcPr>
            <w:tcW w:w="4648" w:type="dxa"/>
            <w:gridSpan w:val="4"/>
            <w:vAlign w:val="top"/>
          </w:tcPr>
          <w:p w14:paraId="23F66D44">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预期目标</w:t>
            </w:r>
          </w:p>
        </w:tc>
        <w:tc>
          <w:tcPr>
            <w:tcW w:w="4072" w:type="dxa"/>
            <w:gridSpan w:val="4"/>
            <w:vAlign w:val="top"/>
          </w:tcPr>
          <w:p w14:paraId="25942DE3">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实际完成情况</w:t>
            </w:r>
          </w:p>
        </w:tc>
      </w:tr>
      <w:tr w14:paraId="167F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014" w:type="dxa"/>
            <w:vMerge w:val="continue"/>
            <w:tcBorders>
              <w:top w:val="nil"/>
            </w:tcBorders>
            <w:vAlign w:val="top"/>
          </w:tcPr>
          <w:p w14:paraId="15AF9C1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4648" w:type="dxa"/>
            <w:gridSpan w:val="4"/>
            <w:vAlign w:val="top"/>
          </w:tcPr>
          <w:p w14:paraId="7796CCB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eastAsia="zh-CN"/>
              </w:rPr>
              <w:t>发放奖补资金，</w:t>
            </w:r>
            <w:r>
              <w:rPr>
                <w:rFonts w:hint="eastAsia" w:ascii="Arial" w:hAnsi="Arial" w:eastAsia="宋体" w:cs="Arial"/>
                <w:snapToGrid w:val="0"/>
                <w:color w:val="000000"/>
                <w:kern w:val="0"/>
                <w:sz w:val="21"/>
                <w:szCs w:val="21"/>
                <w:lang w:eastAsia="en-US"/>
              </w:rPr>
              <w:t>推进桃江笋竹产业强基提质和旅游产业转型升级，促进竹旅文体康产业融合发展，着力打造国家全域旅游示范区和湖南千亿竹产业核心基地</w:t>
            </w:r>
          </w:p>
        </w:tc>
        <w:tc>
          <w:tcPr>
            <w:tcW w:w="4072" w:type="dxa"/>
            <w:gridSpan w:val="4"/>
            <w:vAlign w:val="top"/>
          </w:tcPr>
          <w:p w14:paraId="65A3969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eastAsia="zh-CN"/>
              </w:rPr>
              <w:t>发放奖补资金，</w:t>
            </w:r>
            <w:r>
              <w:rPr>
                <w:rFonts w:hint="eastAsia" w:ascii="Arial" w:hAnsi="Arial" w:eastAsia="宋体" w:cs="Arial"/>
                <w:snapToGrid w:val="0"/>
                <w:color w:val="000000"/>
                <w:kern w:val="0"/>
                <w:sz w:val="21"/>
                <w:szCs w:val="21"/>
                <w:lang w:eastAsia="en-US"/>
              </w:rPr>
              <w:t>推进桃江笋竹产业强基提质和旅游产业转型升级，促进竹旅文体康产业融合发展，着力打造国家全域旅游示范区和湖南千亿竹产业核心基地</w:t>
            </w:r>
          </w:p>
        </w:tc>
      </w:tr>
      <w:tr w14:paraId="5BF23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14" w:type="dxa"/>
            <w:vMerge w:val="restart"/>
            <w:tcBorders>
              <w:bottom w:val="nil"/>
            </w:tcBorders>
            <w:textDirection w:val="tbRlV"/>
            <w:vAlign w:val="top"/>
          </w:tcPr>
          <w:p w14:paraId="44D7F07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4011C7B0">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绩 效 指 标</w:t>
            </w:r>
          </w:p>
        </w:tc>
        <w:tc>
          <w:tcPr>
            <w:tcW w:w="1069" w:type="dxa"/>
            <w:vAlign w:val="top"/>
          </w:tcPr>
          <w:p w14:paraId="73859B5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一级指标</w:t>
            </w:r>
          </w:p>
        </w:tc>
        <w:tc>
          <w:tcPr>
            <w:tcW w:w="929" w:type="dxa"/>
            <w:vAlign w:val="top"/>
          </w:tcPr>
          <w:p w14:paraId="0F33FAC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二级指标</w:t>
            </w:r>
          </w:p>
        </w:tc>
        <w:tc>
          <w:tcPr>
            <w:tcW w:w="1557" w:type="dxa"/>
            <w:vAlign w:val="top"/>
          </w:tcPr>
          <w:p w14:paraId="2DFC22B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三级指标</w:t>
            </w:r>
          </w:p>
        </w:tc>
        <w:tc>
          <w:tcPr>
            <w:tcW w:w="1093" w:type="dxa"/>
            <w:vAlign w:val="top"/>
          </w:tcPr>
          <w:p w14:paraId="711EC3C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年度指标值</w:t>
            </w:r>
          </w:p>
        </w:tc>
        <w:tc>
          <w:tcPr>
            <w:tcW w:w="1067" w:type="dxa"/>
            <w:vAlign w:val="top"/>
          </w:tcPr>
          <w:p w14:paraId="0161F52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实际完成值</w:t>
            </w:r>
          </w:p>
        </w:tc>
        <w:tc>
          <w:tcPr>
            <w:tcW w:w="712" w:type="dxa"/>
            <w:vAlign w:val="top"/>
          </w:tcPr>
          <w:p w14:paraId="304B0FB9">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分值</w:t>
            </w:r>
          </w:p>
        </w:tc>
        <w:tc>
          <w:tcPr>
            <w:tcW w:w="921" w:type="dxa"/>
            <w:vAlign w:val="top"/>
          </w:tcPr>
          <w:p w14:paraId="598F1359">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自评得分</w:t>
            </w:r>
          </w:p>
        </w:tc>
        <w:tc>
          <w:tcPr>
            <w:tcW w:w="1372" w:type="dxa"/>
            <w:vAlign w:val="top"/>
          </w:tcPr>
          <w:p w14:paraId="7C3B07F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偏差原因分析 及改进措施</w:t>
            </w:r>
          </w:p>
        </w:tc>
      </w:tr>
      <w:tr w14:paraId="16F94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14" w:type="dxa"/>
            <w:vMerge w:val="continue"/>
            <w:tcBorders>
              <w:top w:val="nil"/>
              <w:bottom w:val="nil"/>
            </w:tcBorders>
            <w:textDirection w:val="tbRlV"/>
            <w:vAlign w:val="top"/>
          </w:tcPr>
          <w:p w14:paraId="2601771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restart"/>
            <w:tcBorders>
              <w:bottom w:val="nil"/>
            </w:tcBorders>
            <w:vAlign w:val="top"/>
          </w:tcPr>
          <w:p w14:paraId="0CFD6F4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113A812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产出指标</w:t>
            </w:r>
          </w:p>
          <w:p w14:paraId="6849E73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(50分)</w:t>
            </w:r>
          </w:p>
        </w:tc>
        <w:tc>
          <w:tcPr>
            <w:tcW w:w="929" w:type="dxa"/>
            <w:tcBorders>
              <w:bottom w:val="nil"/>
            </w:tcBorders>
            <w:vAlign w:val="top"/>
          </w:tcPr>
          <w:p w14:paraId="07FA6F5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数量指标</w:t>
            </w:r>
          </w:p>
        </w:tc>
        <w:tc>
          <w:tcPr>
            <w:tcW w:w="1557" w:type="dxa"/>
            <w:shd w:val="clear" w:color="auto" w:fill="auto"/>
            <w:vAlign w:val="center"/>
          </w:tcPr>
          <w:p w14:paraId="739C890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提高竹林面积</w:t>
            </w:r>
          </w:p>
        </w:tc>
        <w:tc>
          <w:tcPr>
            <w:tcW w:w="1093" w:type="dxa"/>
            <w:shd w:val="clear" w:color="auto" w:fill="auto"/>
            <w:vAlign w:val="center"/>
          </w:tcPr>
          <w:p w14:paraId="719CEBF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1067" w:type="dxa"/>
            <w:shd w:val="clear" w:color="auto" w:fill="auto"/>
            <w:vAlign w:val="center"/>
          </w:tcPr>
          <w:p w14:paraId="6060099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712" w:type="dxa"/>
            <w:shd w:val="clear" w:color="auto" w:fill="auto"/>
            <w:vAlign w:val="center"/>
          </w:tcPr>
          <w:p w14:paraId="016B069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921" w:type="dxa"/>
            <w:shd w:val="clear" w:color="auto" w:fill="auto"/>
            <w:vAlign w:val="center"/>
          </w:tcPr>
          <w:p w14:paraId="4BBABB2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1372" w:type="dxa"/>
            <w:vAlign w:val="top"/>
          </w:tcPr>
          <w:p w14:paraId="2AD3504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5C82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131CD25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345492B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66F6521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质量指标</w:t>
            </w:r>
          </w:p>
        </w:tc>
        <w:tc>
          <w:tcPr>
            <w:tcW w:w="1557" w:type="dxa"/>
            <w:shd w:val="clear" w:color="auto" w:fill="auto"/>
            <w:vAlign w:val="center"/>
          </w:tcPr>
          <w:p w14:paraId="4B69746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提高竹林质量</w:t>
            </w:r>
          </w:p>
        </w:tc>
        <w:tc>
          <w:tcPr>
            <w:tcW w:w="1093" w:type="dxa"/>
            <w:shd w:val="clear" w:color="auto" w:fill="auto"/>
            <w:vAlign w:val="center"/>
          </w:tcPr>
          <w:p w14:paraId="1827B25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1067" w:type="dxa"/>
            <w:shd w:val="clear" w:color="auto" w:fill="auto"/>
            <w:vAlign w:val="center"/>
          </w:tcPr>
          <w:p w14:paraId="2AC4011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712" w:type="dxa"/>
            <w:shd w:val="clear" w:color="auto" w:fill="auto"/>
            <w:vAlign w:val="center"/>
          </w:tcPr>
          <w:p w14:paraId="4D18E18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921" w:type="dxa"/>
            <w:shd w:val="clear" w:color="auto" w:fill="auto"/>
            <w:vAlign w:val="center"/>
          </w:tcPr>
          <w:p w14:paraId="2B12DD2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1372" w:type="dxa"/>
            <w:vAlign w:val="top"/>
          </w:tcPr>
          <w:p w14:paraId="46C3069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2DE46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1014" w:type="dxa"/>
            <w:vMerge w:val="continue"/>
            <w:tcBorders>
              <w:top w:val="nil"/>
              <w:bottom w:val="nil"/>
            </w:tcBorders>
            <w:textDirection w:val="tbRlV"/>
            <w:vAlign w:val="top"/>
          </w:tcPr>
          <w:p w14:paraId="4DE0235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6943A86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2ABEC97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时效指标</w:t>
            </w:r>
          </w:p>
        </w:tc>
        <w:tc>
          <w:tcPr>
            <w:tcW w:w="1557" w:type="dxa"/>
            <w:shd w:val="clear" w:color="auto" w:fill="auto"/>
            <w:vAlign w:val="center"/>
          </w:tcPr>
          <w:p w14:paraId="1990F41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发放奖金</w:t>
            </w:r>
            <w:r>
              <w:rPr>
                <w:rFonts w:hint="default" w:ascii="Times New Roman" w:hAnsi="Times New Roman" w:eastAsia="宋体" w:cs="Times New Roman"/>
                <w:snapToGrid/>
                <w:color w:val="000000"/>
                <w:kern w:val="0"/>
                <w:sz w:val="21"/>
                <w:szCs w:val="21"/>
                <w:lang w:val="en-US" w:eastAsia="zh-CN"/>
              </w:rPr>
              <w:t>及时率</w:t>
            </w:r>
          </w:p>
        </w:tc>
        <w:tc>
          <w:tcPr>
            <w:tcW w:w="1093" w:type="dxa"/>
            <w:shd w:val="clear" w:color="auto" w:fill="auto"/>
            <w:vAlign w:val="center"/>
          </w:tcPr>
          <w:p w14:paraId="6878C10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1067" w:type="dxa"/>
            <w:shd w:val="clear" w:color="auto" w:fill="auto"/>
            <w:vAlign w:val="center"/>
          </w:tcPr>
          <w:p w14:paraId="2040BEF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712" w:type="dxa"/>
            <w:shd w:val="clear" w:color="auto" w:fill="auto"/>
            <w:vAlign w:val="center"/>
          </w:tcPr>
          <w:p w14:paraId="7D5246B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921" w:type="dxa"/>
            <w:shd w:val="clear" w:color="auto" w:fill="auto"/>
            <w:vAlign w:val="center"/>
          </w:tcPr>
          <w:p w14:paraId="6EB83C79">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372" w:type="dxa"/>
            <w:vAlign w:val="top"/>
          </w:tcPr>
          <w:p w14:paraId="41C66C9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13A3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630FA12C">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77E8A88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5062E4C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成本指标</w:t>
            </w:r>
          </w:p>
        </w:tc>
        <w:tc>
          <w:tcPr>
            <w:tcW w:w="1557" w:type="dxa"/>
            <w:shd w:val="clear" w:color="auto" w:fill="auto"/>
            <w:vAlign w:val="center"/>
          </w:tcPr>
          <w:p w14:paraId="6E4AAAF3">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项目发放奖金</w:t>
            </w:r>
          </w:p>
        </w:tc>
        <w:tc>
          <w:tcPr>
            <w:tcW w:w="1093" w:type="dxa"/>
            <w:shd w:val="clear" w:color="auto" w:fill="auto"/>
            <w:vAlign w:val="center"/>
          </w:tcPr>
          <w:p w14:paraId="4F68E8C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957.91万元</w:t>
            </w:r>
          </w:p>
        </w:tc>
        <w:tc>
          <w:tcPr>
            <w:tcW w:w="1067" w:type="dxa"/>
            <w:shd w:val="clear" w:color="auto" w:fill="auto"/>
            <w:vAlign w:val="center"/>
          </w:tcPr>
          <w:p w14:paraId="557F7FD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957.91万元</w:t>
            </w:r>
          </w:p>
        </w:tc>
        <w:tc>
          <w:tcPr>
            <w:tcW w:w="712" w:type="dxa"/>
            <w:shd w:val="clear" w:color="auto" w:fill="auto"/>
            <w:vAlign w:val="center"/>
          </w:tcPr>
          <w:p w14:paraId="47001162">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921" w:type="dxa"/>
            <w:shd w:val="clear" w:color="auto" w:fill="auto"/>
            <w:vAlign w:val="center"/>
          </w:tcPr>
          <w:p w14:paraId="7409542C">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1372" w:type="dxa"/>
            <w:vAlign w:val="top"/>
          </w:tcPr>
          <w:p w14:paraId="27CE997E">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60B1C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7B40D92C">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restart"/>
            <w:tcBorders>
              <w:bottom w:val="nil"/>
            </w:tcBorders>
            <w:vAlign w:val="top"/>
          </w:tcPr>
          <w:p w14:paraId="42586AE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6477E69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6CE47FB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3AF42C0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效益指标</w:t>
            </w:r>
          </w:p>
          <w:p w14:paraId="761B8EC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(30分)</w:t>
            </w:r>
          </w:p>
        </w:tc>
        <w:tc>
          <w:tcPr>
            <w:tcW w:w="929" w:type="dxa"/>
            <w:tcBorders>
              <w:bottom w:val="nil"/>
            </w:tcBorders>
            <w:vAlign w:val="top"/>
          </w:tcPr>
          <w:p w14:paraId="6E59221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经济效</w:t>
            </w:r>
          </w:p>
          <w:p w14:paraId="60D3978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益指标</w:t>
            </w:r>
          </w:p>
        </w:tc>
        <w:tc>
          <w:tcPr>
            <w:tcW w:w="1557" w:type="dxa"/>
            <w:shd w:val="clear" w:color="auto" w:fill="auto"/>
            <w:vAlign w:val="center"/>
          </w:tcPr>
          <w:p w14:paraId="47AE7FC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提高竹产业规模</w:t>
            </w:r>
          </w:p>
        </w:tc>
        <w:tc>
          <w:tcPr>
            <w:tcW w:w="1093" w:type="dxa"/>
            <w:shd w:val="clear" w:color="auto" w:fill="auto"/>
            <w:vAlign w:val="center"/>
          </w:tcPr>
          <w:p w14:paraId="17B155D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1067" w:type="dxa"/>
            <w:shd w:val="clear" w:color="auto" w:fill="auto"/>
            <w:vAlign w:val="center"/>
          </w:tcPr>
          <w:p w14:paraId="6249D38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712" w:type="dxa"/>
            <w:shd w:val="clear" w:color="auto" w:fill="auto"/>
            <w:vAlign w:val="center"/>
          </w:tcPr>
          <w:p w14:paraId="2CB37C90">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921" w:type="dxa"/>
            <w:shd w:val="clear" w:color="auto" w:fill="auto"/>
            <w:vAlign w:val="center"/>
          </w:tcPr>
          <w:p w14:paraId="0FF02802">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1372" w:type="dxa"/>
            <w:vAlign w:val="top"/>
          </w:tcPr>
          <w:p w14:paraId="24174B2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12AB8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4CE75D3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577E763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1C0D6A0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社会效</w:t>
            </w:r>
          </w:p>
          <w:p w14:paraId="07DE3E8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益指标</w:t>
            </w:r>
          </w:p>
        </w:tc>
        <w:tc>
          <w:tcPr>
            <w:tcW w:w="1557" w:type="dxa"/>
            <w:shd w:val="clear" w:color="auto" w:fill="auto"/>
            <w:vAlign w:val="center"/>
          </w:tcPr>
          <w:p w14:paraId="60C8826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保障竹产业发展</w:t>
            </w:r>
          </w:p>
        </w:tc>
        <w:tc>
          <w:tcPr>
            <w:tcW w:w="1093" w:type="dxa"/>
            <w:shd w:val="clear" w:color="auto" w:fill="auto"/>
            <w:vAlign w:val="center"/>
          </w:tcPr>
          <w:p w14:paraId="7DF8380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有效保障</w:t>
            </w:r>
          </w:p>
        </w:tc>
        <w:tc>
          <w:tcPr>
            <w:tcW w:w="1067" w:type="dxa"/>
            <w:shd w:val="clear" w:color="auto" w:fill="auto"/>
            <w:vAlign w:val="center"/>
          </w:tcPr>
          <w:p w14:paraId="65EA7B2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有效保障</w:t>
            </w:r>
          </w:p>
        </w:tc>
        <w:tc>
          <w:tcPr>
            <w:tcW w:w="712" w:type="dxa"/>
            <w:shd w:val="clear" w:color="auto" w:fill="auto"/>
            <w:vAlign w:val="center"/>
          </w:tcPr>
          <w:p w14:paraId="59EF1F7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921" w:type="dxa"/>
            <w:shd w:val="clear" w:color="auto" w:fill="auto"/>
            <w:vAlign w:val="center"/>
          </w:tcPr>
          <w:p w14:paraId="50A76AC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1372" w:type="dxa"/>
            <w:vAlign w:val="top"/>
          </w:tcPr>
          <w:p w14:paraId="5261BB3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3A0DC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3260506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1DFF858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2665D6B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生态效</w:t>
            </w:r>
          </w:p>
          <w:p w14:paraId="29388A2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益指标</w:t>
            </w:r>
          </w:p>
        </w:tc>
        <w:tc>
          <w:tcPr>
            <w:tcW w:w="1557" w:type="dxa"/>
            <w:shd w:val="clear" w:color="auto" w:fill="auto"/>
            <w:vAlign w:val="center"/>
          </w:tcPr>
          <w:p w14:paraId="7CEBC57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促进竹林生态发展</w:t>
            </w:r>
          </w:p>
        </w:tc>
        <w:tc>
          <w:tcPr>
            <w:tcW w:w="1093" w:type="dxa"/>
            <w:shd w:val="clear" w:color="auto" w:fill="auto"/>
            <w:vAlign w:val="center"/>
          </w:tcPr>
          <w:p w14:paraId="3C4314D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w:t>
            </w:r>
          </w:p>
        </w:tc>
        <w:tc>
          <w:tcPr>
            <w:tcW w:w="1067" w:type="dxa"/>
            <w:shd w:val="clear" w:color="auto" w:fill="auto"/>
            <w:vAlign w:val="center"/>
          </w:tcPr>
          <w:p w14:paraId="6414BB6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w:t>
            </w:r>
          </w:p>
        </w:tc>
        <w:tc>
          <w:tcPr>
            <w:tcW w:w="712" w:type="dxa"/>
            <w:shd w:val="clear" w:color="auto" w:fill="auto"/>
            <w:vAlign w:val="center"/>
          </w:tcPr>
          <w:p w14:paraId="2C7FFEA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921" w:type="dxa"/>
            <w:shd w:val="clear" w:color="auto" w:fill="auto"/>
            <w:vAlign w:val="center"/>
          </w:tcPr>
          <w:p w14:paraId="3F85E39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372" w:type="dxa"/>
            <w:vAlign w:val="top"/>
          </w:tcPr>
          <w:p w14:paraId="0714EE2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2EC8A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1014" w:type="dxa"/>
            <w:vMerge w:val="continue"/>
            <w:tcBorders>
              <w:top w:val="nil"/>
              <w:bottom w:val="nil"/>
            </w:tcBorders>
            <w:textDirection w:val="tbRlV"/>
            <w:vAlign w:val="top"/>
          </w:tcPr>
          <w:p w14:paraId="5ED76E00">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7F38FB1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7A4D0EA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可持续</w:t>
            </w:r>
          </w:p>
          <w:p w14:paraId="372A32F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影响指标</w:t>
            </w:r>
          </w:p>
        </w:tc>
        <w:tc>
          <w:tcPr>
            <w:tcW w:w="1557" w:type="dxa"/>
            <w:shd w:val="clear" w:color="auto" w:fill="auto"/>
            <w:vAlign w:val="center"/>
          </w:tcPr>
          <w:p w14:paraId="285E197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促进竹产业可持续发展</w:t>
            </w:r>
          </w:p>
        </w:tc>
        <w:tc>
          <w:tcPr>
            <w:tcW w:w="1093" w:type="dxa"/>
            <w:shd w:val="clear" w:color="auto" w:fill="auto"/>
            <w:vAlign w:val="center"/>
          </w:tcPr>
          <w:p w14:paraId="240AF15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可持续</w:t>
            </w:r>
          </w:p>
        </w:tc>
        <w:tc>
          <w:tcPr>
            <w:tcW w:w="1067" w:type="dxa"/>
            <w:shd w:val="clear" w:color="auto" w:fill="auto"/>
            <w:vAlign w:val="center"/>
          </w:tcPr>
          <w:p w14:paraId="3D871C6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可持续</w:t>
            </w:r>
          </w:p>
        </w:tc>
        <w:tc>
          <w:tcPr>
            <w:tcW w:w="712" w:type="dxa"/>
            <w:shd w:val="clear" w:color="auto" w:fill="auto"/>
            <w:vAlign w:val="center"/>
          </w:tcPr>
          <w:p w14:paraId="119F0AE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921" w:type="dxa"/>
            <w:shd w:val="clear" w:color="auto" w:fill="auto"/>
            <w:vAlign w:val="center"/>
          </w:tcPr>
          <w:p w14:paraId="4862A4F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372" w:type="dxa"/>
            <w:vAlign w:val="top"/>
          </w:tcPr>
          <w:p w14:paraId="1A13DAC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6349A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7C860513">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tcBorders>
              <w:bottom w:val="nil"/>
            </w:tcBorders>
            <w:vAlign w:val="top"/>
          </w:tcPr>
          <w:p w14:paraId="4BE6133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满意度 指标  (10分)</w:t>
            </w:r>
          </w:p>
        </w:tc>
        <w:tc>
          <w:tcPr>
            <w:tcW w:w="929" w:type="dxa"/>
            <w:tcBorders>
              <w:bottom w:val="nil"/>
            </w:tcBorders>
            <w:vAlign w:val="top"/>
          </w:tcPr>
          <w:p w14:paraId="4230A34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服务对象满意度指标</w:t>
            </w:r>
          </w:p>
        </w:tc>
        <w:tc>
          <w:tcPr>
            <w:tcW w:w="1557" w:type="dxa"/>
            <w:shd w:val="clear" w:color="auto" w:fill="auto"/>
            <w:vAlign w:val="center"/>
          </w:tcPr>
          <w:p w14:paraId="12D07A9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农民、企业等满意度</w:t>
            </w:r>
          </w:p>
        </w:tc>
        <w:tc>
          <w:tcPr>
            <w:tcW w:w="1093" w:type="dxa"/>
            <w:shd w:val="clear" w:color="auto" w:fill="auto"/>
            <w:vAlign w:val="center"/>
          </w:tcPr>
          <w:p w14:paraId="0DEAFDD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≥95%</w:t>
            </w:r>
          </w:p>
        </w:tc>
        <w:tc>
          <w:tcPr>
            <w:tcW w:w="1067" w:type="dxa"/>
            <w:shd w:val="clear" w:color="auto" w:fill="auto"/>
            <w:vAlign w:val="center"/>
          </w:tcPr>
          <w:p w14:paraId="27D2BE9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93%</w:t>
            </w:r>
          </w:p>
        </w:tc>
        <w:tc>
          <w:tcPr>
            <w:tcW w:w="712" w:type="dxa"/>
            <w:shd w:val="clear" w:color="auto" w:fill="auto"/>
            <w:vAlign w:val="center"/>
          </w:tcPr>
          <w:p w14:paraId="592AA91F">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921" w:type="dxa"/>
            <w:shd w:val="clear" w:color="auto" w:fill="auto"/>
            <w:vAlign w:val="center"/>
          </w:tcPr>
          <w:p w14:paraId="45C81221">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8</w:t>
            </w:r>
          </w:p>
        </w:tc>
        <w:tc>
          <w:tcPr>
            <w:tcW w:w="1372" w:type="dxa"/>
            <w:shd w:val="clear" w:color="auto" w:fill="auto"/>
            <w:vAlign w:val="center"/>
          </w:tcPr>
          <w:p w14:paraId="18EB521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反馈沟通欠缺</w:t>
            </w:r>
          </w:p>
        </w:tc>
      </w:tr>
      <w:tr w14:paraId="728A9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729" w:type="dxa"/>
            <w:gridSpan w:val="6"/>
            <w:vAlign w:val="top"/>
          </w:tcPr>
          <w:p w14:paraId="3D62088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总分</w:t>
            </w:r>
          </w:p>
        </w:tc>
        <w:tc>
          <w:tcPr>
            <w:tcW w:w="712" w:type="dxa"/>
            <w:vAlign w:val="top"/>
          </w:tcPr>
          <w:p w14:paraId="73F4741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921" w:type="dxa"/>
            <w:vAlign w:val="top"/>
          </w:tcPr>
          <w:p w14:paraId="5B78DAC0">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98</w:t>
            </w:r>
          </w:p>
        </w:tc>
        <w:tc>
          <w:tcPr>
            <w:tcW w:w="1372" w:type="dxa"/>
            <w:vAlign w:val="top"/>
          </w:tcPr>
          <w:p w14:paraId="20D53EF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bl>
    <w:p w14:paraId="6CD9B70C">
      <w:pPr>
        <w:widowControl w:val="0"/>
        <w:kinsoku/>
        <w:autoSpaceDE w:val="0"/>
        <w:autoSpaceDN w:val="0"/>
        <w:adjustRightInd/>
        <w:snapToGrid/>
        <w:spacing w:line="320" w:lineRule="exact"/>
        <w:jc w:val="both"/>
        <w:textAlignment w:val="auto"/>
        <w:rPr>
          <w:rFonts w:ascii="Times New Roman" w:hAnsi="宋体" w:eastAsia="宋体" w:cs="Times New Roman"/>
          <w:snapToGrid/>
          <w:color w:val="000000"/>
          <w:kern w:val="0"/>
          <w:sz w:val="21"/>
          <w:szCs w:val="21"/>
          <w:lang w:eastAsia="zh-CN"/>
        </w:rPr>
      </w:pPr>
      <w:r>
        <w:rPr>
          <w:rFonts w:ascii="Times New Roman" w:hAnsi="宋体" w:eastAsia="宋体" w:cs="Times New Roman"/>
          <w:snapToGrid/>
          <w:color w:val="000000"/>
          <w:kern w:val="0"/>
          <w:sz w:val="21"/>
          <w:szCs w:val="21"/>
          <w:lang w:eastAsia="zh-CN"/>
        </w:rPr>
        <w:t>备注：每个项目支出一张表。</w:t>
      </w:r>
    </w:p>
    <w:p w14:paraId="5880EFFD">
      <w:pPr>
        <w:widowControl w:val="0"/>
        <w:kinsoku/>
        <w:autoSpaceDE w:val="0"/>
        <w:autoSpaceDN w:val="0"/>
        <w:adjustRightInd/>
        <w:snapToGrid/>
        <w:spacing w:line="320" w:lineRule="exact"/>
        <w:jc w:val="both"/>
        <w:textAlignment w:val="auto"/>
        <w:rPr>
          <w:rFonts w:ascii="Times New Roman" w:hAnsi="宋体" w:eastAsia="宋体" w:cs="Times New Roman"/>
          <w:snapToGrid/>
          <w:kern w:val="0"/>
          <w:sz w:val="21"/>
          <w:szCs w:val="21"/>
          <w:lang w:eastAsia="zh-CN"/>
        </w:rPr>
        <w:sectPr>
          <w:headerReference r:id="rId7" w:type="default"/>
          <w:pgSz w:w="11900" w:h="16820"/>
          <w:pgMar w:top="1429" w:right="994" w:bottom="1524" w:left="1274" w:header="0" w:footer="1107" w:gutter="0"/>
          <w:pgNumType w:fmt="decimal"/>
          <w:cols w:space="720" w:num="1"/>
        </w:sectPr>
      </w:pPr>
      <w:r>
        <w:rPr>
          <w:rFonts w:ascii="Times New Roman" w:hAnsi="宋体" w:eastAsia="宋体" w:cs="Times New Roman"/>
          <w:snapToGrid/>
          <w:color w:val="000000"/>
          <w:kern w:val="0"/>
          <w:sz w:val="21"/>
          <w:szCs w:val="21"/>
          <w:lang w:eastAsia="zh-CN"/>
        </w:rPr>
        <w:t>填表人：</w:t>
      </w:r>
      <w:r>
        <w:rPr>
          <w:rFonts w:hint="eastAsia" w:ascii="Times New Roman" w:hAnsi="宋体" w:eastAsia="宋体" w:cs="Times New Roman"/>
          <w:snapToGrid/>
          <w:color w:val="000000"/>
          <w:kern w:val="0"/>
          <w:sz w:val="21"/>
          <w:szCs w:val="21"/>
          <w:lang w:eastAsia="zh-CN"/>
        </w:rPr>
        <w:t>艾昱宏</w:t>
      </w:r>
      <w:r>
        <w:rPr>
          <w:rFonts w:ascii="Times New Roman" w:hAnsi="宋体" w:eastAsia="宋体" w:cs="Times New Roman"/>
          <w:snapToGrid/>
          <w:color w:val="000000"/>
          <w:kern w:val="0"/>
          <w:sz w:val="21"/>
          <w:szCs w:val="21"/>
          <w:lang w:eastAsia="zh-CN"/>
        </w:rPr>
        <w:t xml:space="preserve">   </w:t>
      </w:r>
      <w:r>
        <w:rPr>
          <w:rFonts w:hint="eastAsia" w:ascii="Times New Roman" w:hAnsi="宋体" w:eastAsia="宋体" w:cs="Times New Roman"/>
          <w:snapToGrid/>
          <w:color w:val="000000"/>
          <w:kern w:val="0"/>
          <w:sz w:val="21"/>
          <w:szCs w:val="21"/>
          <w:lang w:val="en-US" w:eastAsia="zh-CN"/>
        </w:rPr>
        <w:t xml:space="preserve">                                                 </w:t>
      </w:r>
      <w:r>
        <w:rPr>
          <w:rFonts w:ascii="Times New Roman" w:hAnsi="宋体" w:eastAsia="宋体" w:cs="Times New Roman"/>
          <w:snapToGrid/>
          <w:color w:val="000000"/>
          <w:kern w:val="0"/>
          <w:sz w:val="21"/>
          <w:szCs w:val="21"/>
          <w:lang w:eastAsia="zh-CN"/>
        </w:rPr>
        <w:t>单位负责人签字：</w:t>
      </w:r>
      <w:r>
        <w:rPr>
          <w:rFonts w:hint="eastAsia" w:ascii="Times New Roman" w:hAnsi="宋体" w:eastAsia="宋体" w:cs="Times New Roman"/>
          <w:snapToGrid/>
          <w:color w:val="000000"/>
          <w:kern w:val="0"/>
          <w:sz w:val="21"/>
          <w:szCs w:val="21"/>
          <w:lang w:eastAsia="zh-CN"/>
        </w:rPr>
        <w:t>黄海龙</w:t>
      </w:r>
    </w:p>
    <w:p w14:paraId="219FA2D8">
      <w:pPr>
        <w:widowControl/>
        <w:kinsoku w:val="0"/>
        <w:autoSpaceDE w:val="0"/>
        <w:autoSpaceDN w:val="0"/>
        <w:adjustRightInd w:val="0"/>
        <w:snapToGrid w:val="0"/>
        <w:spacing w:line="560" w:lineRule="exact"/>
        <w:jc w:val="center"/>
        <w:textAlignment w:val="baseline"/>
        <w:rPr>
          <w:rFonts w:ascii="Arial" w:hAnsi="Arial" w:eastAsia="方正小标宋简体" w:cs="Arial"/>
          <w:bCs/>
          <w:snapToGrid w:val="0"/>
          <w:color w:val="000000"/>
          <w:kern w:val="0"/>
          <w:sz w:val="44"/>
          <w:szCs w:val="44"/>
          <w:highlight w:val="none"/>
          <w:lang w:eastAsia="en-US"/>
        </w:rPr>
      </w:pPr>
      <w:r>
        <w:rPr>
          <w:rFonts w:ascii="Arial" w:hAnsi="Arial" w:eastAsia="方正小标宋简体" w:cs="Arial"/>
          <w:bCs/>
          <w:snapToGrid w:val="0"/>
          <w:color w:val="000000"/>
          <w:kern w:val="0"/>
          <w:sz w:val="44"/>
          <w:szCs w:val="44"/>
          <w:highlight w:val="none"/>
          <w:lang w:eastAsia="en-US"/>
        </w:rPr>
        <w:t>桃江县202</w:t>
      </w:r>
      <w:r>
        <w:rPr>
          <w:rFonts w:hint="eastAsia" w:ascii="Arial" w:hAnsi="Arial" w:eastAsia="方正小标宋简体" w:cs="Arial"/>
          <w:bCs/>
          <w:snapToGrid w:val="0"/>
          <w:color w:val="000000"/>
          <w:kern w:val="0"/>
          <w:sz w:val="44"/>
          <w:szCs w:val="44"/>
          <w:highlight w:val="none"/>
          <w:lang w:val="en-US" w:eastAsia="zh-CN"/>
        </w:rPr>
        <w:t>4</w:t>
      </w:r>
      <w:r>
        <w:rPr>
          <w:rFonts w:ascii="Arial" w:hAnsi="Arial" w:eastAsia="方正小标宋简体" w:cs="Arial"/>
          <w:bCs/>
          <w:snapToGrid w:val="0"/>
          <w:color w:val="000000"/>
          <w:kern w:val="0"/>
          <w:sz w:val="44"/>
          <w:szCs w:val="44"/>
          <w:highlight w:val="none"/>
          <w:lang w:eastAsia="en-US"/>
        </w:rPr>
        <w:t>年度项目支出绩效自评表</w:t>
      </w:r>
    </w:p>
    <w:tbl>
      <w:tblPr>
        <w:tblStyle w:val="9"/>
        <w:tblpPr w:leftFromText="180" w:rightFromText="180" w:vertAnchor="text" w:horzAnchor="page" w:tblpXSpec="center" w:tblpY="223"/>
        <w:tblOverlap w:val="never"/>
        <w:tblW w:w="97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1069"/>
        <w:gridCol w:w="929"/>
        <w:gridCol w:w="1557"/>
        <w:gridCol w:w="1093"/>
        <w:gridCol w:w="1067"/>
        <w:gridCol w:w="712"/>
        <w:gridCol w:w="921"/>
        <w:gridCol w:w="1372"/>
      </w:tblGrid>
      <w:tr w14:paraId="5A50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3012" w:type="dxa"/>
            <w:gridSpan w:val="3"/>
            <w:vAlign w:val="top"/>
          </w:tcPr>
          <w:p w14:paraId="567385D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项目支出名称</w:t>
            </w:r>
          </w:p>
        </w:tc>
        <w:tc>
          <w:tcPr>
            <w:tcW w:w="6722" w:type="dxa"/>
            <w:gridSpan w:val="6"/>
            <w:vAlign w:val="top"/>
          </w:tcPr>
          <w:p w14:paraId="6785C60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Arial" w:cs="Times New Roman"/>
                <w:snapToGrid w:val="0"/>
                <w:color w:val="000000"/>
                <w:kern w:val="0"/>
                <w:sz w:val="21"/>
                <w:szCs w:val="21"/>
                <w:lang w:val="en-US" w:eastAsia="zh-CN"/>
              </w:rPr>
              <w:t>竹产业高质量发展县专项资金</w:t>
            </w:r>
          </w:p>
        </w:tc>
      </w:tr>
      <w:tr w14:paraId="7FBE3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014" w:type="dxa"/>
            <w:vAlign w:val="top"/>
          </w:tcPr>
          <w:p w14:paraId="30D08F12">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主管部门</w:t>
            </w:r>
          </w:p>
        </w:tc>
        <w:tc>
          <w:tcPr>
            <w:tcW w:w="4648" w:type="dxa"/>
            <w:gridSpan w:val="4"/>
            <w:vAlign w:val="top"/>
          </w:tcPr>
          <w:p w14:paraId="735FCE13">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桃江县竹产业发展服务中心</w:t>
            </w:r>
          </w:p>
        </w:tc>
        <w:tc>
          <w:tcPr>
            <w:tcW w:w="1067" w:type="dxa"/>
            <w:vAlign w:val="top"/>
          </w:tcPr>
          <w:p w14:paraId="27DCDE95">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实施单位</w:t>
            </w:r>
          </w:p>
        </w:tc>
        <w:tc>
          <w:tcPr>
            <w:tcW w:w="3005" w:type="dxa"/>
            <w:gridSpan w:val="3"/>
            <w:vAlign w:val="top"/>
          </w:tcPr>
          <w:p w14:paraId="6097B175">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桃江县竹产业发展服务中心</w:t>
            </w:r>
          </w:p>
        </w:tc>
      </w:tr>
      <w:tr w14:paraId="7C373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014" w:type="dxa"/>
            <w:vMerge w:val="restart"/>
            <w:tcBorders>
              <w:bottom w:val="nil"/>
            </w:tcBorders>
            <w:vAlign w:val="top"/>
          </w:tcPr>
          <w:p w14:paraId="578A50D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2FFAA18C">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1F8A5D95">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12C6C042">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项目资金</w:t>
            </w:r>
          </w:p>
          <w:p w14:paraId="6C5E0E2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(万元)</w:t>
            </w:r>
          </w:p>
        </w:tc>
        <w:tc>
          <w:tcPr>
            <w:tcW w:w="1998" w:type="dxa"/>
            <w:gridSpan w:val="2"/>
            <w:vAlign w:val="top"/>
          </w:tcPr>
          <w:p w14:paraId="1377951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557" w:type="dxa"/>
            <w:vAlign w:val="top"/>
          </w:tcPr>
          <w:p w14:paraId="446D15C3">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年初预算数</w:t>
            </w:r>
          </w:p>
        </w:tc>
        <w:tc>
          <w:tcPr>
            <w:tcW w:w="1093" w:type="dxa"/>
            <w:vAlign w:val="top"/>
          </w:tcPr>
          <w:p w14:paraId="2A3DEBE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全年预算数</w:t>
            </w:r>
          </w:p>
        </w:tc>
        <w:tc>
          <w:tcPr>
            <w:tcW w:w="1067" w:type="dxa"/>
            <w:vAlign w:val="top"/>
          </w:tcPr>
          <w:p w14:paraId="068B0E0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全年执行数</w:t>
            </w:r>
          </w:p>
        </w:tc>
        <w:tc>
          <w:tcPr>
            <w:tcW w:w="712" w:type="dxa"/>
            <w:vAlign w:val="top"/>
          </w:tcPr>
          <w:p w14:paraId="2F7D2E74">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分值</w:t>
            </w:r>
          </w:p>
        </w:tc>
        <w:tc>
          <w:tcPr>
            <w:tcW w:w="921" w:type="dxa"/>
            <w:vAlign w:val="top"/>
          </w:tcPr>
          <w:p w14:paraId="0ECEE3D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执行率</w:t>
            </w:r>
          </w:p>
        </w:tc>
        <w:tc>
          <w:tcPr>
            <w:tcW w:w="1372" w:type="dxa"/>
            <w:vAlign w:val="top"/>
          </w:tcPr>
          <w:p w14:paraId="346216E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自评得分</w:t>
            </w:r>
          </w:p>
        </w:tc>
      </w:tr>
      <w:tr w14:paraId="05C7F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014" w:type="dxa"/>
            <w:vMerge w:val="continue"/>
            <w:tcBorders>
              <w:top w:val="nil"/>
              <w:bottom w:val="nil"/>
            </w:tcBorders>
            <w:vAlign w:val="top"/>
          </w:tcPr>
          <w:p w14:paraId="1E8BB13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2A0D4173">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年度资金总额</w:t>
            </w:r>
          </w:p>
        </w:tc>
        <w:tc>
          <w:tcPr>
            <w:tcW w:w="1557" w:type="dxa"/>
            <w:vAlign w:val="top"/>
          </w:tcPr>
          <w:p w14:paraId="4B851C12">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0</w:t>
            </w:r>
          </w:p>
        </w:tc>
        <w:tc>
          <w:tcPr>
            <w:tcW w:w="1093" w:type="dxa"/>
            <w:vAlign w:val="top"/>
          </w:tcPr>
          <w:p w14:paraId="0E2D7720">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181.45</w:t>
            </w:r>
          </w:p>
        </w:tc>
        <w:tc>
          <w:tcPr>
            <w:tcW w:w="1067" w:type="dxa"/>
            <w:vAlign w:val="top"/>
          </w:tcPr>
          <w:p w14:paraId="25972393">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181.45</w:t>
            </w:r>
          </w:p>
        </w:tc>
        <w:tc>
          <w:tcPr>
            <w:tcW w:w="712" w:type="dxa"/>
            <w:vAlign w:val="top"/>
          </w:tcPr>
          <w:p w14:paraId="453E452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10</w:t>
            </w:r>
          </w:p>
        </w:tc>
        <w:tc>
          <w:tcPr>
            <w:tcW w:w="921" w:type="dxa"/>
            <w:vAlign w:val="top"/>
          </w:tcPr>
          <w:p w14:paraId="1D6E8ABE">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100%</w:t>
            </w:r>
          </w:p>
        </w:tc>
        <w:tc>
          <w:tcPr>
            <w:tcW w:w="1372" w:type="dxa"/>
            <w:vAlign w:val="top"/>
          </w:tcPr>
          <w:p w14:paraId="22152BA6">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10</w:t>
            </w:r>
          </w:p>
        </w:tc>
      </w:tr>
      <w:tr w14:paraId="4D005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014" w:type="dxa"/>
            <w:vMerge w:val="continue"/>
            <w:tcBorders>
              <w:top w:val="nil"/>
              <w:bottom w:val="nil"/>
            </w:tcBorders>
            <w:vAlign w:val="top"/>
          </w:tcPr>
          <w:p w14:paraId="35F4B72C">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7DB59760">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其中：当年财政拨款</w:t>
            </w:r>
          </w:p>
        </w:tc>
        <w:tc>
          <w:tcPr>
            <w:tcW w:w="1557" w:type="dxa"/>
            <w:vAlign w:val="top"/>
          </w:tcPr>
          <w:p w14:paraId="6AFA96D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93" w:type="dxa"/>
            <w:vAlign w:val="top"/>
          </w:tcPr>
          <w:p w14:paraId="45F51987">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181.45</w:t>
            </w:r>
          </w:p>
        </w:tc>
        <w:tc>
          <w:tcPr>
            <w:tcW w:w="1067" w:type="dxa"/>
            <w:vAlign w:val="top"/>
          </w:tcPr>
          <w:p w14:paraId="631701D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712" w:type="dxa"/>
            <w:vAlign w:val="top"/>
          </w:tcPr>
          <w:p w14:paraId="0C1783AC">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921" w:type="dxa"/>
            <w:vAlign w:val="top"/>
          </w:tcPr>
          <w:p w14:paraId="087ADC7E">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372" w:type="dxa"/>
            <w:vAlign w:val="top"/>
          </w:tcPr>
          <w:p w14:paraId="0756DF94">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r>
      <w:tr w14:paraId="46DFE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014" w:type="dxa"/>
            <w:vMerge w:val="continue"/>
            <w:tcBorders>
              <w:top w:val="nil"/>
              <w:bottom w:val="nil"/>
            </w:tcBorders>
            <w:vAlign w:val="top"/>
          </w:tcPr>
          <w:p w14:paraId="1182AC3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601D972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上年结转资金</w:t>
            </w:r>
          </w:p>
        </w:tc>
        <w:tc>
          <w:tcPr>
            <w:tcW w:w="1557" w:type="dxa"/>
            <w:vAlign w:val="top"/>
          </w:tcPr>
          <w:p w14:paraId="22F2569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93" w:type="dxa"/>
            <w:vAlign w:val="top"/>
          </w:tcPr>
          <w:p w14:paraId="1FDD07A6">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0</w:t>
            </w:r>
          </w:p>
        </w:tc>
        <w:tc>
          <w:tcPr>
            <w:tcW w:w="1067" w:type="dxa"/>
            <w:vAlign w:val="top"/>
          </w:tcPr>
          <w:p w14:paraId="10D8710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712" w:type="dxa"/>
            <w:vAlign w:val="top"/>
          </w:tcPr>
          <w:p w14:paraId="51813EB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921" w:type="dxa"/>
            <w:vAlign w:val="top"/>
          </w:tcPr>
          <w:p w14:paraId="728FD48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372" w:type="dxa"/>
            <w:vAlign w:val="top"/>
          </w:tcPr>
          <w:p w14:paraId="094C04C0">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r>
      <w:tr w14:paraId="6A55B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1014" w:type="dxa"/>
            <w:vMerge w:val="continue"/>
            <w:tcBorders>
              <w:top w:val="nil"/>
            </w:tcBorders>
            <w:vAlign w:val="top"/>
          </w:tcPr>
          <w:p w14:paraId="67E26B2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70A74B6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其他资金</w:t>
            </w:r>
          </w:p>
        </w:tc>
        <w:tc>
          <w:tcPr>
            <w:tcW w:w="1557" w:type="dxa"/>
            <w:vAlign w:val="top"/>
          </w:tcPr>
          <w:p w14:paraId="4C9AE62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93" w:type="dxa"/>
            <w:vAlign w:val="top"/>
          </w:tcPr>
          <w:p w14:paraId="4F3F069A">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0</w:t>
            </w:r>
          </w:p>
        </w:tc>
        <w:tc>
          <w:tcPr>
            <w:tcW w:w="1067" w:type="dxa"/>
            <w:vAlign w:val="top"/>
          </w:tcPr>
          <w:p w14:paraId="41332B1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712" w:type="dxa"/>
            <w:vAlign w:val="top"/>
          </w:tcPr>
          <w:p w14:paraId="6F203774">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921" w:type="dxa"/>
            <w:vAlign w:val="top"/>
          </w:tcPr>
          <w:p w14:paraId="4DC89B5C">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372" w:type="dxa"/>
            <w:vAlign w:val="top"/>
          </w:tcPr>
          <w:p w14:paraId="71C5CBB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r>
      <w:tr w14:paraId="78128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014" w:type="dxa"/>
            <w:vMerge w:val="restart"/>
            <w:tcBorders>
              <w:bottom w:val="nil"/>
            </w:tcBorders>
            <w:vAlign w:val="top"/>
          </w:tcPr>
          <w:p w14:paraId="1A1626D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年度总体</w:t>
            </w:r>
          </w:p>
          <w:p w14:paraId="0388E54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目标</w:t>
            </w:r>
          </w:p>
        </w:tc>
        <w:tc>
          <w:tcPr>
            <w:tcW w:w="4648" w:type="dxa"/>
            <w:gridSpan w:val="4"/>
            <w:vAlign w:val="top"/>
          </w:tcPr>
          <w:p w14:paraId="22B777D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预期目标</w:t>
            </w:r>
          </w:p>
        </w:tc>
        <w:tc>
          <w:tcPr>
            <w:tcW w:w="4072" w:type="dxa"/>
            <w:gridSpan w:val="4"/>
            <w:vAlign w:val="top"/>
          </w:tcPr>
          <w:p w14:paraId="4CBDC652">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实际完成情况</w:t>
            </w:r>
          </w:p>
        </w:tc>
      </w:tr>
      <w:tr w14:paraId="70016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014" w:type="dxa"/>
            <w:vMerge w:val="continue"/>
            <w:tcBorders>
              <w:top w:val="nil"/>
            </w:tcBorders>
            <w:vAlign w:val="top"/>
          </w:tcPr>
          <w:p w14:paraId="065EAAD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4648" w:type="dxa"/>
            <w:gridSpan w:val="4"/>
            <w:vAlign w:val="top"/>
          </w:tcPr>
          <w:p w14:paraId="4FF3236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eastAsia="zh-CN"/>
              </w:rPr>
              <w:t>发放奖补资金，</w:t>
            </w:r>
            <w:r>
              <w:rPr>
                <w:rFonts w:hint="eastAsia" w:ascii="Arial" w:hAnsi="Arial" w:eastAsia="宋体" w:cs="Arial"/>
                <w:snapToGrid w:val="0"/>
                <w:color w:val="000000"/>
                <w:kern w:val="0"/>
                <w:sz w:val="21"/>
                <w:szCs w:val="21"/>
                <w:lang w:eastAsia="en-US"/>
              </w:rPr>
              <w:t>推进桃江笋竹产业强基提质和旅游产业转型升级，促进竹旅文体康产业融合发展，着力打造国家全域旅游示范区和湖南千亿竹产业核心基地</w:t>
            </w:r>
          </w:p>
        </w:tc>
        <w:tc>
          <w:tcPr>
            <w:tcW w:w="4072" w:type="dxa"/>
            <w:gridSpan w:val="4"/>
            <w:vAlign w:val="top"/>
          </w:tcPr>
          <w:p w14:paraId="4DDDCF6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eastAsia="zh-CN"/>
              </w:rPr>
              <w:t>发放奖补资金，</w:t>
            </w:r>
            <w:r>
              <w:rPr>
                <w:rFonts w:hint="eastAsia" w:ascii="Arial" w:hAnsi="Arial" w:eastAsia="宋体" w:cs="Arial"/>
                <w:snapToGrid w:val="0"/>
                <w:color w:val="000000"/>
                <w:kern w:val="0"/>
                <w:sz w:val="21"/>
                <w:szCs w:val="21"/>
                <w:lang w:eastAsia="en-US"/>
              </w:rPr>
              <w:t>推进桃江笋竹产业强基提质和旅游产业转型升级，促进竹旅文体康产业融合发展，着力打造国家全域旅游示范区和湖南千亿竹产业核心基地</w:t>
            </w:r>
          </w:p>
        </w:tc>
      </w:tr>
      <w:tr w14:paraId="2784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14" w:type="dxa"/>
            <w:vMerge w:val="restart"/>
            <w:tcBorders>
              <w:bottom w:val="nil"/>
            </w:tcBorders>
            <w:textDirection w:val="tbRlV"/>
            <w:vAlign w:val="top"/>
          </w:tcPr>
          <w:p w14:paraId="1AF04AA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7479B1B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绩 效 指 标</w:t>
            </w:r>
          </w:p>
        </w:tc>
        <w:tc>
          <w:tcPr>
            <w:tcW w:w="1069" w:type="dxa"/>
            <w:vAlign w:val="top"/>
          </w:tcPr>
          <w:p w14:paraId="522FFDF9">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一级指标</w:t>
            </w:r>
          </w:p>
        </w:tc>
        <w:tc>
          <w:tcPr>
            <w:tcW w:w="929" w:type="dxa"/>
            <w:vAlign w:val="top"/>
          </w:tcPr>
          <w:p w14:paraId="25F6337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二级指标</w:t>
            </w:r>
          </w:p>
        </w:tc>
        <w:tc>
          <w:tcPr>
            <w:tcW w:w="1557" w:type="dxa"/>
            <w:vAlign w:val="top"/>
          </w:tcPr>
          <w:p w14:paraId="59F800A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三级指标</w:t>
            </w:r>
          </w:p>
        </w:tc>
        <w:tc>
          <w:tcPr>
            <w:tcW w:w="1093" w:type="dxa"/>
            <w:vAlign w:val="top"/>
          </w:tcPr>
          <w:p w14:paraId="460433B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年度指标值</w:t>
            </w:r>
          </w:p>
        </w:tc>
        <w:tc>
          <w:tcPr>
            <w:tcW w:w="1067" w:type="dxa"/>
            <w:vAlign w:val="top"/>
          </w:tcPr>
          <w:p w14:paraId="303E1BEE">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实际完成值</w:t>
            </w:r>
          </w:p>
        </w:tc>
        <w:tc>
          <w:tcPr>
            <w:tcW w:w="712" w:type="dxa"/>
            <w:vAlign w:val="top"/>
          </w:tcPr>
          <w:p w14:paraId="1A1F36D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分值</w:t>
            </w:r>
          </w:p>
        </w:tc>
        <w:tc>
          <w:tcPr>
            <w:tcW w:w="921" w:type="dxa"/>
            <w:vAlign w:val="top"/>
          </w:tcPr>
          <w:p w14:paraId="08A5533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自评得分</w:t>
            </w:r>
          </w:p>
        </w:tc>
        <w:tc>
          <w:tcPr>
            <w:tcW w:w="1372" w:type="dxa"/>
            <w:vAlign w:val="top"/>
          </w:tcPr>
          <w:p w14:paraId="1101CCE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偏差原因分析 及改进措施</w:t>
            </w:r>
          </w:p>
        </w:tc>
      </w:tr>
      <w:tr w14:paraId="4DB01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14" w:type="dxa"/>
            <w:vMerge w:val="continue"/>
            <w:tcBorders>
              <w:top w:val="nil"/>
              <w:bottom w:val="nil"/>
            </w:tcBorders>
            <w:textDirection w:val="tbRlV"/>
            <w:vAlign w:val="top"/>
          </w:tcPr>
          <w:p w14:paraId="3E6B466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restart"/>
            <w:tcBorders>
              <w:bottom w:val="nil"/>
            </w:tcBorders>
            <w:vAlign w:val="top"/>
          </w:tcPr>
          <w:p w14:paraId="107852FE">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6772368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产出指标</w:t>
            </w:r>
          </w:p>
          <w:p w14:paraId="5DF74EB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(50分)</w:t>
            </w:r>
          </w:p>
        </w:tc>
        <w:tc>
          <w:tcPr>
            <w:tcW w:w="929" w:type="dxa"/>
            <w:tcBorders>
              <w:bottom w:val="nil"/>
            </w:tcBorders>
            <w:vAlign w:val="top"/>
          </w:tcPr>
          <w:p w14:paraId="3DF5B439">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数量指标</w:t>
            </w:r>
          </w:p>
        </w:tc>
        <w:tc>
          <w:tcPr>
            <w:tcW w:w="1557" w:type="dxa"/>
            <w:shd w:val="clear" w:color="auto" w:fill="auto"/>
            <w:vAlign w:val="center"/>
          </w:tcPr>
          <w:p w14:paraId="34F655F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提高竹林面积</w:t>
            </w:r>
          </w:p>
        </w:tc>
        <w:tc>
          <w:tcPr>
            <w:tcW w:w="1093" w:type="dxa"/>
            <w:shd w:val="clear" w:color="auto" w:fill="auto"/>
            <w:vAlign w:val="center"/>
          </w:tcPr>
          <w:p w14:paraId="74FCF7A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1067" w:type="dxa"/>
            <w:shd w:val="clear" w:color="auto" w:fill="auto"/>
            <w:vAlign w:val="center"/>
          </w:tcPr>
          <w:p w14:paraId="39C0FF7E">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712" w:type="dxa"/>
            <w:shd w:val="clear" w:color="auto" w:fill="auto"/>
            <w:vAlign w:val="center"/>
          </w:tcPr>
          <w:p w14:paraId="049FBB3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921" w:type="dxa"/>
            <w:shd w:val="clear" w:color="auto" w:fill="auto"/>
            <w:vAlign w:val="center"/>
          </w:tcPr>
          <w:p w14:paraId="1A057DC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1372" w:type="dxa"/>
            <w:vAlign w:val="top"/>
          </w:tcPr>
          <w:p w14:paraId="126B45B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7D4F0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333A75B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5B98907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0F660D0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质量指标</w:t>
            </w:r>
          </w:p>
        </w:tc>
        <w:tc>
          <w:tcPr>
            <w:tcW w:w="1557" w:type="dxa"/>
            <w:shd w:val="clear" w:color="auto" w:fill="auto"/>
            <w:vAlign w:val="center"/>
          </w:tcPr>
          <w:p w14:paraId="68AC8B4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提高竹林质量</w:t>
            </w:r>
          </w:p>
        </w:tc>
        <w:tc>
          <w:tcPr>
            <w:tcW w:w="1093" w:type="dxa"/>
            <w:shd w:val="clear" w:color="auto" w:fill="auto"/>
            <w:vAlign w:val="center"/>
          </w:tcPr>
          <w:p w14:paraId="78D9D14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1067" w:type="dxa"/>
            <w:shd w:val="clear" w:color="auto" w:fill="auto"/>
            <w:vAlign w:val="center"/>
          </w:tcPr>
          <w:p w14:paraId="2D0B709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712" w:type="dxa"/>
            <w:shd w:val="clear" w:color="auto" w:fill="auto"/>
            <w:vAlign w:val="center"/>
          </w:tcPr>
          <w:p w14:paraId="024F1EC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921" w:type="dxa"/>
            <w:shd w:val="clear" w:color="auto" w:fill="auto"/>
            <w:vAlign w:val="center"/>
          </w:tcPr>
          <w:p w14:paraId="5969D56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1372" w:type="dxa"/>
            <w:vAlign w:val="top"/>
          </w:tcPr>
          <w:p w14:paraId="07EAF49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4364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1014" w:type="dxa"/>
            <w:vMerge w:val="continue"/>
            <w:tcBorders>
              <w:top w:val="nil"/>
              <w:bottom w:val="nil"/>
            </w:tcBorders>
            <w:textDirection w:val="tbRlV"/>
            <w:vAlign w:val="top"/>
          </w:tcPr>
          <w:p w14:paraId="59E787A0">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7A3119D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5484819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时效指标</w:t>
            </w:r>
          </w:p>
        </w:tc>
        <w:tc>
          <w:tcPr>
            <w:tcW w:w="1557" w:type="dxa"/>
            <w:shd w:val="clear" w:color="auto" w:fill="auto"/>
            <w:vAlign w:val="center"/>
          </w:tcPr>
          <w:p w14:paraId="29AC48A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发放奖金</w:t>
            </w:r>
            <w:r>
              <w:rPr>
                <w:rFonts w:hint="default" w:ascii="Times New Roman" w:hAnsi="Times New Roman" w:eastAsia="宋体" w:cs="Times New Roman"/>
                <w:snapToGrid/>
                <w:color w:val="000000"/>
                <w:kern w:val="0"/>
                <w:sz w:val="21"/>
                <w:szCs w:val="21"/>
                <w:lang w:val="en-US" w:eastAsia="zh-CN"/>
              </w:rPr>
              <w:t>及时率</w:t>
            </w:r>
          </w:p>
        </w:tc>
        <w:tc>
          <w:tcPr>
            <w:tcW w:w="1093" w:type="dxa"/>
            <w:shd w:val="clear" w:color="auto" w:fill="auto"/>
            <w:vAlign w:val="center"/>
          </w:tcPr>
          <w:p w14:paraId="1649622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1067" w:type="dxa"/>
            <w:shd w:val="clear" w:color="auto" w:fill="auto"/>
            <w:vAlign w:val="center"/>
          </w:tcPr>
          <w:p w14:paraId="31F34AF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712" w:type="dxa"/>
            <w:shd w:val="clear" w:color="auto" w:fill="auto"/>
            <w:vAlign w:val="center"/>
          </w:tcPr>
          <w:p w14:paraId="670F6A0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921" w:type="dxa"/>
            <w:shd w:val="clear" w:color="auto" w:fill="auto"/>
            <w:vAlign w:val="center"/>
          </w:tcPr>
          <w:p w14:paraId="4B318EF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372" w:type="dxa"/>
            <w:vAlign w:val="top"/>
          </w:tcPr>
          <w:p w14:paraId="26EF9A5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28CBD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5FE1AF2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7011A5D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344233A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成本指标</w:t>
            </w:r>
          </w:p>
        </w:tc>
        <w:tc>
          <w:tcPr>
            <w:tcW w:w="1557" w:type="dxa"/>
            <w:shd w:val="clear" w:color="auto" w:fill="auto"/>
            <w:vAlign w:val="center"/>
          </w:tcPr>
          <w:p w14:paraId="0D2DD9C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项目发放奖金</w:t>
            </w:r>
          </w:p>
        </w:tc>
        <w:tc>
          <w:tcPr>
            <w:tcW w:w="1093" w:type="dxa"/>
            <w:shd w:val="clear" w:color="auto" w:fill="auto"/>
            <w:vAlign w:val="center"/>
          </w:tcPr>
          <w:p w14:paraId="6EE0C79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181.45万元</w:t>
            </w:r>
          </w:p>
        </w:tc>
        <w:tc>
          <w:tcPr>
            <w:tcW w:w="1067" w:type="dxa"/>
            <w:shd w:val="clear" w:color="auto" w:fill="auto"/>
            <w:vAlign w:val="center"/>
          </w:tcPr>
          <w:p w14:paraId="22224A1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181.45万元</w:t>
            </w:r>
          </w:p>
        </w:tc>
        <w:tc>
          <w:tcPr>
            <w:tcW w:w="712" w:type="dxa"/>
            <w:shd w:val="clear" w:color="auto" w:fill="auto"/>
            <w:vAlign w:val="center"/>
          </w:tcPr>
          <w:p w14:paraId="5BD2B441">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921" w:type="dxa"/>
            <w:shd w:val="clear" w:color="auto" w:fill="auto"/>
            <w:vAlign w:val="center"/>
          </w:tcPr>
          <w:p w14:paraId="4603B740">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1372" w:type="dxa"/>
            <w:vAlign w:val="top"/>
          </w:tcPr>
          <w:p w14:paraId="07FB62C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12A2E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0773290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restart"/>
            <w:tcBorders>
              <w:bottom w:val="nil"/>
            </w:tcBorders>
            <w:vAlign w:val="top"/>
          </w:tcPr>
          <w:p w14:paraId="68D0C0D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1964B95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6036BC8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4198B28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效益指标</w:t>
            </w:r>
          </w:p>
          <w:p w14:paraId="4DF4B78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(30分)</w:t>
            </w:r>
          </w:p>
        </w:tc>
        <w:tc>
          <w:tcPr>
            <w:tcW w:w="929" w:type="dxa"/>
            <w:tcBorders>
              <w:bottom w:val="nil"/>
            </w:tcBorders>
            <w:vAlign w:val="top"/>
          </w:tcPr>
          <w:p w14:paraId="37042DD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经济效</w:t>
            </w:r>
          </w:p>
          <w:p w14:paraId="16FC17F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益指标</w:t>
            </w:r>
          </w:p>
        </w:tc>
        <w:tc>
          <w:tcPr>
            <w:tcW w:w="1557" w:type="dxa"/>
            <w:shd w:val="clear" w:color="auto" w:fill="auto"/>
            <w:vAlign w:val="center"/>
          </w:tcPr>
          <w:p w14:paraId="5C1D6793">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提高竹产业规模</w:t>
            </w:r>
          </w:p>
        </w:tc>
        <w:tc>
          <w:tcPr>
            <w:tcW w:w="1093" w:type="dxa"/>
            <w:shd w:val="clear" w:color="auto" w:fill="auto"/>
            <w:vAlign w:val="center"/>
          </w:tcPr>
          <w:p w14:paraId="4A35424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1067" w:type="dxa"/>
            <w:shd w:val="clear" w:color="auto" w:fill="auto"/>
            <w:vAlign w:val="center"/>
          </w:tcPr>
          <w:p w14:paraId="06315B4E">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712" w:type="dxa"/>
            <w:shd w:val="clear" w:color="auto" w:fill="auto"/>
            <w:vAlign w:val="center"/>
          </w:tcPr>
          <w:p w14:paraId="1870FB4A">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921" w:type="dxa"/>
            <w:shd w:val="clear" w:color="auto" w:fill="auto"/>
            <w:vAlign w:val="center"/>
          </w:tcPr>
          <w:p w14:paraId="6B0E07C8">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1372" w:type="dxa"/>
            <w:vAlign w:val="top"/>
          </w:tcPr>
          <w:p w14:paraId="382230A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247F7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31DBB9B3">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1E3AF91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6A67E3E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社会效</w:t>
            </w:r>
          </w:p>
          <w:p w14:paraId="7286BD2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益指标</w:t>
            </w:r>
          </w:p>
        </w:tc>
        <w:tc>
          <w:tcPr>
            <w:tcW w:w="1557" w:type="dxa"/>
            <w:shd w:val="clear" w:color="auto" w:fill="auto"/>
            <w:vAlign w:val="center"/>
          </w:tcPr>
          <w:p w14:paraId="65FF750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保障竹产业发展</w:t>
            </w:r>
          </w:p>
        </w:tc>
        <w:tc>
          <w:tcPr>
            <w:tcW w:w="1093" w:type="dxa"/>
            <w:shd w:val="clear" w:color="auto" w:fill="auto"/>
            <w:vAlign w:val="center"/>
          </w:tcPr>
          <w:p w14:paraId="6A3CE15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有效保障</w:t>
            </w:r>
          </w:p>
        </w:tc>
        <w:tc>
          <w:tcPr>
            <w:tcW w:w="1067" w:type="dxa"/>
            <w:shd w:val="clear" w:color="auto" w:fill="auto"/>
            <w:vAlign w:val="center"/>
          </w:tcPr>
          <w:p w14:paraId="699B9D1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有效保障</w:t>
            </w:r>
          </w:p>
        </w:tc>
        <w:tc>
          <w:tcPr>
            <w:tcW w:w="712" w:type="dxa"/>
            <w:shd w:val="clear" w:color="auto" w:fill="auto"/>
            <w:vAlign w:val="center"/>
          </w:tcPr>
          <w:p w14:paraId="05B63C7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921" w:type="dxa"/>
            <w:shd w:val="clear" w:color="auto" w:fill="auto"/>
            <w:vAlign w:val="center"/>
          </w:tcPr>
          <w:p w14:paraId="02B9B40E">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1372" w:type="dxa"/>
            <w:vAlign w:val="top"/>
          </w:tcPr>
          <w:p w14:paraId="56AE799E">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694C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60E3434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19D6D629">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4D58A6E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生态效</w:t>
            </w:r>
          </w:p>
          <w:p w14:paraId="44A0D20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益指标</w:t>
            </w:r>
          </w:p>
        </w:tc>
        <w:tc>
          <w:tcPr>
            <w:tcW w:w="1557" w:type="dxa"/>
            <w:shd w:val="clear" w:color="auto" w:fill="auto"/>
            <w:vAlign w:val="center"/>
          </w:tcPr>
          <w:p w14:paraId="1EC40F8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促进竹林生态发展</w:t>
            </w:r>
          </w:p>
        </w:tc>
        <w:tc>
          <w:tcPr>
            <w:tcW w:w="1093" w:type="dxa"/>
            <w:shd w:val="clear" w:color="auto" w:fill="auto"/>
            <w:vAlign w:val="center"/>
          </w:tcPr>
          <w:p w14:paraId="37F2A52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w:t>
            </w:r>
          </w:p>
        </w:tc>
        <w:tc>
          <w:tcPr>
            <w:tcW w:w="1067" w:type="dxa"/>
            <w:shd w:val="clear" w:color="auto" w:fill="auto"/>
            <w:vAlign w:val="center"/>
          </w:tcPr>
          <w:p w14:paraId="436E507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w:t>
            </w:r>
          </w:p>
        </w:tc>
        <w:tc>
          <w:tcPr>
            <w:tcW w:w="712" w:type="dxa"/>
            <w:shd w:val="clear" w:color="auto" w:fill="auto"/>
            <w:vAlign w:val="center"/>
          </w:tcPr>
          <w:p w14:paraId="13C0F3A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921" w:type="dxa"/>
            <w:shd w:val="clear" w:color="auto" w:fill="auto"/>
            <w:vAlign w:val="center"/>
          </w:tcPr>
          <w:p w14:paraId="12000BE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372" w:type="dxa"/>
            <w:vAlign w:val="top"/>
          </w:tcPr>
          <w:p w14:paraId="4F17715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1865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1014" w:type="dxa"/>
            <w:vMerge w:val="continue"/>
            <w:tcBorders>
              <w:top w:val="nil"/>
              <w:bottom w:val="nil"/>
            </w:tcBorders>
            <w:textDirection w:val="tbRlV"/>
            <w:vAlign w:val="top"/>
          </w:tcPr>
          <w:p w14:paraId="1BCA9A8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2217E01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305A399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可持续</w:t>
            </w:r>
          </w:p>
          <w:p w14:paraId="6C7AEA69">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影响指标</w:t>
            </w:r>
          </w:p>
        </w:tc>
        <w:tc>
          <w:tcPr>
            <w:tcW w:w="1557" w:type="dxa"/>
            <w:shd w:val="clear" w:color="auto" w:fill="auto"/>
            <w:vAlign w:val="center"/>
          </w:tcPr>
          <w:p w14:paraId="4ACE6F7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促进竹产业可持续发展</w:t>
            </w:r>
          </w:p>
        </w:tc>
        <w:tc>
          <w:tcPr>
            <w:tcW w:w="1093" w:type="dxa"/>
            <w:shd w:val="clear" w:color="auto" w:fill="auto"/>
            <w:vAlign w:val="center"/>
          </w:tcPr>
          <w:p w14:paraId="553B007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可持续</w:t>
            </w:r>
          </w:p>
        </w:tc>
        <w:tc>
          <w:tcPr>
            <w:tcW w:w="1067" w:type="dxa"/>
            <w:shd w:val="clear" w:color="auto" w:fill="auto"/>
            <w:vAlign w:val="center"/>
          </w:tcPr>
          <w:p w14:paraId="3434A7E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可持续</w:t>
            </w:r>
          </w:p>
        </w:tc>
        <w:tc>
          <w:tcPr>
            <w:tcW w:w="712" w:type="dxa"/>
            <w:shd w:val="clear" w:color="auto" w:fill="auto"/>
            <w:vAlign w:val="center"/>
          </w:tcPr>
          <w:p w14:paraId="09653D8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921" w:type="dxa"/>
            <w:shd w:val="clear" w:color="auto" w:fill="auto"/>
            <w:vAlign w:val="center"/>
          </w:tcPr>
          <w:p w14:paraId="1FB9E86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372" w:type="dxa"/>
            <w:vAlign w:val="top"/>
          </w:tcPr>
          <w:p w14:paraId="1A9CD75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6BF43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14" w:type="dxa"/>
            <w:vMerge w:val="continue"/>
            <w:tcBorders>
              <w:top w:val="nil"/>
              <w:bottom w:val="nil"/>
            </w:tcBorders>
            <w:textDirection w:val="tbRlV"/>
            <w:vAlign w:val="top"/>
          </w:tcPr>
          <w:p w14:paraId="5B5536D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tcBorders>
              <w:bottom w:val="nil"/>
            </w:tcBorders>
            <w:vAlign w:val="top"/>
          </w:tcPr>
          <w:p w14:paraId="699EC37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满意度 指标  (10分)</w:t>
            </w:r>
          </w:p>
        </w:tc>
        <w:tc>
          <w:tcPr>
            <w:tcW w:w="929" w:type="dxa"/>
            <w:tcBorders>
              <w:bottom w:val="nil"/>
            </w:tcBorders>
            <w:vAlign w:val="top"/>
          </w:tcPr>
          <w:p w14:paraId="5E0141D3">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服务对象满意度指标</w:t>
            </w:r>
          </w:p>
        </w:tc>
        <w:tc>
          <w:tcPr>
            <w:tcW w:w="1557" w:type="dxa"/>
            <w:shd w:val="clear" w:color="auto" w:fill="auto"/>
            <w:vAlign w:val="center"/>
          </w:tcPr>
          <w:p w14:paraId="62C7F66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农民、企业等满意度</w:t>
            </w:r>
          </w:p>
        </w:tc>
        <w:tc>
          <w:tcPr>
            <w:tcW w:w="1093" w:type="dxa"/>
            <w:shd w:val="clear" w:color="auto" w:fill="auto"/>
            <w:vAlign w:val="center"/>
          </w:tcPr>
          <w:p w14:paraId="6ED0CE6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≥95%</w:t>
            </w:r>
          </w:p>
        </w:tc>
        <w:tc>
          <w:tcPr>
            <w:tcW w:w="1067" w:type="dxa"/>
            <w:shd w:val="clear" w:color="auto" w:fill="auto"/>
            <w:vAlign w:val="center"/>
          </w:tcPr>
          <w:p w14:paraId="6FEBBD6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93%</w:t>
            </w:r>
          </w:p>
        </w:tc>
        <w:tc>
          <w:tcPr>
            <w:tcW w:w="712" w:type="dxa"/>
            <w:shd w:val="clear" w:color="auto" w:fill="auto"/>
            <w:vAlign w:val="center"/>
          </w:tcPr>
          <w:p w14:paraId="264F0AB8">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921" w:type="dxa"/>
            <w:shd w:val="clear" w:color="auto" w:fill="auto"/>
            <w:vAlign w:val="center"/>
          </w:tcPr>
          <w:p w14:paraId="64B677ED">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8</w:t>
            </w:r>
          </w:p>
        </w:tc>
        <w:tc>
          <w:tcPr>
            <w:tcW w:w="1372" w:type="dxa"/>
            <w:shd w:val="clear" w:color="auto" w:fill="auto"/>
            <w:vAlign w:val="center"/>
          </w:tcPr>
          <w:p w14:paraId="4C5A231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反馈沟通欠缺</w:t>
            </w:r>
          </w:p>
        </w:tc>
      </w:tr>
      <w:tr w14:paraId="006C7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729" w:type="dxa"/>
            <w:gridSpan w:val="6"/>
            <w:vAlign w:val="top"/>
          </w:tcPr>
          <w:p w14:paraId="0F38F81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总分</w:t>
            </w:r>
          </w:p>
        </w:tc>
        <w:tc>
          <w:tcPr>
            <w:tcW w:w="712" w:type="dxa"/>
            <w:vAlign w:val="top"/>
          </w:tcPr>
          <w:p w14:paraId="4117793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921" w:type="dxa"/>
            <w:vAlign w:val="top"/>
          </w:tcPr>
          <w:p w14:paraId="320025BC">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98</w:t>
            </w:r>
          </w:p>
        </w:tc>
        <w:tc>
          <w:tcPr>
            <w:tcW w:w="1372" w:type="dxa"/>
            <w:vAlign w:val="top"/>
          </w:tcPr>
          <w:p w14:paraId="405DA6D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bl>
    <w:p w14:paraId="7F74847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1FCC8672">
      <w:pPr>
        <w:widowControl/>
        <w:kinsoku w:val="0"/>
        <w:autoSpaceDE w:val="0"/>
        <w:autoSpaceDN w:val="0"/>
        <w:adjustRightInd w:val="0"/>
        <w:snapToGrid w:val="0"/>
        <w:spacing w:line="320" w:lineRule="exact"/>
        <w:jc w:val="left"/>
        <w:textAlignment w:val="baseline"/>
        <w:rPr>
          <w:rFonts w:ascii="Arial" w:hAnsi="Arial" w:eastAsia="宋体" w:cs="Arial"/>
          <w:snapToGrid w:val="0"/>
          <w:color w:val="000000"/>
          <w:kern w:val="0"/>
          <w:sz w:val="21"/>
          <w:szCs w:val="21"/>
          <w:lang w:eastAsia="en-US"/>
        </w:rPr>
      </w:pPr>
      <w:r>
        <w:rPr>
          <w:rFonts w:ascii="Arial" w:hAnsi="宋体" w:eastAsia="宋体" w:cs="Arial"/>
          <w:snapToGrid w:val="0"/>
          <w:color w:val="000000"/>
          <w:kern w:val="0"/>
          <w:sz w:val="21"/>
          <w:szCs w:val="21"/>
          <w:lang w:eastAsia="en-US"/>
        </w:rPr>
        <w:t>备注：</w:t>
      </w:r>
      <w:r>
        <w:rPr>
          <w:rFonts w:ascii="Arial" w:hAnsi="Arial" w:eastAsia="宋体" w:cs="Arial"/>
          <w:snapToGrid w:val="0"/>
          <w:color w:val="000000"/>
          <w:kern w:val="0"/>
          <w:sz w:val="21"/>
          <w:szCs w:val="21"/>
          <w:lang w:eastAsia="en-US"/>
        </w:rPr>
        <w:t xml:space="preserve"> </w:t>
      </w:r>
      <w:r>
        <w:rPr>
          <w:rFonts w:ascii="Arial" w:hAnsi="宋体" w:eastAsia="宋体" w:cs="Arial"/>
          <w:snapToGrid w:val="0"/>
          <w:color w:val="000000"/>
          <w:kern w:val="0"/>
          <w:sz w:val="21"/>
          <w:szCs w:val="21"/>
          <w:lang w:eastAsia="en-US"/>
        </w:rPr>
        <w:t>每个项目支出一张表。</w:t>
      </w:r>
    </w:p>
    <w:p w14:paraId="1F57AFB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r>
        <w:rPr>
          <w:rFonts w:ascii="Times New Roman" w:hAnsi="宋体" w:eastAsia="宋体" w:cs="Times New Roman"/>
          <w:snapToGrid/>
          <w:color w:val="000000"/>
          <w:kern w:val="0"/>
          <w:sz w:val="21"/>
          <w:szCs w:val="21"/>
          <w:lang w:eastAsia="zh-CN"/>
        </w:rPr>
        <w:t>填表人：</w:t>
      </w:r>
      <w:r>
        <w:rPr>
          <w:rFonts w:hint="eastAsia" w:ascii="Times New Roman" w:hAnsi="宋体" w:eastAsia="宋体" w:cs="Times New Roman"/>
          <w:snapToGrid/>
          <w:color w:val="000000"/>
          <w:kern w:val="0"/>
          <w:sz w:val="21"/>
          <w:szCs w:val="21"/>
          <w:lang w:eastAsia="zh-CN"/>
        </w:rPr>
        <w:t>艾昱宏</w:t>
      </w:r>
      <w:r>
        <w:rPr>
          <w:rFonts w:ascii="Times New Roman" w:hAnsi="宋体" w:eastAsia="宋体" w:cs="Times New Roman"/>
          <w:snapToGrid/>
          <w:color w:val="000000"/>
          <w:kern w:val="0"/>
          <w:sz w:val="21"/>
          <w:szCs w:val="21"/>
          <w:lang w:eastAsia="zh-CN"/>
        </w:rPr>
        <w:t xml:space="preserve">  </w:t>
      </w:r>
      <w:r>
        <w:rPr>
          <w:rFonts w:hint="eastAsia" w:ascii="Times New Roman" w:hAnsi="宋体" w:eastAsia="宋体" w:cs="Times New Roman"/>
          <w:snapToGrid/>
          <w:color w:val="000000"/>
          <w:kern w:val="0"/>
          <w:sz w:val="21"/>
          <w:szCs w:val="21"/>
          <w:lang w:val="en-US" w:eastAsia="zh-CN"/>
        </w:rPr>
        <w:t xml:space="preserve">                                             </w:t>
      </w:r>
      <w:r>
        <w:rPr>
          <w:rFonts w:ascii="Times New Roman" w:hAnsi="宋体" w:eastAsia="宋体" w:cs="Times New Roman"/>
          <w:snapToGrid/>
          <w:color w:val="000000"/>
          <w:kern w:val="0"/>
          <w:sz w:val="21"/>
          <w:szCs w:val="21"/>
          <w:lang w:eastAsia="zh-CN"/>
        </w:rPr>
        <w:t xml:space="preserve"> 单位负责人签字</w:t>
      </w:r>
      <w:r>
        <w:rPr>
          <w:rFonts w:hint="eastAsia" w:ascii="Times New Roman" w:hAnsi="宋体" w:eastAsia="宋体" w:cs="Times New Roman"/>
          <w:snapToGrid/>
          <w:color w:val="000000"/>
          <w:kern w:val="0"/>
          <w:sz w:val="21"/>
          <w:szCs w:val="21"/>
          <w:lang w:eastAsia="zh-CN"/>
        </w:rPr>
        <w:t>：黄海龙</w:t>
      </w:r>
    </w:p>
    <w:p w14:paraId="42EA1590">
      <w:pPr>
        <w:spacing w:line="124" w:lineRule="exact"/>
        <w:rPr>
          <w:rFonts w:ascii="Arial"/>
          <w:sz w:val="10"/>
        </w:rPr>
        <w:sectPr>
          <w:pgSz w:w="11906" w:h="16838"/>
          <w:pgMar w:top="1814" w:right="1361" w:bottom="1644" w:left="1587" w:header="851" w:footer="992" w:gutter="0"/>
          <w:pgNumType w:fmt="decimal"/>
          <w:cols w:space="425" w:num="1"/>
          <w:docGrid w:type="lines" w:linePitch="312" w:charSpace="0"/>
        </w:sectPr>
      </w:pPr>
    </w:p>
    <w:p w14:paraId="03FE00CD">
      <w:pPr>
        <w:kinsoku w:val="0"/>
        <w:autoSpaceDE w:val="0"/>
        <w:autoSpaceDN w:val="0"/>
        <w:adjustRightInd w:val="0"/>
        <w:snapToGrid w:val="0"/>
        <w:spacing w:before="171" w:line="219" w:lineRule="auto"/>
        <w:ind w:left="971"/>
        <w:jc w:val="left"/>
        <w:textAlignment w:val="baseline"/>
        <w:rPr>
          <w:rFonts w:ascii="宋体" w:hAnsi="宋体" w:eastAsia="宋体" w:cs="宋体"/>
          <w:snapToGrid w:val="0"/>
          <w:color w:val="000000"/>
          <w:kern w:val="0"/>
          <w:sz w:val="44"/>
          <w:szCs w:val="44"/>
          <w:lang w:val="en-US" w:eastAsia="en-US" w:bidi="ar-SA"/>
        </w:rPr>
      </w:pPr>
      <w:r>
        <w:rPr>
          <w:rFonts w:ascii="Times New Roman" w:hAnsi="Times New Roman" w:eastAsia="方正小标宋简体" w:cs="Times New Roman"/>
          <w:bCs/>
          <w:snapToGrid/>
          <w:color w:val="000000"/>
          <w:kern w:val="0"/>
          <w:sz w:val="44"/>
          <w:szCs w:val="44"/>
          <w:lang w:val="en-US" w:eastAsia="zh-CN" w:bidi="ar-SA"/>
        </w:rPr>
        <w:t>桃江县2024年度项目支出绩效自评表</w:t>
      </w:r>
    </w:p>
    <w:p w14:paraId="1DB04AF8">
      <w:pPr>
        <w:widowControl/>
        <w:kinsoku w:val="0"/>
        <w:autoSpaceDE w:val="0"/>
        <w:autoSpaceDN w:val="0"/>
        <w:adjustRightInd w:val="0"/>
        <w:snapToGrid w:val="0"/>
        <w:spacing w:line="160" w:lineRule="exact"/>
        <w:jc w:val="left"/>
        <w:textAlignment w:val="baseline"/>
        <w:rPr>
          <w:rFonts w:ascii="Arial" w:hAnsi="Arial" w:eastAsia="Arial" w:cs="Arial"/>
          <w:snapToGrid w:val="0"/>
          <w:color w:val="000000"/>
          <w:kern w:val="0"/>
          <w:sz w:val="21"/>
          <w:szCs w:val="21"/>
          <w:lang w:eastAsia="en-US"/>
        </w:rPr>
      </w:pPr>
    </w:p>
    <w:tbl>
      <w:tblPr>
        <w:tblStyle w:val="9"/>
        <w:tblW w:w="97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1069"/>
        <w:gridCol w:w="929"/>
        <w:gridCol w:w="1541"/>
        <w:gridCol w:w="1109"/>
        <w:gridCol w:w="1067"/>
        <w:gridCol w:w="712"/>
        <w:gridCol w:w="921"/>
        <w:gridCol w:w="1372"/>
      </w:tblGrid>
      <w:tr w14:paraId="5E92D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012" w:type="dxa"/>
            <w:gridSpan w:val="3"/>
            <w:vAlign w:val="top"/>
          </w:tcPr>
          <w:p w14:paraId="704594D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项目支出名称</w:t>
            </w:r>
          </w:p>
        </w:tc>
        <w:tc>
          <w:tcPr>
            <w:tcW w:w="6722" w:type="dxa"/>
            <w:gridSpan w:val="6"/>
            <w:vAlign w:val="top"/>
          </w:tcPr>
          <w:p w14:paraId="67DB8B2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Arial" w:cs="Times New Roman"/>
                <w:snapToGrid w:val="0"/>
                <w:color w:val="000000"/>
                <w:kern w:val="0"/>
                <w:sz w:val="21"/>
                <w:szCs w:val="21"/>
                <w:lang w:val="en-US" w:eastAsia="zh-CN"/>
              </w:rPr>
              <w:t>2024年“以竹代塑”</w:t>
            </w:r>
            <w:r>
              <w:rPr>
                <w:rFonts w:hint="eastAsia" w:ascii="Arial" w:hAnsi="Arial" w:eastAsia="Arial" w:cs="Arial"/>
                <w:snapToGrid w:val="0"/>
                <w:color w:val="000000"/>
                <w:kern w:val="0"/>
                <w:sz w:val="21"/>
                <w:szCs w:val="21"/>
                <w:lang w:val="en-US" w:eastAsia="zh-CN"/>
              </w:rPr>
              <w:t>产业高质量发展推进专项经费</w:t>
            </w:r>
          </w:p>
        </w:tc>
      </w:tr>
      <w:tr w14:paraId="6A5E4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14" w:type="dxa"/>
            <w:vAlign w:val="top"/>
          </w:tcPr>
          <w:p w14:paraId="2776435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主管部门</w:t>
            </w:r>
          </w:p>
        </w:tc>
        <w:tc>
          <w:tcPr>
            <w:tcW w:w="4648" w:type="dxa"/>
            <w:gridSpan w:val="4"/>
            <w:vAlign w:val="top"/>
          </w:tcPr>
          <w:p w14:paraId="33F0B004">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桃江县竹产业发展服务中心</w:t>
            </w:r>
          </w:p>
        </w:tc>
        <w:tc>
          <w:tcPr>
            <w:tcW w:w="1067" w:type="dxa"/>
            <w:vAlign w:val="top"/>
          </w:tcPr>
          <w:p w14:paraId="260E359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实施单位</w:t>
            </w:r>
          </w:p>
        </w:tc>
        <w:tc>
          <w:tcPr>
            <w:tcW w:w="3005" w:type="dxa"/>
            <w:gridSpan w:val="3"/>
            <w:vAlign w:val="top"/>
          </w:tcPr>
          <w:p w14:paraId="2796CBF2">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桃江县竹产业发展服务中心</w:t>
            </w:r>
          </w:p>
        </w:tc>
      </w:tr>
      <w:tr w14:paraId="6BFD1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14" w:type="dxa"/>
            <w:vMerge w:val="restart"/>
            <w:tcBorders>
              <w:bottom w:val="nil"/>
            </w:tcBorders>
            <w:vAlign w:val="top"/>
          </w:tcPr>
          <w:p w14:paraId="05F0DDD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7F24280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59C22BA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5510FC7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项目资金</w:t>
            </w:r>
          </w:p>
          <w:p w14:paraId="2416E8D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(万元)</w:t>
            </w:r>
          </w:p>
        </w:tc>
        <w:tc>
          <w:tcPr>
            <w:tcW w:w="1998" w:type="dxa"/>
            <w:gridSpan w:val="2"/>
            <w:vAlign w:val="top"/>
          </w:tcPr>
          <w:p w14:paraId="6561F233">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541" w:type="dxa"/>
            <w:vAlign w:val="top"/>
          </w:tcPr>
          <w:p w14:paraId="660EFE9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年初预算数</w:t>
            </w:r>
          </w:p>
        </w:tc>
        <w:tc>
          <w:tcPr>
            <w:tcW w:w="1109" w:type="dxa"/>
            <w:vAlign w:val="top"/>
          </w:tcPr>
          <w:p w14:paraId="5F6F849E">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全年预算数</w:t>
            </w:r>
          </w:p>
        </w:tc>
        <w:tc>
          <w:tcPr>
            <w:tcW w:w="1067" w:type="dxa"/>
            <w:vAlign w:val="top"/>
          </w:tcPr>
          <w:p w14:paraId="41AEC21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全年执行数</w:t>
            </w:r>
          </w:p>
        </w:tc>
        <w:tc>
          <w:tcPr>
            <w:tcW w:w="712" w:type="dxa"/>
            <w:vAlign w:val="top"/>
          </w:tcPr>
          <w:p w14:paraId="687A184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分值</w:t>
            </w:r>
          </w:p>
        </w:tc>
        <w:tc>
          <w:tcPr>
            <w:tcW w:w="921" w:type="dxa"/>
            <w:vAlign w:val="top"/>
          </w:tcPr>
          <w:p w14:paraId="30ECF055">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执行率</w:t>
            </w:r>
          </w:p>
        </w:tc>
        <w:tc>
          <w:tcPr>
            <w:tcW w:w="1372" w:type="dxa"/>
            <w:vAlign w:val="top"/>
          </w:tcPr>
          <w:p w14:paraId="512D456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自评得分</w:t>
            </w:r>
          </w:p>
        </w:tc>
      </w:tr>
      <w:tr w14:paraId="740A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14" w:type="dxa"/>
            <w:vMerge w:val="continue"/>
            <w:tcBorders>
              <w:top w:val="nil"/>
              <w:bottom w:val="nil"/>
            </w:tcBorders>
            <w:vAlign w:val="top"/>
          </w:tcPr>
          <w:p w14:paraId="3A011FC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3324759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年度资金总额</w:t>
            </w:r>
          </w:p>
        </w:tc>
        <w:tc>
          <w:tcPr>
            <w:tcW w:w="1541" w:type="dxa"/>
            <w:vAlign w:val="top"/>
          </w:tcPr>
          <w:p w14:paraId="47005225">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0</w:t>
            </w:r>
          </w:p>
        </w:tc>
        <w:tc>
          <w:tcPr>
            <w:tcW w:w="1109" w:type="dxa"/>
            <w:vAlign w:val="top"/>
          </w:tcPr>
          <w:p w14:paraId="6797AF41">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47.77</w:t>
            </w:r>
          </w:p>
        </w:tc>
        <w:tc>
          <w:tcPr>
            <w:tcW w:w="1067" w:type="dxa"/>
            <w:vAlign w:val="top"/>
          </w:tcPr>
          <w:p w14:paraId="75FBF3FE">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47.77</w:t>
            </w:r>
          </w:p>
        </w:tc>
        <w:tc>
          <w:tcPr>
            <w:tcW w:w="712" w:type="dxa"/>
            <w:vAlign w:val="top"/>
          </w:tcPr>
          <w:p w14:paraId="40D285A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10</w:t>
            </w:r>
          </w:p>
        </w:tc>
        <w:tc>
          <w:tcPr>
            <w:tcW w:w="921" w:type="dxa"/>
            <w:vAlign w:val="top"/>
          </w:tcPr>
          <w:p w14:paraId="4D041BE8">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100%</w:t>
            </w:r>
          </w:p>
        </w:tc>
        <w:tc>
          <w:tcPr>
            <w:tcW w:w="1372" w:type="dxa"/>
            <w:vAlign w:val="top"/>
          </w:tcPr>
          <w:p w14:paraId="37085AE4">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10</w:t>
            </w:r>
          </w:p>
        </w:tc>
      </w:tr>
      <w:tr w14:paraId="3F617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14" w:type="dxa"/>
            <w:vMerge w:val="continue"/>
            <w:tcBorders>
              <w:top w:val="nil"/>
              <w:bottom w:val="nil"/>
            </w:tcBorders>
            <w:vAlign w:val="top"/>
          </w:tcPr>
          <w:p w14:paraId="773DE50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3E2B1BA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其中：当年财政拨款</w:t>
            </w:r>
          </w:p>
        </w:tc>
        <w:tc>
          <w:tcPr>
            <w:tcW w:w="1541" w:type="dxa"/>
            <w:vAlign w:val="top"/>
          </w:tcPr>
          <w:p w14:paraId="74E355C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109" w:type="dxa"/>
            <w:vAlign w:val="top"/>
          </w:tcPr>
          <w:p w14:paraId="206B65C1">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47.77</w:t>
            </w:r>
          </w:p>
        </w:tc>
        <w:tc>
          <w:tcPr>
            <w:tcW w:w="1067" w:type="dxa"/>
            <w:vAlign w:val="top"/>
          </w:tcPr>
          <w:p w14:paraId="6E474454">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712" w:type="dxa"/>
            <w:vAlign w:val="top"/>
          </w:tcPr>
          <w:p w14:paraId="04D7E42E">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921" w:type="dxa"/>
            <w:vAlign w:val="top"/>
          </w:tcPr>
          <w:p w14:paraId="66A3222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372" w:type="dxa"/>
            <w:vAlign w:val="top"/>
          </w:tcPr>
          <w:p w14:paraId="095945A5">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r>
      <w:tr w14:paraId="1C71F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14" w:type="dxa"/>
            <w:vMerge w:val="continue"/>
            <w:tcBorders>
              <w:top w:val="nil"/>
              <w:bottom w:val="nil"/>
            </w:tcBorders>
            <w:vAlign w:val="top"/>
          </w:tcPr>
          <w:p w14:paraId="362EF7C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54F4EF25">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上年结转资金</w:t>
            </w:r>
          </w:p>
        </w:tc>
        <w:tc>
          <w:tcPr>
            <w:tcW w:w="1541" w:type="dxa"/>
            <w:vAlign w:val="top"/>
          </w:tcPr>
          <w:p w14:paraId="3CBC823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109" w:type="dxa"/>
            <w:vAlign w:val="top"/>
          </w:tcPr>
          <w:p w14:paraId="682DD768">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0</w:t>
            </w:r>
          </w:p>
        </w:tc>
        <w:tc>
          <w:tcPr>
            <w:tcW w:w="1067" w:type="dxa"/>
            <w:vAlign w:val="top"/>
          </w:tcPr>
          <w:p w14:paraId="0E3CBD2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712" w:type="dxa"/>
            <w:vAlign w:val="top"/>
          </w:tcPr>
          <w:p w14:paraId="0221811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921" w:type="dxa"/>
            <w:vAlign w:val="top"/>
          </w:tcPr>
          <w:p w14:paraId="547C334D">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372" w:type="dxa"/>
            <w:vAlign w:val="top"/>
          </w:tcPr>
          <w:p w14:paraId="11540AD4">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r>
      <w:tr w14:paraId="15F1E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14" w:type="dxa"/>
            <w:vMerge w:val="continue"/>
            <w:tcBorders>
              <w:top w:val="nil"/>
            </w:tcBorders>
            <w:vAlign w:val="top"/>
          </w:tcPr>
          <w:p w14:paraId="6160CCEE">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998" w:type="dxa"/>
            <w:gridSpan w:val="2"/>
            <w:vAlign w:val="top"/>
          </w:tcPr>
          <w:p w14:paraId="37124F05">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其他资金</w:t>
            </w:r>
          </w:p>
        </w:tc>
        <w:tc>
          <w:tcPr>
            <w:tcW w:w="1541" w:type="dxa"/>
            <w:vAlign w:val="top"/>
          </w:tcPr>
          <w:p w14:paraId="3181C78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109" w:type="dxa"/>
            <w:vAlign w:val="top"/>
          </w:tcPr>
          <w:p w14:paraId="1133936D">
            <w:pPr>
              <w:widowControl w:val="0"/>
              <w:kinsoku/>
              <w:autoSpaceDE w:val="0"/>
              <w:autoSpaceDN w:val="0"/>
              <w:adjustRightInd/>
              <w:snapToGrid/>
              <w:spacing w:line="320" w:lineRule="exact"/>
              <w:jc w:val="center"/>
              <w:textAlignment w:val="auto"/>
              <w:rPr>
                <w:rFonts w:hint="default"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0</w:t>
            </w:r>
          </w:p>
        </w:tc>
        <w:tc>
          <w:tcPr>
            <w:tcW w:w="1067" w:type="dxa"/>
            <w:vAlign w:val="top"/>
          </w:tcPr>
          <w:p w14:paraId="4217CE34">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712" w:type="dxa"/>
            <w:vAlign w:val="top"/>
          </w:tcPr>
          <w:p w14:paraId="15460F74">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921" w:type="dxa"/>
            <w:vAlign w:val="top"/>
          </w:tcPr>
          <w:p w14:paraId="1D91C2E0">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372" w:type="dxa"/>
            <w:vAlign w:val="top"/>
          </w:tcPr>
          <w:p w14:paraId="50C4ED0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r>
      <w:tr w14:paraId="5D7D2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14" w:type="dxa"/>
            <w:vMerge w:val="restart"/>
            <w:tcBorders>
              <w:bottom w:val="nil"/>
            </w:tcBorders>
            <w:vAlign w:val="top"/>
          </w:tcPr>
          <w:p w14:paraId="48760F2A">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年度总体</w:t>
            </w:r>
          </w:p>
          <w:p w14:paraId="60B1A3D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目标</w:t>
            </w:r>
          </w:p>
        </w:tc>
        <w:tc>
          <w:tcPr>
            <w:tcW w:w="4648" w:type="dxa"/>
            <w:gridSpan w:val="4"/>
            <w:vAlign w:val="top"/>
          </w:tcPr>
          <w:p w14:paraId="51B07C3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预期目标</w:t>
            </w:r>
          </w:p>
        </w:tc>
        <w:tc>
          <w:tcPr>
            <w:tcW w:w="4072" w:type="dxa"/>
            <w:gridSpan w:val="4"/>
            <w:vAlign w:val="top"/>
          </w:tcPr>
          <w:p w14:paraId="1E884D1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实际完成情况</w:t>
            </w:r>
          </w:p>
        </w:tc>
      </w:tr>
      <w:tr w14:paraId="3BC3A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14" w:type="dxa"/>
            <w:vMerge w:val="continue"/>
            <w:tcBorders>
              <w:top w:val="nil"/>
            </w:tcBorders>
            <w:vAlign w:val="top"/>
          </w:tcPr>
          <w:p w14:paraId="0E3F72E2">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4648" w:type="dxa"/>
            <w:gridSpan w:val="4"/>
            <w:vAlign w:val="top"/>
          </w:tcPr>
          <w:p w14:paraId="7F6337F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明确发展目标，推动政策落地。</w:t>
            </w:r>
          </w:p>
        </w:tc>
        <w:tc>
          <w:tcPr>
            <w:tcW w:w="4072" w:type="dxa"/>
            <w:gridSpan w:val="4"/>
            <w:shd w:val="clear" w:color="auto" w:fill="auto"/>
            <w:vAlign w:val="top"/>
          </w:tcPr>
          <w:p w14:paraId="60FD230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bidi="ar-SA"/>
              </w:rPr>
            </w:pPr>
            <w:r>
              <w:rPr>
                <w:rFonts w:hint="eastAsia" w:ascii="Times New Roman" w:hAnsi="宋体" w:eastAsia="宋体" w:cs="Times New Roman"/>
                <w:snapToGrid/>
                <w:color w:val="000000"/>
                <w:kern w:val="0"/>
                <w:sz w:val="21"/>
                <w:szCs w:val="21"/>
                <w:lang w:val="en-US" w:eastAsia="zh-CN"/>
              </w:rPr>
              <w:t>明确发展目标，推动政策落地。</w:t>
            </w:r>
          </w:p>
        </w:tc>
      </w:tr>
      <w:tr w14:paraId="38E1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14" w:type="dxa"/>
            <w:vMerge w:val="restart"/>
            <w:tcBorders>
              <w:bottom w:val="nil"/>
            </w:tcBorders>
            <w:textDirection w:val="tbRlV"/>
            <w:vAlign w:val="top"/>
          </w:tcPr>
          <w:p w14:paraId="1E85E96F">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p w14:paraId="6EE6D225">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r>
              <w:rPr>
                <w:rFonts w:hint="eastAsia" w:ascii="Times New Roman" w:hAnsi="宋体" w:eastAsia="宋体" w:cs="Times New Roman"/>
                <w:snapToGrid/>
                <w:color w:val="000000"/>
                <w:kern w:val="0"/>
                <w:sz w:val="21"/>
                <w:szCs w:val="21"/>
                <w:lang w:val="en-US" w:eastAsia="zh-CN"/>
              </w:rPr>
              <w:t>绩 效 指 标</w:t>
            </w:r>
          </w:p>
        </w:tc>
        <w:tc>
          <w:tcPr>
            <w:tcW w:w="1069" w:type="dxa"/>
            <w:vAlign w:val="top"/>
          </w:tcPr>
          <w:p w14:paraId="61CF9F4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一级指标</w:t>
            </w:r>
          </w:p>
        </w:tc>
        <w:tc>
          <w:tcPr>
            <w:tcW w:w="929" w:type="dxa"/>
            <w:vAlign w:val="top"/>
          </w:tcPr>
          <w:p w14:paraId="60732B3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二级指标</w:t>
            </w:r>
          </w:p>
        </w:tc>
        <w:tc>
          <w:tcPr>
            <w:tcW w:w="1541" w:type="dxa"/>
            <w:vAlign w:val="top"/>
          </w:tcPr>
          <w:p w14:paraId="216917B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三级指标</w:t>
            </w:r>
          </w:p>
        </w:tc>
        <w:tc>
          <w:tcPr>
            <w:tcW w:w="1109" w:type="dxa"/>
            <w:vAlign w:val="top"/>
          </w:tcPr>
          <w:p w14:paraId="5E3B197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年度指标值</w:t>
            </w:r>
          </w:p>
        </w:tc>
        <w:tc>
          <w:tcPr>
            <w:tcW w:w="1067" w:type="dxa"/>
            <w:vAlign w:val="top"/>
          </w:tcPr>
          <w:p w14:paraId="6C34561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实际完成值</w:t>
            </w:r>
          </w:p>
        </w:tc>
        <w:tc>
          <w:tcPr>
            <w:tcW w:w="712" w:type="dxa"/>
            <w:vAlign w:val="top"/>
          </w:tcPr>
          <w:p w14:paraId="1AFEF1D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分值</w:t>
            </w:r>
          </w:p>
        </w:tc>
        <w:tc>
          <w:tcPr>
            <w:tcW w:w="921" w:type="dxa"/>
            <w:vAlign w:val="top"/>
          </w:tcPr>
          <w:p w14:paraId="2ADFFCD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自评得分</w:t>
            </w:r>
          </w:p>
        </w:tc>
        <w:tc>
          <w:tcPr>
            <w:tcW w:w="1372" w:type="dxa"/>
            <w:vAlign w:val="top"/>
          </w:tcPr>
          <w:p w14:paraId="182D944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偏差原因分析 及改进措施</w:t>
            </w:r>
          </w:p>
        </w:tc>
      </w:tr>
      <w:tr w14:paraId="0AB2C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14" w:type="dxa"/>
            <w:vMerge w:val="continue"/>
            <w:tcBorders>
              <w:top w:val="nil"/>
              <w:bottom w:val="nil"/>
            </w:tcBorders>
            <w:textDirection w:val="tbRlV"/>
            <w:vAlign w:val="top"/>
          </w:tcPr>
          <w:p w14:paraId="1D755BD1">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restart"/>
            <w:tcBorders>
              <w:bottom w:val="nil"/>
            </w:tcBorders>
            <w:vAlign w:val="top"/>
          </w:tcPr>
          <w:p w14:paraId="1A00A24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1B53217E">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产出指标</w:t>
            </w:r>
          </w:p>
          <w:p w14:paraId="0E809313">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(50分)</w:t>
            </w:r>
          </w:p>
        </w:tc>
        <w:tc>
          <w:tcPr>
            <w:tcW w:w="929" w:type="dxa"/>
            <w:tcBorders>
              <w:bottom w:val="nil"/>
            </w:tcBorders>
            <w:vAlign w:val="top"/>
          </w:tcPr>
          <w:p w14:paraId="49757F8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数量指标</w:t>
            </w:r>
          </w:p>
        </w:tc>
        <w:tc>
          <w:tcPr>
            <w:tcW w:w="1541" w:type="dxa"/>
            <w:shd w:val="clear" w:color="auto" w:fill="auto"/>
            <w:vAlign w:val="center"/>
          </w:tcPr>
          <w:p w14:paraId="7148CF3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Arial" w:hAnsi="Arial" w:eastAsia="宋体" w:cs="Arial"/>
                <w:snapToGrid w:val="0"/>
                <w:color w:val="000000"/>
                <w:kern w:val="0"/>
                <w:sz w:val="21"/>
                <w:szCs w:val="21"/>
                <w:lang w:eastAsia="zh-CN"/>
              </w:rPr>
              <w:t>提高竹林面积</w:t>
            </w:r>
          </w:p>
        </w:tc>
        <w:tc>
          <w:tcPr>
            <w:tcW w:w="1109" w:type="dxa"/>
            <w:shd w:val="clear" w:color="auto" w:fill="auto"/>
            <w:vAlign w:val="center"/>
          </w:tcPr>
          <w:p w14:paraId="3CFF0F6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1067" w:type="dxa"/>
            <w:shd w:val="clear" w:color="auto" w:fill="auto"/>
            <w:vAlign w:val="center"/>
          </w:tcPr>
          <w:p w14:paraId="03F4746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712" w:type="dxa"/>
            <w:shd w:val="clear" w:color="auto" w:fill="auto"/>
            <w:vAlign w:val="center"/>
          </w:tcPr>
          <w:p w14:paraId="372A750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921" w:type="dxa"/>
            <w:shd w:val="clear" w:color="auto" w:fill="auto"/>
            <w:vAlign w:val="center"/>
          </w:tcPr>
          <w:p w14:paraId="656F61E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1372" w:type="dxa"/>
            <w:vAlign w:val="top"/>
          </w:tcPr>
          <w:p w14:paraId="7282C7A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56ED7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14" w:type="dxa"/>
            <w:vMerge w:val="continue"/>
            <w:tcBorders>
              <w:top w:val="nil"/>
              <w:bottom w:val="nil"/>
            </w:tcBorders>
            <w:textDirection w:val="tbRlV"/>
            <w:vAlign w:val="top"/>
          </w:tcPr>
          <w:p w14:paraId="2ACAFEF7">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0529620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283393F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质量指标</w:t>
            </w:r>
          </w:p>
        </w:tc>
        <w:tc>
          <w:tcPr>
            <w:tcW w:w="1541" w:type="dxa"/>
            <w:shd w:val="clear" w:color="auto" w:fill="auto"/>
            <w:vAlign w:val="center"/>
          </w:tcPr>
          <w:p w14:paraId="31CCD33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提高竹产业质量</w:t>
            </w:r>
          </w:p>
        </w:tc>
        <w:tc>
          <w:tcPr>
            <w:tcW w:w="1109" w:type="dxa"/>
            <w:shd w:val="clear" w:color="auto" w:fill="auto"/>
            <w:vAlign w:val="center"/>
          </w:tcPr>
          <w:p w14:paraId="5A348F5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1067" w:type="dxa"/>
            <w:shd w:val="clear" w:color="auto" w:fill="auto"/>
            <w:vAlign w:val="center"/>
          </w:tcPr>
          <w:p w14:paraId="6359BB7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712" w:type="dxa"/>
            <w:shd w:val="clear" w:color="auto" w:fill="auto"/>
            <w:vAlign w:val="center"/>
          </w:tcPr>
          <w:p w14:paraId="284EFC8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921" w:type="dxa"/>
            <w:shd w:val="clear" w:color="auto" w:fill="auto"/>
            <w:vAlign w:val="center"/>
          </w:tcPr>
          <w:p w14:paraId="158ABE5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1372" w:type="dxa"/>
            <w:vAlign w:val="top"/>
          </w:tcPr>
          <w:p w14:paraId="01AEB40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3ADA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14" w:type="dxa"/>
            <w:vMerge w:val="continue"/>
            <w:tcBorders>
              <w:top w:val="nil"/>
              <w:bottom w:val="nil"/>
            </w:tcBorders>
            <w:textDirection w:val="tbRlV"/>
            <w:vAlign w:val="top"/>
          </w:tcPr>
          <w:p w14:paraId="1D1BB4E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6E17B4E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33657329">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时效指标</w:t>
            </w:r>
          </w:p>
        </w:tc>
        <w:tc>
          <w:tcPr>
            <w:tcW w:w="1541" w:type="dxa"/>
            <w:shd w:val="clear" w:color="auto" w:fill="auto"/>
            <w:vAlign w:val="center"/>
          </w:tcPr>
          <w:p w14:paraId="06EC88AC">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政策响应及时率</w:t>
            </w:r>
          </w:p>
        </w:tc>
        <w:tc>
          <w:tcPr>
            <w:tcW w:w="1109" w:type="dxa"/>
            <w:shd w:val="clear" w:color="auto" w:fill="auto"/>
            <w:vAlign w:val="center"/>
          </w:tcPr>
          <w:p w14:paraId="361CD5A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1067" w:type="dxa"/>
            <w:shd w:val="clear" w:color="auto" w:fill="auto"/>
            <w:vAlign w:val="center"/>
          </w:tcPr>
          <w:p w14:paraId="7F06EE6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712" w:type="dxa"/>
            <w:shd w:val="clear" w:color="auto" w:fill="auto"/>
            <w:vAlign w:val="center"/>
          </w:tcPr>
          <w:p w14:paraId="30CD1B0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921" w:type="dxa"/>
            <w:shd w:val="clear" w:color="auto" w:fill="auto"/>
            <w:vAlign w:val="center"/>
          </w:tcPr>
          <w:p w14:paraId="3C7E22D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372" w:type="dxa"/>
            <w:vAlign w:val="top"/>
          </w:tcPr>
          <w:p w14:paraId="454699D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26C85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14" w:type="dxa"/>
            <w:vMerge w:val="continue"/>
            <w:tcBorders>
              <w:top w:val="nil"/>
              <w:bottom w:val="nil"/>
            </w:tcBorders>
            <w:textDirection w:val="tbRlV"/>
            <w:vAlign w:val="top"/>
          </w:tcPr>
          <w:p w14:paraId="1C7121F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0DFD18F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669EA4F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成本指标</w:t>
            </w:r>
          </w:p>
        </w:tc>
        <w:tc>
          <w:tcPr>
            <w:tcW w:w="1541" w:type="dxa"/>
            <w:shd w:val="clear" w:color="auto" w:fill="auto"/>
            <w:vAlign w:val="center"/>
          </w:tcPr>
          <w:p w14:paraId="4799563C">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项目总成本</w:t>
            </w:r>
          </w:p>
        </w:tc>
        <w:tc>
          <w:tcPr>
            <w:tcW w:w="1109" w:type="dxa"/>
            <w:shd w:val="clear" w:color="auto" w:fill="auto"/>
            <w:vAlign w:val="center"/>
          </w:tcPr>
          <w:p w14:paraId="7E5F3C18">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47.77万元</w:t>
            </w:r>
          </w:p>
        </w:tc>
        <w:tc>
          <w:tcPr>
            <w:tcW w:w="1067" w:type="dxa"/>
            <w:shd w:val="clear" w:color="auto" w:fill="auto"/>
            <w:vAlign w:val="center"/>
          </w:tcPr>
          <w:p w14:paraId="23DCB5A9">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47.77万元</w:t>
            </w:r>
          </w:p>
        </w:tc>
        <w:tc>
          <w:tcPr>
            <w:tcW w:w="712" w:type="dxa"/>
            <w:shd w:val="clear" w:color="auto" w:fill="auto"/>
            <w:vAlign w:val="center"/>
          </w:tcPr>
          <w:p w14:paraId="7CC41C69">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921" w:type="dxa"/>
            <w:shd w:val="clear" w:color="auto" w:fill="auto"/>
            <w:vAlign w:val="center"/>
          </w:tcPr>
          <w:p w14:paraId="7AF2C600">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15</w:t>
            </w:r>
          </w:p>
        </w:tc>
        <w:tc>
          <w:tcPr>
            <w:tcW w:w="1372" w:type="dxa"/>
            <w:vAlign w:val="top"/>
          </w:tcPr>
          <w:p w14:paraId="7C355E53">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18C2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14" w:type="dxa"/>
            <w:vMerge w:val="continue"/>
            <w:tcBorders>
              <w:top w:val="nil"/>
              <w:bottom w:val="nil"/>
            </w:tcBorders>
            <w:textDirection w:val="tbRlV"/>
            <w:vAlign w:val="top"/>
          </w:tcPr>
          <w:p w14:paraId="063D3929">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restart"/>
            <w:tcBorders>
              <w:bottom w:val="nil"/>
            </w:tcBorders>
            <w:vAlign w:val="top"/>
          </w:tcPr>
          <w:p w14:paraId="17A99DB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519C830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55B81A7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p w14:paraId="123D7F1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效益指标</w:t>
            </w:r>
          </w:p>
          <w:p w14:paraId="1010A61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(30分)</w:t>
            </w:r>
          </w:p>
        </w:tc>
        <w:tc>
          <w:tcPr>
            <w:tcW w:w="929" w:type="dxa"/>
            <w:tcBorders>
              <w:bottom w:val="nil"/>
            </w:tcBorders>
            <w:vAlign w:val="top"/>
          </w:tcPr>
          <w:p w14:paraId="484EAA9E">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经济效</w:t>
            </w:r>
          </w:p>
          <w:p w14:paraId="6337D9D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益指标</w:t>
            </w:r>
          </w:p>
        </w:tc>
        <w:tc>
          <w:tcPr>
            <w:tcW w:w="1541" w:type="dxa"/>
            <w:shd w:val="clear" w:color="auto" w:fill="auto"/>
            <w:vAlign w:val="center"/>
          </w:tcPr>
          <w:p w14:paraId="70B6BCE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提高竹产业规模</w:t>
            </w:r>
          </w:p>
        </w:tc>
        <w:tc>
          <w:tcPr>
            <w:tcW w:w="1109" w:type="dxa"/>
            <w:shd w:val="clear" w:color="auto" w:fill="auto"/>
            <w:vAlign w:val="center"/>
          </w:tcPr>
          <w:p w14:paraId="4DB91839">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1067" w:type="dxa"/>
            <w:shd w:val="clear" w:color="auto" w:fill="auto"/>
            <w:vAlign w:val="center"/>
          </w:tcPr>
          <w:p w14:paraId="4E3C293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明显提高</w:t>
            </w:r>
          </w:p>
        </w:tc>
        <w:tc>
          <w:tcPr>
            <w:tcW w:w="712" w:type="dxa"/>
            <w:shd w:val="clear" w:color="auto" w:fill="auto"/>
            <w:vAlign w:val="center"/>
          </w:tcPr>
          <w:p w14:paraId="18000471">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921" w:type="dxa"/>
            <w:shd w:val="clear" w:color="auto" w:fill="auto"/>
            <w:vAlign w:val="center"/>
          </w:tcPr>
          <w:p w14:paraId="2619DA1E">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1372" w:type="dxa"/>
            <w:vAlign w:val="top"/>
          </w:tcPr>
          <w:p w14:paraId="155AB23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58165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14" w:type="dxa"/>
            <w:vMerge w:val="continue"/>
            <w:tcBorders>
              <w:top w:val="nil"/>
              <w:bottom w:val="nil"/>
            </w:tcBorders>
            <w:textDirection w:val="tbRlV"/>
            <w:vAlign w:val="top"/>
          </w:tcPr>
          <w:p w14:paraId="63AA34F3">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376BE38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03A3503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社会效</w:t>
            </w:r>
          </w:p>
          <w:p w14:paraId="16447D5A">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益指标</w:t>
            </w:r>
          </w:p>
        </w:tc>
        <w:tc>
          <w:tcPr>
            <w:tcW w:w="1541" w:type="dxa"/>
            <w:shd w:val="clear" w:color="auto" w:fill="auto"/>
            <w:vAlign w:val="center"/>
          </w:tcPr>
          <w:p w14:paraId="51EACC0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保障竹产业发展</w:t>
            </w:r>
          </w:p>
        </w:tc>
        <w:tc>
          <w:tcPr>
            <w:tcW w:w="1109" w:type="dxa"/>
            <w:shd w:val="clear" w:color="auto" w:fill="auto"/>
            <w:vAlign w:val="center"/>
          </w:tcPr>
          <w:p w14:paraId="498C13E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有效保障</w:t>
            </w:r>
          </w:p>
        </w:tc>
        <w:tc>
          <w:tcPr>
            <w:tcW w:w="1067" w:type="dxa"/>
            <w:shd w:val="clear" w:color="auto" w:fill="auto"/>
            <w:vAlign w:val="center"/>
          </w:tcPr>
          <w:p w14:paraId="7A71CFE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有效保障</w:t>
            </w:r>
          </w:p>
        </w:tc>
        <w:tc>
          <w:tcPr>
            <w:tcW w:w="712" w:type="dxa"/>
            <w:shd w:val="clear" w:color="auto" w:fill="auto"/>
            <w:vAlign w:val="center"/>
          </w:tcPr>
          <w:p w14:paraId="127810E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921" w:type="dxa"/>
            <w:shd w:val="clear" w:color="auto" w:fill="auto"/>
            <w:vAlign w:val="center"/>
          </w:tcPr>
          <w:p w14:paraId="233D10B3">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1372" w:type="dxa"/>
            <w:vAlign w:val="top"/>
          </w:tcPr>
          <w:p w14:paraId="1EFBA1E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696CF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14" w:type="dxa"/>
            <w:vMerge w:val="continue"/>
            <w:tcBorders>
              <w:top w:val="nil"/>
              <w:bottom w:val="nil"/>
            </w:tcBorders>
            <w:textDirection w:val="tbRlV"/>
            <w:vAlign w:val="top"/>
          </w:tcPr>
          <w:p w14:paraId="648A9B66">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2E539E1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1EF354D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生态效</w:t>
            </w:r>
          </w:p>
          <w:p w14:paraId="2DCD0273">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益指标</w:t>
            </w:r>
          </w:p>
        </w:tc>
        <w:tc>
          <w:tcPr>
            <w:tcW w:w="1541" w:type="dxa"/>
            <w:shd w:val="clear" w:color="auto" w:fill="auto"/>
            <w:vAlign w:val="center"/>
          </w:tcPr>
          <w:p w14:paraId="382D64D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促进竹林生态发展</w:t>
            </w:r>
          </w:p>
        </w:tc>
        <w:tc>
          <w:tcPr>
            <w:tcW w:w="1109" w:type="dxa"/>
            <w:shd w:val="clear" w:color="auto" w:fill="auto"/>
            <w:vAlign w:val="center"/>
          </w:tcPr>
          <w:p w14:paraId="02B5FA22">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w:t>
            </w:r>
          </w:p>
        </w:tc>
        <w:tc>
          <w:tcPr>
            <w:tcW w:w="1067" w:type="dxa"/>
            <w:shd w:val="clear" w:color="auto" w:fill="auto"/>
            <w:vAlign w:val="center"/>
          </w:tcPr>
          <w:p w14:paraId="6ADA0B4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明显</w:t>
            </w:r>
          </w:p>
        </w:tc>
        <w:tc>
          <w:tcPr>
            <w:tcW w:w="712" w:type="dxa"/>
            <w:shd w:val="clear" w:color="auto" w:fill="auto"/>
            <w:vAlign w:val="center"/>
          </w:tcPr>
          <w:p w14:paraId="3365C09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921" w:type="dxa"/>
            <w:shd w:val="clear" w:color="auto" w:fill="auto"/>
            <w:vAlign w:val="center"/>
          </w:tcPr>
          <w:p w14:paraId="182D7A34">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372" w:type="dxa"/>
            <w:vAlign w:val="top"/>
          </w:tcPr>
          <w:p w14:paraId="5401C27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6587F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14" w:type="dxa"/>
            <w:vMerge w:val="continue"/>
            <w:tcBorders>
              <w:top w:val="nil"/>
              <w:bottom w:val="nil"/>
            </w:tcBorders>
            <w:textDirection w:val="tbRlV"/>
            <w:vAlign w:val="top"/>
          </w:tcPr>
          <w:p w14:paraId="397F73E4">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vMerge w:val="continue"/>
            <w:tcBorders>
              <w:top w:val="nil"/>
              <w:bottom w:val="nil"/>
            </w:tcBorders>
            <w:vAlign w:val="top"/>
          </w:tcPr>
          <w:p w14:paraId="6B17944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c>
          <w:tcPr>
            <w:tcW w:w="929" w:type="dxa"/>
            <w:tcBorders>
              <w:bottom w:val="nil"/>
            </w:tcBorders>
            <w:vAlign w:val="top"/>
          </w:tcPr>
          <w:p w14:paraId="49B48F40">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可持续</w:t>
            </w:r>
          </w:p>
          <w:p w14:paraId="6C68527F">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影响指标</w:t>
            </w:r>
          </w:p>
        </w:tc>
        <w:tc>
          <w:tcPr>
            <w:tcW w:w="1541" w:type="dxa"/>
            <w:shd w:val="clear" w:color="auto" w:fill="auto"/>
            <w:vAlign w:val="center"/>
          </w:tcPr>
          <w:p w14:paraId="46BD13B5">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促进竹产业可持续发展</w:t>
            </w:r>
          </w:p>
        </w:tc>
        <w:tc>
          <w:tcPr>
            <w:tcW w:w="1109" w:type="dxa"/>
            <w:shd w:val="clear" w:color="auto" w:fill="auto"/>
            <w:vAlign w:val="center"/>
          </w:tcPr>
          <w:p w14:paraId="3430FD7E">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可持续</w:t>
            </w:r>
          </w:p>
        </w:tc>
        <w:tc>
          <w:tcPr>
            <w:tcW w:w="1067" w:type="dxa"/>
            <w:shd w:val="clear" w:color="auto" w:fill="auto"/>
            <w:vAlign w:val="center"/>
          </w:tcPr>
          <w:p w14:paraId="615F568B">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可持续</w:t>
            </w:r>
          </w:p>
        </w:tc>
        <w:tc>
          <w:tcPr>
            <w:tcW w:w="712" w:type="dxa"/>
            <w:shd w:val="clear" w:color="auto" w:fill="auto"/>
            <w:vAlign w:val="center"/>
          </w:tcPr>
          <w:p w14:paraId="5A3BB37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921" w:type="dxa"/>
            <w:shd w:val="clear" w:color="auto" w:fill="auto"/>
            <w:vAlign w:val="center"/>
          </w:tcPr>
          <w:p w14:paraId="08110906">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5</w:t>
            </w:r>
          </w:p>
        </w:tc>
        <w:tc>
          <w:tcPr>
            <w:tcW w:w="1372" w:type="dxa"/>
            <w:vAlign w:val="top"/>
          </w:tcPr>
          <w:p w14:paraId="54F42B7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r w14:paraId="6ADED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14" w:type="dxa"/>
            <w:vMerge w:val="continue"/>
            <w:tcBorders>
              <w:top w:val="nil"/>
              <w:bottom w:val="nil"/>
            </w:tcBorders>
            <w:textDirection w:val="tbRlV"/>
            <w:vAlign w:val="top"/>
          </w:tcPr>
          <w:p w14:paraId="287F93AB">
            <w:pPr>
              <w:widowControl w:val="0"/>
              <w:kinsoku/>
              <w:autoSpaceDE w:val="0"/>
              <w:autoSpaceDN w:val="0"/>
              <w:adjustRightInd/>
              <w:snapToGrid/>
              <w:spacing w:line="320" w:lineRule="exact"/>
              <w:jc w:val="center"/>
              <w:textAlignment w:val="auto"/>
              <w:rPr>
                <w:rFonts w:hint="eastAsia" w:ascii="Times New Roman" w:hAnsi="宋体" w:eastAsia="宋体" w:cs="Times New Roman"/>
                <w:snapToGrid/>
                <w:color w:val="000000"/>
                <w:kern w:val="0"/>
                <w:sz w:val="21"/>
                <w:szCs w:val="21"/>
                <w:lang w:val="en-US" w:eastAsia="zh-CN"/>
              </w:rPr>
            </w:pPr>
          </w:p>
        </w:tc>
        <w:tc>
          <w:tcPr>
            <w:tcW w:w="1069" w:type="dxa"/>
            <w:tcBorders>
              <w:bottom w:val="nil"/>
            </w:tcBorders>
            <w:vAlign w:val="top"/>
          </w:tcPr>
          <w:p w14:paraId="3BE0BAF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满意度 指标  (10分)</w:t>
            </w:r>
          </w:p>
        </w:tc>
        <w:tc>
          <w:tcPr>
            <w:tcW w:w="929" w:type="dxa"/>
            <w:tcBorders>
              <w:bottom w:val="nil"/>
            </w:tcBorders>
            <w:vAlign w:val="top"/>
          </w:tcPr>
          <w:p w14:paraId="7A4A6EF8">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服务对象满意度指标</w:t>
            </w:r>
          </w:p>
        </w:tc>
        <w:tc>
          <w:tcPr>
            <w:tcW w:w="1541" w:type="dxa"/>
            <w:shd w:val="clear" w:color="auto" w:fill="auto"/>
            <w:vAlign w:val="center"/>
          </w:tcPr>
          <w:p w14:paraId="0F6504D1">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农民、企业等满意度</w:t>
            </w:r>
          </w:p>
        </w:tc>
        <w:tc>
          <w:tcPr>
            <w:tcW w:w="1109" w:type="dxa"/>
            <w:shd w:val="clear" w:color="auto" w:fill="auto"/>
            <w:vAlign w:val="center"/>
          </w:tcPr>
          <w:p w14:paraId="3453CBB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≥95%</w:t>
            </w:r>
          </w:p>
        </w:tc>
        <w:tc>
          <w:tcPr>
            <w:tcW w:w="1067" w:type="dxa"/>
            <w:shd w:val="clear" w:color="auto" w:fill="auto"/>
            <w:vAlign w:val="center"/>
          </w:tcPr>
          <w:p w14:paraId="6A9545A9">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93%</w:t>
            </w:r>
          </w:p>
        </w:tc>
        <w:tc>
          <w:tcPr>
            <w:tcW w:w="712" w:type="dxa"/>
            <w:shd w:val="clear" w:color="auto" w:fill="auto"/>
            <w:vAlign w:val="center"/>
          </w:tcPr>
          <w:p w14:paraId="593FB8B9">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w:t>
            </w:r>
          </w:p>
        </w:tc>
        <w:tc>
          <w:tcPr>
            <w:tcW w:w="921" w:type="dxa"/>
            <w:shd w:val="clear" w:color="auto" w:fill="auto"/>
            <w:vAlign w:val="center"/>
          </w:tcPr>
          <w:p w14:paraId="40E3CE56">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8</w:t>
            </w:r>
          </w:p>
        </w:tc>
        <w:tc>
          <w:tcPr>
            <w:tcW w:w="1372" w:type="dxa"/>
            <w:shd w:val="clear" w:color="auto" w:fill="auto"/>
            <w:vAlign w:val="center"/>
          </w:tcPr>
          <w:p w14:paraId="390216B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反馈沟通欠缺</w:t>
            </w:r>
          </w:p>
        </w:tc>
      </w:tr>
      <w:tr w14:paraId="73F65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729" w:type="dxa"/>
            <w:gridSpan w:val="6"/>
            <w:vAlign w:val="top"/>
          </w:tcPr>
          <w:p w14:paraId="4EEB67CD">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总分</w:t>
            </w:r>
          </w:p>
        </w:tc>
        <w:tc>
          <w:tcPr>
            <w:tcW w:w="712" w:type="dxa"/>
            <w:vAlign w:val="top"/>
          </w:tcPr>
          <w:p w14:paraId="04175AF7">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100</w:t>
            </w:r>
          </w:p>
        </w:tc>
        <w:tc>
          <w:tcPr>
            <w:tcW w:w="921" w:type="dxa"/>
            <w:vAlign w:val="top"/>
          </w:tcPr>
          <w:p w14:paraId="53F7D012">
            <w:pPr>
              <w:widowControl w:val="0"/>
              <w:kinsoku/>
              <w:autoSpaceDE w:val="0"/>
              <w:autoSpaceDN w:val="0"/>
              <w:adjustRightInd/>
              <w:snapToGrid/>
              <w:spacing w:before="20" w:line="340" w:lineRule="atLeast"/>
              <w:jc w:val="center"/>
              <w:textAlignment w:val="auto"/>
              <w:rPr>
                <w:rFonts w:hint="default" w:ascii="Times New Roman" w:hAnsi="Times New Roman" w:eastAsia="宋体" w:cs="Times New Roman"/>
                <w:snapToGrid/>
                <w:color w:val="000000"/>
                <w:kern w:val="0"/>
                <w:sz w:val="21"/>
                <w:szCs w:val="21"/>
                <w:lang w:val="en-US" w:eastAsia="zh-CN"/>
              </w:rPr>
            </w:pPr>
            <w:r>
              <w:rPr>
                <w:rFonts w:hint="eastAsia" w:ascii="Times New Roman" w:hAnsi="Times New Roman" w:eastAsia="宋体" w:cs="Times New Roman"/>
                <w:snapToGrid/>
                <w:color w:val="000000"/>
                <w:kern w:val="0"/>
                <w:sz w:val="21"/>
                <w:szCs w:val="21"/>
                <w:lang w:val="en-US" w:eastAsia="zh-CN"/>
              </w:rPr>
              <w:t>98</w:t>
            </w:r>
          </w:p>
        </w:tc>
        <w:tc>
          <w:tcPr>
            <w:tcW w:w="1372" w:type="dxa"/>
            <w:vAlign w:val="top"/>
          </w:tcPr>
          <w:p w14:paraId="774A5313">
            <w:pPr>
              <w:widowControl w:val="0"/>
              <w:kinsoku/>
              <w:autoSpaceDE w:val="0"/>
              <w:autoSpaceDN w:val="0"/>
              <w:adjustRightInd/>
              <w:snapToGrid/>
              <w:spacing w:before="20" w:line="340" w:lineRule="atLeast"/>
              <w:jc w:val="center"/>
              <w:textAlignment w:val="auto"/>
              <w:rPr>
                <w:rFonts w:hint="eastAsia" w:ascii="Times New Roman" w:hAnsi="Times New Roman" w:eastAsia="宋体" w:cs="Times New Roman"/>
                <w:snapToGrid/>
                <w:color w:val="000000"/>
                <w:kern w:val="0"/>
                <w:sz w:val="21"/>
                <w:szCs w:val="21"/>
                <w:lang w:val="en-US" w:eastAsia="zh-CN"/>
              </w:rPr>
            </w:pPr>
          </w:p>
        </w:tc>
      </w:tr>
    </w:tbl>
    <w:p w14:paraId="05CA0F48">
      <w:pPr>
        <w:widowControl w:val="0"/>
        <w:kinsoku/>
        <w:autoSpaceDE w:val="0"/>
        <w:autoSpaceDN w:val="0"/>
        <w:adjustRightInd/>
        <w:snapToGrid/>
        <w:spacing w:line="320" w:lineRule="exact"/>
        <w:jc w:val="both"/>
        <w:textAlignment w:val="auto"/>
        <w:rPr>
          <w:rFonts w:ascii="Times New Roman" w:hAnsi="宋体" w:eastAsia="宋体" w:cs="Times New Roman"/>
          <w:snapToGrid/>
          <w:color w:val="000000"/>
          <w:kern w:val="0"/>
          <w:sz w:val="21"/>
          <w:szCs w:val="21"/>
          <w:lang w:eastAsia="zh-CN"/>
        </w:rPr>
      </w:pPr>
      <w:r>
        <w:rPr>
          <w:rFonts w:ascii="Times New Roman" w:hAnsi="宋体" w:eastAsia="宋体" w:cs="Times New Roman"/>
          <w:snapToGrid/>
          <w:color w:val="000000"/>
          <w:kern w:val="0"/>
          <w:sz w:val="21"/>
          <w:szCs w:val="21"/>
          <w:lang w:eastAsia="zh-CN"/>
        </w:rPr>
        <w:t>备注：每个项目支出一张表。</w:t>
      </w:r>
    </w:p>
    <w:p w14:paraId="257199AE">
      <w:pPr>
        <w:widowControl w:val="0"/>
        <w:kinsoku/>
        <w:autoSpaceDE w:val="0"/>
        <w:autoSpaceDN w:val="0"/>
        <w:adjustRightInd/>
        <w:snapToGrid/>
        <w:spacing w:line="320" w:lineRule="exact"/>
        <w:jc w:val="both"/>
        <w:textAlignment w:val="auto"/>
        <w:rPr>
          <w:lang w:eastAsia="zh-CN"/>
        </w:rPr>
        <w:sectPr>
          <w:headerReference r:id="rId8" w:type="default"/>
          <w:pgSz w:w="11900" w:h="16820"/>
          <w:pgMar w:top="1429" w:right="994" w:bottom="1524" w:left="1274" w:header="0" w:footer="1107" w:gutter="0"/>
          <w:pgNumType w:fmt="decimal"/>
          <w:cols w:space="720" w:num="1"/>
        </w:sectPr>
      </w:pPr>
      <w:r>
        <w:rPr>
          <w:rFonts w:ascii="Times New Roman" w:hAnsi="宋体" w:eastAsia="宋体" w:cs="Times New Roman"/>
          <w:snapToGrid/>
          <w:color w:val="000000"/>
          <w:kern w:val="0"/>
          <w:sz w:val="21"/>
          <w:szCs w:val="21"/>
          <w:lang w:eastAsia="zh-CN"/>
        </w:rPr>
        <w:t>填表人：</w:t>
      </w:r>
      <w:r>
        <w:rPr>
          <w:rFonts w:hint="eastAsia" w:ascii="Times New Roman" w:hAnsi="宋体" w:eastAsia="宋体" w:cs="Times New Roman"/>
          <w:snapToGrid/>
          <w:color w:val="000000"/>
          <w:kern w:val="0"/>
          <w:sz w:val="21"/>
          <w:szCs w:val="21"/>
          <w:lang w:eastAsia="zh-CN"/>
        </w:rPr>
        <w:t>艾昱宏</w:t>
      </w:r>
      <w:r>
        <w:rPr>
          <w:rFonts w:ascii="Times New Roman" w:hAnsi="宋体" w:eastAsia="宋体" w:cs="Times New Roman"/>
          <w:snapToGrid/>
          <w:color w:val="000000"/>
          <w:kern w:val="0"/>
          <w:sz w:val="21"/>
          <w:szCs w:val="21"/>
          <w:lang w:eastAsia="zh-CN"/>
        </w:rPr>
        <w:t xml:space="preserve">  </w:t>
      </w:r>
      <w:r>
        <w:rPr>
          <w:rFonts w:hint="eastAsia" w:ascii="Times New Roman" w:hAnsi="宋体" w:eastAsia="宋体" w:cs="Times New Roman"/>
          <w:snapToGrid/>
          <w:color w:val="000000"/>
          <w:kern w:val="0"/>
          <w:sz w:val="21"/>
          <w:szCs w:val="21"/>
          <w:lang w:val="en-US" w:eastAsia="zh-CN"/>
        </w:rPr>
        <w:t xml:space="preserve">                                             </w:t>
      </w:r>
      <w:r>
        <w:rPr>
          <w:rFonts w:ascii="Times New Roman" w:hAnsi="宋体" w:eastAsia="宋体" w:cs="Times New Roman"/>
          <w:snapToGrid/>
          <w:color w:val="000000"/>
          <w:kern w:val="0"/>
          <w:sz w:val="21"/>
          <w:szCs w:val="21"/>
          <w:lang w:eastAsia="zh-CN"/>
        </w:rPr>
        <w:t xml:space="preserve"> 单位负责人签字</w:t>
      </w:r>
      <w:r>
        <w:rPr>
          <w:rFonts w:hint="eastAsia" w:ascii="Times New Roman" w:hAnsi="宋体" w:eastAsia="宋体" w:cs="Times New Roman"/>
          <w:snapToGrid/>
          <w:color w:val="000000"/>
          <w:kern w:val="0"/>
          <w:sz w:val="21"/>
          <w:szCs w:val="21"/>
          <w:lang w:eastAsia="zh-CN"/>
        </w:rPr>
        <w:t>：黄海龙</w:t>
      </w:r>
    </w:p>
    <w:p w14:paraId="0986CBA7"/>
    <w:sectPr>
      <w:pgSz w:w="11906" w:h="16838"/>
      <w:pgMar w:top="1814" w:right="1361" w:bottom="1644" w:left="1588"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C4D5D">
    <w:pPr>
      <w:kinsoku w:val="0"/>
      <w:autoSpaceDE w:val="0"/>
      <w:autoSpaceDN w:val="0"/>
      <w:adjustRightInd w:val="0"/>
      <w:snapToGrid w:val="0"/>
      <w:spacing w:before="1" w:line="233" w:lineRule="auto"/>
      <w:ind w:left="734"/>
      <w:jc w:val="left"/>
      <w:textAlignment w:val="baseline"/>
      <w:rPr>
        <w:rFonts w:ascii="宋体" w:hAnsi="宋体" w:eastAsia="宋体" w:cs="宋体"/>
        <w:snapToGrid w:val="0"/>
        <w:color w:val="000000"/>
        <w:kern w:val="0"/>
        <w:sz w:val="32"/>
        <w:szCs w:val="32"/>
        <w:lang w:val="en-US"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CBE5">
    <w:pPr>
      <w:kinsoku w:val="0"/>
      <w:autoSpaceDE w:val="0"/>
      <w:autoSpaceDN w:val="0"/>
      <w:adjustRightInd w:val="0"/>
      <w:snapToGrid w:val="0"/>
      <w:spacing w:before="1" w:line="233" w:lineRule="auto"/>
      <w:ind w:left="734"/>
      <w:jc w:val="left"/>
      <w:textAlignment w:val="baseline"/>
      <w:rPr>
        <w:rFonts w:ascii="宋体" w:hAnsi="宋体" w:eastAsia="宋体" w:cs="宋体"/>
        <w:snapToGrid w:val="0"/>
        <w:color w:val="000000"/>
        <w:kern w:val="0"/>
        <w:sz w:val="32"/>
        <w:szCs w:val="32"/>
        <w:lang w:val="en-US" w:eastAsia="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034F">
    <w:pPr>
      <w:kinsoku w:val="0"/>
      <w:autoSpaceDE w:val="0"/>
      <w:autoSpaceDN w:val="0"/>
      <w:adjustRightInd w:val="0"/>
      <w:snapToGrid w:val="0"/>
      <w:spacing w:before="1" w:line="233" w:lineRule="auto"/>
      <w:ind w:left="734"/>
      <w:jc w:val="left"/>
      <w:textAlignment w:val="baseline"/>
      <w:rPr>
        <w:rFonts w:ascii="宋体" w:hAnsi="宋体" w:eastAsia="宋体" w:cs="宋体"/>
        <w:snapToGrid w:val="0"/>
        <w:color w:val="000000"/>
        <w:kern w:val="0"/>
        <w:sz w:val="32"/>
        <w:szCs w:val="32"/>
        <w:lang w:val="en-US" w:eastAsia="en-US" w:bidi="ar-SA"/>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2FA9D">
                          <w:pPr>
                            <w:pStyle w:val="3"/>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1B2FA9D">
                    <w:pPr>
                      <w:pStyle w:val="3"/>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0086">
    <w:pPr>
      <w:spacing w:line="233" w:lineRule="auto"/>
      <w:ind w:left="564"/>
      <w:rPr>
        <w:rFonts w:ascii="宋体" w:hAnsi="宋体" w:eastAsia="宋体" w:cs="宋体"/>
        <w:sz w:val="30"/>
        <w:szCs w:val="30"/>
      </w:rPr>
    </w:pPr>
    <w:r>
      <w:rPr>
        <w:rFonts w:ascii="Times New Roman" w:hAnsi="Times New Roman" w:cs="Times New Roman"/>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CD8589">
                          <w:pPr>
                            <w:widowControl w:val="0"/>
                            <w:snapToGrid w:val="0"/>
                            <w:jc w:val="left"/>
                            <w:rPr>
                              <w:rFonts w:ascii="Times New Roman" w:hAnsi="Times New Roman" w:eastAsia="仿宋_GB2312" w:cs="Times New Roman"/>
                              <w:kern w:val="2"/>
                              <w:sz w:val="28"/>
                              <w:szCs w:val="44"/>
                              <w:lang w:val="en-US" w:eastAsia="zh-CN" w:bidi="ar-SA"/>
                            </w:rPr>
                          </w:pPr>
                          <w:r>
                            <w:rPr>
                              <w:rFonts w:ascii="Times New Roman" w:hAnsi="Times New Roman" w:eastAsia="仿宋_GB2312" w:cs="Times New Roman"/>
                              <w:kern w:val="2"/>
                              <w:sz w:val="28"/>
                              <w:szCs w:val="44"/>
                              <w:lang w:val="en-US" w:eastAsia="zh-CN" w:bidi="ar-SA"/>
                            </w:rPr>
                            <w:t xml:space="preserve">— </w:t>
                          </w:r>
                          <w:r>
                            <w:rPr>
                              <w:rFonts w:ascii="Times New Roman" w:hAnsi="Times New Roman" w:eastAsia="仿宋_GB2312" w:cs="Times New Roman"/>
                              <w:kern w:val="2"/>
                              <w:sz w:val="28"/>
                              <w:szCs w:val="44"/>
                              <w:lang w:val="en-US" w:eastAsia="zh-CN" w:bidi="ar-SA"/>
                            </w:rPr>
                            <w:fldChar w:fldCharType="begin"/>
                          </w:r>
                          <w:r>
                            <w:rPr>
                              <w:rFonts w:ascii="Times New Roman" w:hAnsi="Times New Roman" w:eastAsia="仿宋_GB2312" w:cs="Times New Roman"/>
                              <w:kern w:val="2"/>
                              <w:sz w:val="28"/>
                              <w:szCs w:val="44"/>
                              <w:lang w:val="en-US" w:eastAsia="zh-CN" w:bidi="ar-SA"/>
                            </w:rPr>
                            <w:instrText xml:space="preserve"> PAGE  \* MERGEFORMAT </w:instrText>
                          </w:r>
                          <w:r>
                            <w:rPr>
                              <w:rFonts w:ascii="Times New Roman" w:hAnsi="Times New Roman" w:eastAsia="仿宋_GB2312" w:cs="Times New Roman"/>
                              <w:kern w:val="2"/>
                              <w:sz w:val="28"/>
                              <w:szCs w:val="44"/>
                              <w:lang w:val="en-US" w:eastAsia="zh-CN" w:bidi="ar-SA"/>
                            </w:rPr>
                            <w:fldChar w:fldCharType="separate"/>
                          </w:r>
                          <w:r>
                            <w:rPr>
                              <w:rFonts w:ascii="Times New Roman" w:hAnsi="Times New Roman" w:eastAsia="仿宋_GB2312" w:cs="Times New Roman"/>
                              <w:kern w:val="2"/>
                              <w:sz w:val="28"/>
                              <w:szCs w:val="44"/>
                              <w:lang w:val="en-US" w:eastAsia="zh-CN" w:bidi="ar-SA"/>
                            </w:rPr>
                            <w:t>1</w:t>
                          </w:r>
                          <w:r>
                            <w:rPr>
                              <w:rFonts w:ascii="Times New Roman" w:hAnsi="Times New Roman" w:eastAsia="仿宋_GB2312" w:cs="Times New Roman"/>
                              <w:kern w:val="2"/>
                              <w:sz w:val="28"/>
                              <w:szCs w:val="44"/>
                              <w:lang w:val="en-US" w:eastAsia="zh-CN" w:bidi="ar-SA"/>
                            </w:rPr>
                            <w:fldChar w:fldCharType="end"/>
                          </w:r>
                          <w:r>
                            <w:rPr>
                              <w:rFonts w:ascii="Times New Roman" w:hAnsi="Times New Roman" w:eastAsia="仿宋_GB2312" w:cs="Times New Roman"/>
                              <w:kern w:val="2"/>
                              <w:sz w:val="28"/>
                              <w:szCs w:val="44"/>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CD8589">
                    <w:pPr>
                      <w:widowControl w:val="0"/>
                      <w:snapToGrid w:val="0"/>
                      <w:jc w:val="left"/>
                      <w:rPr>
                        <w:rFonts w:ascii="Times New Roman" w:hAnsi="Times New Roman" w:eastAsia="仿宋_GB2312" w:cs="Times New Roman"/>
                        <w:kern w:val="2"/>
                        <w:sz w:val="28"/>
                        <w:szCs w:val="44"/>
                        <w:lang w:val="en-US" w:eastAsia="zh-CN" w:bidi="ar-SA"/>
                      </w:rPr>
                    </w:pPr>
                    <w:r>
                      <w:rPr>
                        <w:rFonts w:ascii="Times New Roman" w:hAnsi="Times New Roman" w:eastAsia="仿宋_GB2312" w:cs="Times New Roman"/>
                        <w:kern w:val="2"/>
                        <w:sz w:val="28"/>
                        <w:szCs w:val="44"/>
                        <w:lang w:val="en-US" w:eastAsia="zh-CN" w:bidi="ar-SA"/>
                      </w:rPr>
                      <w:t xml:space="preserve">— </w:t>
                    </w:r>
                    <w:r>
                      <w:rPr>
                        <w:rFonts w:ascii="Times New Roman" w:hAnsi="Times New Roman" w:eastAsia="仿宋_GB2312" w:cs="Times New Roman"/>
                        <w:kern w:val="2"/>
                        <w:sz w:val="28"/>
                        <w:szCs w:val="44"/>
                        <w:lang w:val="en-US" w:eastAsia="zh-CN" w:bidi="ar-SA"/>
                      </w:rPr>
                      <w:fldChar w:fldCharType="begin"/>
                    </w:r>
                    <w:r>
                      <w:rPr>
                        <w:rFonts w:ascii="Times New Roman" w:hAnsi="Times New Roman" w:eastAsia="仿宋_GB2312" w:cs="Times New Roman"/>
                        <w:kern w:val="2"/>
                        <w:sz w:val="28"/>
                        <w:szCs w:val="44"/>
                        <w:lang w:val="en-US" w:eastAsia="zh-CN" w:bidi="ar-SA"/>
                      </w:rPr>
                      <w:instrText xml:space="preserve"> PAGE  \* MERGEFORMAT </w:instrText>
                    </w:r>
                    <w:r>
                      <w:rPr>
                        <w:rFonts w:ascii="Times New Roman" w:hAnsi="Times New Roman" w:eastAsia="仿宋_GB2312" w:cs="Times New Roman"/>
                        <w:kern w:val="2"/>
                        <w:sz w:val="28"/>
                        <w:szCs w:val="44"/>
                        <w:lang w:val="en-US" w:eastAsia="zh-CN" w:bidi="ar-SA"/>
                      </w:rPr>
                      <w:fldChar w:fldCharType="separate"/>
                    </w:r>
                    <w:r>
                      <w:rPr>
                        <w:rFonts w:ascii="Times New Roman" w:hAnsi="Times New Roman" w:eastAsia="仿宋_GB2312" w:cs="Times New Roman"/>
                        <w:kern w:val="2"/>
                        <w:sz w:val="28"/>
                        <w:szCs w:val="44"/>
                        <w:lang w:val="en-US" w:eastAsia="zh-CN" w:bidi="ar-SA"/>
                      </w:rPr>
                      <w:t>1</w:t>
                    </w:r>
                    <w:r>
                      <w:rPr>
                        <w:rFonts w:ascii="Times New Roman" w:hAnsi="Times New Roman" w:eastAsia="仿宋_GB2312" w:cs="Times New Roman"/>
                        <w:kern w:val="2"/>
                        <w:sz w:val="28"/>
                        <w:szCs w:val="44"/>
                        <w:lang w:val="en-US" w:eastAsia="zh-CN" w:bidi="ar-SA"/>
                      </w:rPr>
                      <w:fldChar w:fldCharType="end"/>
                    </w:r>
                    <w:r>
                      <w:rPr>
                        <w:rFonts w:ascii="Times New Roman" w:hAnsi="Times New Roman" w:eastAsia="仿宋_GB2312" w:cs="Times New Roman"/>
                        <w:kern w:val="2"/>
                        <w:sz w:val="28"/>
                        <w:szCs w:val="44"/>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5AA18">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921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A5174"/>
    <w:multiLevelType w:val="singleLevel"/>
    <w:tmpl w:val="AB3A5174"/>
    <w:lvl w:ilvl="0" w:tentative="0">
      <w:start w:val="1"/>
      <w:numFmt w:val="decimal"/>
      <w:suff w:val="nothing"/>
      <w:lvlText w:val="（%1）"/>
      <w:lvlJc w:val="left"/>
      <w:rPr>
        <w:rFonts w:hint="default"/>
        <w:b w:val="0"/>
        <w:bCs w:val="0"/>
      </w:rPr>
    </w:lvl>
  </w:abstractNum>
  <w:abstractNum w:abstractNumId="1">
    <w:nsid w:val="AD7FC67D"/>
    <w:multiLevelType w:val="singleLevel"/>
    <w:tmpl w:val="AD7FC67D"/>
    <w:lvl w:ilvl="0" w:tentative="0">
      <w:start w:val="2"/>
      <w:numFmt w:val="decimal"/>
      <w:suff w:val="nothing"/>
      <w:lvlText w:val="（%1）"/>
      <w:lvlJc w:val="left"/>
    </w:lvl>
  </w:abstractNum>
  <w:abstractNum w:abstractNumId="2">
    <w:nsid w:val="B638CD2C"/>
    <w:multiLevelType w:val="singleLevel"/>
    <w:tmpl w:val="B638CD2C"/>
    <w:lvl w:ilvl="0" w:tentative="0">
      <w:start w:val="2"/>
      <w:numFmt w:val="decimal"/>
      <w:suff w:val="nothing"/>
      <w:lvlText w:val="（%1）"/>
      <w:lvlJc w:val="left"/>
    </w:lvl>
  </w:abstractNum>
  <w:abstractNum w:abstractNumId="3">
    <w:nsid w:val="B672AB72"/>
    <w:multiLevelType w:val="singleLevel"/>
    <w:tmpl w:val="B672AB72"/>
    <w:lvl w:ilvl="0" w:tentative="0">
      <w:start w:val="1"/>
      <w:numFmt w:val="decimal"/>
      <w:suff w:val="nothing"/>
      <w:lvlText w:val="（%1）"/>
      <w:lvlJc w:val="left"/>
      <w:rPr>
        <w:rFonts w:hint="default"/>
        <w:b w:val="0"/>
        <w:bCs w:val="0"/>
      </w:rPr>
    </w:lvl>
  </w:abstractNum>
  <w:abstractNum w:abstractNumId="4">
    <w:nsid w:val="D5DF7D43"/>
    <w:multiLevelType w:val="singleLevel"/>
    <w:tmpl w:val="D5DF7D43"/>
    <w:lvl w:ilvl="0" w:tentative="0">
      <w:start w:val="2"/>
      <w:numFmt w:val="decimal"/>
      <w:suff w:val="space"/>
      <w:lvlText w:val="%1."/>
      <w:lvlJc w:val="left"/>
      <w:pPr>
        <w:ind w:left="6" w:firstLine="0"/>
      </w:pPr>
      <w:rPr>
        <w:rFonts w:hint="default" w:ascii="仿宋" w:hAnsi="仿宋" w:eastAsia="仿宋" w:cs="仿宋"/>
      </w:rPr>
    </w:lvl>
  </w:abstractNum>
  <w:abstractNum w:abstractNumId="5">
    <w:nsid w:val="E1A425D2"/>
    <w:multiLevelType w:val="singleLevel"/>
    <w:tmpl w:val="E1A425D2"/>
    <w:lvl w:ilvl="0" w:tentative="0">
      <w:start w:val="3"/>
      <w:numFmt w:val="chineseCounting"/>
      <w:suff w:val="nothing"/>
      <w:lvlText w:val="（%1）"/>
      <w:lvlJc w:val="left"/>
      <w:rPr>
        <w:rFonts w:hint="eastAsia"/>
      </w:rPr>
    </w:lvl>
  </w:abstractNum>
  <w:abstractNum w:abstractNumId="6">
    <w:nsid w:val="1C1C8157"/>
    <w:multiLevelType w:val="singleLevel"/>
    <w:tmpl w:val="1C1C8157"/>
    <w:lvl w:ilvl="0" w:tentative="0">
      <w:start w:val="1"/>
      <w:numFmt w:val="decimal"/>
      <w:suff w:val="space"/>
      <w:lvlText w:val="%1."/>
      <w:lvlJc w:val="left"/>
    </w:lvl>
  </w:abstractNum>
  <w:abstractNum w:abstractNumId="7">
    <w:nsid w:val="621C4C55"/>
    <w:multiLevelType w:val="singleLevel"/>
    <w:tmpl w:val="621C4C55"/>
    <w:lvl w:ilvl="0" w:tentative="0">
      <w:start w:val="1"/>
      <w:numFmt w:val="decimal"/>
      <w:suff w:val="nothing"/>
      <w:lvlText w:val="%1．"/>
      <w:lvlJc w:val="left"/>
      <w:pPr>
        <w:ind w:left="0" w:firstLine="400"/>
      </w:pPr>
      <w:rPr>
        <w:rFonts w:hint="default"/>
      </w:rPr>
    </w:lvl>
  </w:abstractNum>
  <w:abstractNum w:abstractNumId="8">
    <w:nsid w:val="63E9D04F"/>
    <w:multiLevelType w:val="singleLevel"/>
    <w:tmpl w:val="63E9D04F"/>
    <w:lvl w:ilvl="0" w:tentative="0">
      <w:start w:val="3"/>
      <w:numFmt w:val="decimal"/>
      <w:suff w:val="nothing"/>
      <w:lvlText w:val="%1、"/>
      <w:lvlJc w:val="left"/>
    </w:lvl>
  </w:abstractNum>
  <w:abstractNum w:abstractNumId="9">
    <w:nsid w:val="7D3387D2"/>
    <w:multiLevelType w:val="singleLevel"/>
    <w:tmpl w:val="7D3387D2"/>
    <w:lvl w:ilvl="0" w:tentative="0">
      <w:start w:val="2"/>
      <w:numFmt w:val="chineseCounting"/>
      <w:suff w:val="nothing"/>
      <w:lvlText w:val="（%1）"/>
      <w:lvlJc w:val="left"/>
      <w:rPr>
        <w:rFonts w:hint="eastAsia"/>
      </w:rPr>
    </w:lvl>
  </w:abstractNum>
  <w:num w:numId="1">
    <w:abstractNumId w:val="7"/>
  </w:num>
  <w:num w:numId="2">
    <w:abstractNumId w:val="0"/>
  </w:num>
  <w:num w:numId="3">
    <w:abstractNumId w:val="5"/>
  </w:num>
  <w:num w:numId="4">
    <w:abstractNumId w:val="4"/>
  </w:num>
  <w:num w:numId="5">
    <w:abstractNumId w:val="3"/>
  </w:num>
  <w:num w:numId="6">
    <w:abstractNumId w:val="8"/>
  </w:num>
  <w:num w:numId="7">
    <w:abstractNumId w:val="2"/>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30E55"/>
    <w:rsid w:val="009137D6"/>
    <w:rsid w:val="13D30E55"/>
    <w:rsid w:val="1D761B9E"/>
    <w:rsid w:val="2082388C"/>
    <w:rsid w:val="269F7C24"/>
    <w:rsid w:val="3A35598B"/>
    <w:rsid w:val="4BF60FA3"/>
    <w:rsid w:val="6D977983"/>
    <w:rsid w:val="7274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99"/>
    <w:pPr>
      <w:widowControl w:val="0"/>
      <w:spacing w:beforeAutospacing="1" w:afterAutospacing="1"/>
      <w:jc w:val="left"/>
    </w:pPr>
    <w:rPr>
      <w:rFonts w:ascii="Times New Roman" w:hAnsi="Times New Roman" w:eastAsia="仿宋_GB2312" w:cs="Times New Roman"/>
      <w:kern w:val="0"/>
      <w:sz w:val="24"/>
      <w:szCs w:val="24"/>
      <w:lang w:val="en-US" w:eastAsia="zh-CN" w:bidi="ar-SA"/>
    </w:rPr>
  </w:style>
  <w:style w:type="character" w:styleId="8">
    <w:name w:val="page number"/>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21"/>
    <w:qFormat/>
    <w:uiPriority w:val="0"/>
    <w:rPr>
      <w:rFonts w:hint="default" w:ascii="Times New Roman" w:hAnsi="Times New Roman" w:cs="Times New Roman"/>
      <w:color w:val="000000"/>
      <w:sz w:val="32"/>
      <w:szCs w:val="32"/>
      <w:u w:val="none"/>
    </w:rPr>
  </w:style>
  <w:style w:type="character" w:customStyle="1" w:styleId="11">
    <w:name w:val="font11"/>
    <w:qFormat/>
    <w:uiPriority w:val="0"/>
    <w:rPr>
      <w:rFonts w:hint="eastAsia" w:ascii="方正小标宋简体" w:hAnsi="方正小标宋简体" w:eastAsia="方正小标宋简体" w:cs="方正小标宋简体"/>
      <w:color w:val="000000"/>
      <w:sz w:val="32"/>
      <w:szCs w:val="32"/>
      <w:u w:val="none"/>
    </w:rPr>
  </w:style>
  <w:style w:type="character" w:customStyle="1" w:styleId="12">
    <w:name w:val="font91"/>
    <w:qFormat/>
    <w:uiPriority w:val="0"/>
    <w:rPr>
      <w:rFonts w:hint="eastAsia" w:ascii="宋体" w:hAnsi="宋体" w:eastAsia="宋体" w:cs="宋体"/>
      <w:color w:val="000000"/>
      <w:sz w:val="24"/>
      <w:szCs w:val="24"/>
      <w:u w:val="none"/>
    </w:rPr>
  </w:style>
  <w:style w:type="character" w:customStyle="1" w:styleId="13">
    <w:name w:val="font5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8997</Words>
  <Characters>9922</Characters>
  <Lines>0</Lines>
  <Paragraphs>0</Paragraphs>
  <TotalTime>6</TotalTime>
  <ScaleCrop>false</ScaleCrop>
  <LinksUpToDate>false</LinksUpToDate>
  <CharactersWithSpaces>10050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2025-11-04T09:04:00Z</dcterms:created>
  <dc:creator>那年星空</dc:creator>
  <cp:lastModifiedBy>那年星空</cp:lastModifiedBy>
  <dcterms:modified xsi:type="dcterms:W3CDTF">2025-11-05T03:26:38Z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346BFEA05E13415383A3C2ECCF8F399A_11</vt:lpwstr>
  </property>
  <property fmtid="{D5CDD505-2E9C-101B-9397-08002B2CF9AE}" pid="4" name="KSOTemplateDocerSaveRecord">
    <vt:lpwstr>eyJoZGlkIjoiMTIwYWRmMTEyYWNjN2IwNTNiNGJmYTRiNzdjNzNhMmUiLCJ1c2VySWQiOiIyMzc5MTcyMjkifQ==</vt:lpwstr>
  </property>
</Properties>
</file>