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桃江县</w:t>
      </w:r>
      <w:r>
        <w:rPr>
          <w:rFonts w:hint="default" w:ascii="Times New Roman" w:hAnsi="Times New Roman" w:eastAsia="方正小标宋简体" w:cs="Times New Roman"/>
          <w:sz w:val="44"/>
          <w:szCs w:val="44"/>
        </w:rPr>
        <w:t>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关于印发《</w:t>
      </w:r>
      <w:r>
        <w:rPr>
          <w:rFonts w:hint="default" w:ascii="Times New Roman" w:hAnsi="Times New Roman" w:eastAsia="方正小标宋简体" w:cs="Times New Roman"/>
          <w:sz w:val="44"/>
          <w:szCs w:val="44"/>
          <w:lang w:eastAsia="zh-CN"/>
        </w:rPr>
        <w:t>桃江县</w:t>
      </w:r>
      <w:r>
        <w:rPr>
          <w:rFonts w:hint="default" w:ascii="Times New Roman" w:hAnsi="Times New Roman" w:eastAsia="方正小标宋简体" w:cs="Times New Roman"/>
          <w:sz w:val="44"/>
          <w:szCs w:val="44"/>
        </w:rPr>
        <w:t>市场监督管理</w:t>
      </w:r>
      <w:r>
        <w:rPr>
          <w:rFonts w:hint="eastAsia" w:ascii="Times New Roman" w:hAnsi="Times New Roman" w:eastAsia="方正小标宋简体" w:cs="Times New Roman"/>
          <w:sz w:val="44"/>
          <w:szCs w:val="44"/>
          <w:lang w:val="en-US" w:eastAsia="zh-CN"/>
        </w:rPr>
        <w:t>局2025年度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涉企行政检查</w:t>
      </w:r>
      <w:r>
        <w:rPr>
          <w:rFonts w:hint="eastAsia" w:ascii="Times New Roman" w:hAnsi="Times New Roman" w:eastAsia="方正小标宋简体" w:cs="Times New Roman"/>
          <w:sz w:val="44"/>
          <w:szCs w:val="44"/>
          <w:lang w:val="en-US" w:eastAsia="zh-CN"/>
        </w:rPr>
        <w:t>计划</w:t>
      </w:r>
      <w:r>
        <w:rPr>
          <w:rFonts w:hint="default" w:ascii="Times New Roman" w:hAnsi="Times New Roman" w:eastAsia="方正小标宋简体" w:cs="Times New Roman"/>
          <w:sz w:val="44"/>
          <w:szCs w:val="44"/>
        </w:rPr>
        <w:t>》的通知</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属各单位: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桃江县</w:t>
      </w:r>
      <w:r>
        <w:rPr>
          <w:rFonts w:hint="default" w:ascii="Times New Roman" w:hAnsi="Times New Roman" w:eastAsia="仿宋_GB2312" w:cs="Times New Roman"/>
          <w:sz w:val="32"/>
          <w:szCs w:val="32"/>
        </w:rPr>
        <w:t>市场监督管理</w:t>
      </w:r>
      <w:r>
        <w:rPr>
          <w:rFonts w:hint="eastAsia" w:ascii="Times New Roman" w:hAnsi="Times New Roman" w:eastAsia="仿宋_GB2312" w:cs="Times New Roman"/>
          <w:sz w:val="32"/>
          <w:szCs w:val="32"/>
          <w:lang w:val="en-US" w:eastAsia="zh-CN"/>
        </w:rPr>
        <w:t>局2025年度</w:t>
      </w:r>
      <w:r>
        <w:rPr>
          <w:rFonts w:hint="default" w:ascii="Times New Roman" w:hAnsi="Times New Roman" w:eastAsia="仿宋_GB2312" w:cs="Times New Roman"/>
          <w:sz w:val="32"/>
          <w:szCs w:val="32"/>
        </w:rPr>
        <w:t>涉企行政检查</w:t>
      </w:r>
      <w:r>
        <w:rPr>
          <w:rFonts w:hint="eastAsia"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》已经</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lang w:eastAsia="zh-CN"/>
        </w:rPr>
        <w:t>领导班子</w:t>
      </w:r>
      <w:r>
        <w:rPr>
          <w:rFonts w:hint="default" w:ascii="Times New Roman" w:hAnsi="Times New Roman" w:eastAsia="仿宋_GB2312" w:cs="Times New Roman"/>
          <w:sz w:val="32"/>
          <w:szCs w:val="32"/>
          <w:lang w:val="en-US" w:eastAsia="zh-CN"/>
        </w:rPr>
        <w:t>会议</w:t>
      </w:r>
      <w:r>
        <w:rPr>
          <w:rFonts w:hint="default" w:ascii="Times New Roman" w:hAnsi="Times New Roman" w:eastAsia="仿宋_GB2312" w:cs="Times New Roman"/>
          <w:sz w:val="32"/>
          <w:szCs w:val="32"/>
          <w:lang w:eastAsia="zh-CN"/>
        </w:rPr>
        <w:t>集体讨论</w:t>
      </w:r>
      <w:r>
        <w:rPr>
          <w:rFonts w:hint="default" w:ascii="Times New Roman" w:hAnsi="Times New Roman" w:eastAsia="仿宋_GB2312" w:cs="Times New Roman"/>
          <w:sz w:val="32"/>
          <w:szCs w:val="32"/>
        </w:rPr>
        <w:t>审议通过，</w:t>
      </w:r>
      <w:r>
        <w:rPr>
          <w:rFonts w:hint="default" w:ascii="Times New Roman" w:hAnsi="Times New Roman" w:eastAsia="仿宋_GB2312" w:cs="Times New Roman"/>
          <w:sz w:val="32"/>
          <w:szCs w:val="32"/>
          <w:lang w:eastAsia="zh-CN"/>
        </w:rPr>
        <w:t>现</w:t>
      </w:r>
      <w:r>
        <w:rPr>
          <w:rFonts w:hint="default" w:ascii="Times New Roman" w:hAnsi="Times New Roman" w:eastAsia="仿宋_GB2312" w:cs="Times New Roman"/>
          <w:sz w:val="32"/>
          <w:szCs w:val="32"/>
        </w:rPr>
        <w:t>印发给你们，请认真遵照执行。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桃江县市场监督管理局</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2025年</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sectPr>
          <w:pgSz w:w="11906" w:h="16838"/>
          <w:pgMar w:top="1814" w:right="1417" w:bottom="1644" w:left="1587" w:header="851" w:footer="992" w:gutter="0"/>
          <w:paperSrc/>
          <w:pgBorders>
            <w:top w:val="none" w:sz="0" w:space="0"/>
            <w:left w:val="none" w:sz="0" w:space="0"/>
            <w:bottom w:val="none" w:sz="0" w:space="0"/>
            <w:right w:val="none" w:sz="0" w:space="0"/>
          </w:pgBorders>
          <w:pgNumType w:fmt="decimal"/>
          <w:cols w:space="0" w:num="1"/>
          <w:rtlGutter w:val="0"/>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桃江县市场监督管理局2025年度涉企行政检查计划</w:t>
      </w:r>
    </w:p>
    <w:tbl>
      <w:tblPr>
        <w:tblW w:w="156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480"/>
        <w:gridCol w:w="1141"/>
        <w:gridCol w:w="4245"/>
        <w:gridCol w:w="1230"/>
        <w:gridCol w:w="3081"/>
        <w:gridCol w:w="837"/>
        <w:gridCol w:w="777"/>
        <w:gridCol w:w="960"/>
        <w:gridCol w:w="855"/>
        <w:gridCol w:w="1275"/>
        <w:gridCol w:w="7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1520" w:hRule="atLeast"/>
          <w:tblHeader/>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序号</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检查事项</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实施依据</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Style w:val="6"/>
                <w:rFonts w:hint="eastAsia" w:asciiTheme="minorEastAsia" w:hAnsiTheme="minorEastAsia" w:eastAsiaTheme="minorEastAsia" w:cstheme="minorEastAsia"/>
                <w:b/>
                <w:bCs/>
                <w:color w:val="000000" w:themeColor="text1"/>
                <w:sz w:val="21"/>
                <w:szCs w:val="21"/>
                <w:bdr w:val="none" w:color="auto" w:sz="0" w:space="0"/>
                <w:lang w:val="en-US" w:eastAsia="zh-CN" w:bidi="ar"/>
                <w14:textFill>
                  <w14:solidFill>
                    <w14:schemeClr w14:val="tx1"/>
                  </w14:solidFill>
                </w14:textFill>
              </w:rPr>
              <w:t>具体</w:t>
            </w:r>
            <w:r>
              <w:rPr>
                <w:rStyle w:val="7"/>
                <w:rFonts w:hint="eastAsia" w:asciiTheme="minorEastAsia" w:hAnsiTheme="minorEastAsia" w:eastAsiaTheme="minorEastAsia" w:cstheme="minorEastAsia"/>
                <w:b/>
                <w:bCs/>
                <w:color w:val="000000" w:themeColor="text1"/>
                <w:sz w:val="21"/>
                <w:szCs w:val="21"/>
                <w:bdr w:val="none" w:color="auto" w:sz="0" w:space="0"/>
                <w:lang w:val="en-US" w:eastAsia="zh-CN" w:bidi="ar"/>
                <w14:textFill>
                  <w14:solidFill>
                    <w14:schemeClr w14:val="tx1"/>
                  </w14:solidFill>
                </w14:textFill>
              </w:rPr>
              <w:t>检查对象(含数量)或“双随机”抽查对象(含总数及比例)</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检查内容（项目）</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拟实施检查时间</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检查方式</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年度检查频次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承办机构</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Style w:val="8"/>
                <w:rFonts w:hint="eastAsia" w:asciiTheme="minorEastAsia" w:hAnsiTheme="minorEastAsia" w:eastAsiaTheme="minorEastAsia" w:cstheme="minorEastAsia"/>
                <w:b/>
                <w:bCs/>
                <w:color w:val="000000" w:themeColor="text1"/>
                <w:spacing w:val="0"/>
                <w:sz w:val="21"/>
                <w:szCs w:val="21"/>
                <w:bdr w:val="none" w:color="auto" w:sz="0" w:space="0"/>
                <w:lang w:val="en-US" w:eastAsia="zh-CN" w:bidi="ar"/>
                <w14:textFill>
                  <w14:solidFill>
                    <w14:schemeClr w14:val="tx1"/>
                  </w14:solidFill>
                </w14:textFill>
              </w:rPr>
              <w:t>是否属跨部门联合检查</w:t>
            </w:r>
            <w:r>
              <w:rPr>
                <w:rStyle w:val="9"/>
                <w:rFonts w:hint="eastAsia" w:asciiTheme="minorEastAsia" w:hAnsiTheme="minorEastAsia" w:eastAsiaTheme="minorEastAsia" w:cstheme="minorEastAsia"/>
                <w:b/>
                <w:bCs/>
                <w:color w:val="000000" w:themeColor="text1"/>
                <w:spacing w:val="0"/>
                <w:sz w:val="21"/>
                <w:szCs w:val="21"/>
                <w:bdr w:val="none" w:color="auto" w:sz="0" w:space="0"/>
                <w:lang w:val="en-US" w:eastAsia="zh-CN" w:bidi="ar"/>
                <w14:textFill>
                  <w14:solidFill>
                    <w14:schemeClr w14:val="tx1"/>
                  </w14:solidFill>
                </w14:textFill>
              </w:rPr>
              <w:t>(如是，需写明牵头部门和配合部门)</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u w:val="none"/>
                <w:bdr w:val="none" w:color="auto" w:sz="0" w:space="0"/>
                <w:lang w:val="en-US" w:eastAsia="zh-CN" w:bidi="ar"/>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16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登记事项检查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公司法》第三十二条、第三十四条、第二百六十条第二款；《中华人民共和国合伙企业法》第十三条、第九十四条、第九十五条第二款；《企业名称登记管理规定》第十一条、第二十三条；《优化营商环境条例》第五十四条；《中华人民共和国市场主体登记管理条例》第八条、第二十四条、第二十六条、第三十一条、第三十八条、第四十六条；《公司登记管理实施办法》第四条、第十二条；《中华人民共和国市场主体登记管理条例实施细则》第六条、第三十六条、第四十四条、第六十六条、第七十二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企业、个体工商户、农民专业合作社，小型企业抽取比例1%，中大型企业100%，严重违法失信企业100%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名称；（二）主体类型；（三）经营范围；（四）住所或者主要经营场所；（五）注册资本或者出资额；（六）法定代表人、执行事务合伙人或者负责人姓名。除前款规定外，还应当根据市场主体类型登记下列事项：（一）有限责任公司股东、股份有限公司发起人、非公司企业法人出资人的姓名或者名称；（二）个人独资企业的投资人姓名及居所；（三）合伙企业的合伙人名称或者姓名、住所、承担责任方式；（四）个体工商户的经营者姓名、住所、经营场所；（五）法律、行政法规规定的其他事项</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信用监管股、执法大队、市场监督管理所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23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备案事项检查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市场主体登记管理条例》第九条、第二十九条、第三十条、第四十七条；《公司登记管理实施办法》第五条、第六条、第七条、第八条、第九条、第十一条；《中华人民共和国市场主体登记管理条例实施细则》第七条、第三十九条、第四十一条、第四十二条、第四十三条、第六十六条、第七十三条、第七十四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企业、个体工商户、农民专业合作社，小型企业抽取比例1%，中大型企业100%，严重违法失信企业100%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章程或者合伙协议；（二）经营期限或者合伙期限；（三）有限责任公司股东或者股份有限公司发起人认缴的出资数额，合伙企业合伙人认缴或者实际缴付的出资数额、缴付期限和出资方式；（四）公司董事、监事、高级管理人员；</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五）农民专业合作社（联合社）成员；（六）参加经营的个体工商户家庭成员姓名；（七）市场主体登记联络员、外商投资企业法律文件送达接受人；（八）公司、合伙企业等市场主体受益所有人相关信息；（九）法律、行政法规规定的其他事项。</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信用监管股、执法大队、市场监督管理所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公示信息检查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公司法》第四十条、第二百五十一条；《企业公示信息抽查暂行办法》第十条、第十二条；《企业经营异常名录管理暂行办法》第四条、第六条、第八条、第九条；《个体工商户年度报告暂行办法》第六条、第十一条；《农民专业合作社年度报告公示暂行办法》第五条、第八条、第九条；《企业信息公示暂行条例》第八条、第九条、第十条、第十四条、第十五条、第十八条第一款、第二款；《中华人民共和国市场主体登记管理条例》第三十五条、第三十八条第二款；《中华人民共和国市场主体登记管理条例实施细则》第六十三条、第六十六条、第七十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企业、个体工商户、农民专业合作社，小型企业抽取比例1%，中大型企业100%，严重违法失信企业100%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52"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年度报告：</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企业通信地址、邮政编码、联系电话、电子邮箱等信息；（二）企业开业、歇业、清算等存续状态信息；（三）企业投资设立企业、购买股权信息；（四）企业为有限责任公司或者股份有限公司的，其股东或者发起人认缴和实缴的出资额、出资时间、出资方式等信息；（五）有限责任公司股东股权转让等股权变更信息；（六）企业网站以及从事网络经营的网店的名称、网址等信息；（七）企业从业人数、资产总额、负债总额、对外提供保证担保、所有者权益合计、营业总收入、主营业务收入、利润总额、净利润、纳税总额信息。</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即时信息：（一）有限责任公司股东或者股份有限公司发起人认缴和实缴的出资额、出资时间、出资方式等信息；（二）有限责任公司股东股权转让等股权变更信息；（三）行政许可取得、变更、延续信息；（四）知识产权出质登记信息；（五）受到行政处罚的信息；（六）其他依法应当公示的信息。</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信用监管股、执法大队、市场监督管理所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255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外国企业常驻代表机构监督管理</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《外国企业常驻代表机构登记管理条例》第九条、第十六条、第三十五条、第三十六条、第三十七条、第三十八条</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外国企业常驻代表机构全覆盖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代表机构名称、首席代表姓名、业务范围、驻在场所、驻在期限、外国企业名称、住所和年度报告。</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信用监管股、执法大队、市场监督管理所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440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经营者销售、收购商品和提供服务时应按规定明码标价</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《中华人民共和国价格法》第四十二条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经营者违反明码标价规定的,责令改正,没收违法所得,可以并处五千元以下的罚款。</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《价格违法行为行政处罚规定》第十三条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1.商品品名、单价、计价单位等要素是否齐全。2.服务项目名称、服务内容和价格或计价方式是否齐全。3.商品在销售时是否使用标价签或标价签遗失。4.收取费用是否高于商品、服务的标价。</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价格监管股、综合执法大队、市监所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依投诉举报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95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经营者执行政府指导价、政府定价以及法定的价格干预措施、紧急措施</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《中华人民共和国价格法》第三十九条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经营者不执行政府指导价、政府定价以及法定的价格干预措施、紧急措施的，责令改正，没收违法所得，可以并处违法所得五倍以下的罚款；没有违法所得的，可以处以罚款；情节严重的，责令停业整顿。</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《价格违法行为行政处罚规定》第九条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交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第十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执行法定的价格干预措施、紧急措施，有下列行为之一的，责令改正，没收违法所得，并处违法所得5倍以下的罚款；没有违法所得的，处10万元以上100万元以下的罚教，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实施政府定价和指导价的企、事业单位的5%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1.经营者是否执行政府指导价、政府定价;2.经营者是否执行法定价格干预措施、紧急措施。</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价格监管股、综合执法大队、市监所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99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7</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经营者提供商品或服务禁止价格欺诈行为</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《中华人民共和国价格法》第十四条第四项经营者不得有下列不正当价格行为：（四)利用虚假的或者使人误解的价格手段，诱骗消费者或者其他经营者与其进行交易；第四十条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有本法第十四条所列行为之一的，责令改正，没收违法所得，可以并处违法所得五倍以下的罚款；没有违法所得的，子以警告，可以并处罚款；情书严重的，责令停业整顿，或者由工商行政管理机关吊销营业执照。有关法律对本法第十四条所列行为的处罚及处罚机关另有规定的，可以依照有关法律的规定执行。</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《价格违法行为行政处罚规定》第七条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是否谎称商品和服务价格为政府定价或者政府指导价；2.是否以低价诱骗消费者或者其他经营者，以高价进行结算；3.是否通过虚假折价、减价或者价格比较等方式销售商品或者提供服务；4.是否销售商品或者提供服务时，使用欺骗性、误导性的语言、文宇、数字、图片或者视频等标示价格以及其他价格信息；5.是否无正当理由拒绝履行或者不完全履行价格承诺；6.是否不标示或者显著弱化标示对消费者或者其他经营者不利的价格条件，诱骗消费者或者其他经营者与其进行交易；7.是否通过积分、礼券、兑换券、代金券等折抵价款时，拒不按约定折抵价款。</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价格监管股、综合执法大队、市监所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依投诉举报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8</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经营者不得哄抬价格</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价格法》第十四条第三项经营者不得有下列不正当价格行为：（三）捏造、散布涨价信息，哄抬价格，推动商品价格过高上涨的；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《价格违法行为行政处罚规定》第六条第一款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价格法第十四条的规定，有下列推动商品价格过快、过高上涨行为之一的，责令政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告诫仍继续囤积的；（三）利用其他手段哄抬价格，推动商品价格过快、过高上涨的。</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经营者是否捏造、散布涨价信息，哄抬价格，推动商品价格过快、过高上涨。</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价格监管股、综合执法大队、市监所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依投诉举报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9</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经营者不得擅自使用与他人有一定影响的商品名称、包装、装潢等相同或者近似的标识。不得擅自使用他人有一定影响的企业名称、社会组织名称、姓名</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《中华人民共和国反不正当竞争法》第十八条第一款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经营者是否擅自使用与他人有一定影响的商品名称、包装、装潢等相同或者近似的标识，引人误认为是他人商品或者与他人存在特定联系。</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10</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经营者不得采用财物或者其他手段贿赂相关单位或者个人</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经营者违反本法第七条规定贿赂他人的，由监督检查部门没收违法所得，处十万元以上三百万元以下的罚款。情节严重的，吊销营业执照。</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经营者是否采用财物或者其他手段贿赂下列单位或者个人，以谋取交易机会或者竞争优势：</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05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经营者不得作虚假或者引人误解的商业宣传，欺骗和误导消费者，不得帮助其他经营者进行虚假或者引人误解的商业宣传</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《中华人民共和国反不正当竞争法》第二十条第一款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《网络交易监督管理办法》第十四条第二款第四项</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网络交易经营者不得以下列方式，作虚假或者引人误解的商业宣传，欺骗、误导消费。(四）虚构点击量、关注度等流量数据，以及虚构点赞、打赏等交易互动数据。第四十三条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网络交易经营者违反本办法第十四条的，依照《中华人民共和国反不正当竞争法》的相关规定进行处罚。</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对其商品的性能、功能、质量、销售状况、用户评价、曾获荣誉等作虚假或者引人误解的商业宣传，欺骗、误导消费者。经营者是否通过组织虚假交易等方式，帮助其他经营者进行虚假或者引人误解的商业宣传。</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12</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经营者不得实施侵犯商业秘密的行为</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《中华人民共和国反不正当竞争法》第二十一条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萱者是否侵犯商业秘密：1.以盗窃、贿赂、欺诈、胁迫、电子侵入或者其他不正当手段获取权利人的商业秘密；2.披露、使用或者允许他人使用以第1条所列手段获取的权利人的商业秘密；3.违反保密义务或者违反权利人有关保守商业秘密的要求，披露、使用或者允许他人使用其所掌握的商业秘密;4.教唆、引诱、帮助他人违反保密义务或者违反权利人有关保守商业秘密的要求，获取、披露、使用或者允许他人使用权利人的商业秘密。</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13</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经营者不得进行违法有奖销售行为</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《中华人民共和国反不正当竞争法》第二十二条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经营者违反本法第十条规定进行有奖销售的，由监督检查部门责今停止违法行为，处五万元以上五十万元以下的罚款。</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进行有奖销售是否存在下列情形：1.有奖销售所设奖的种类、兑奖条件、奖金金额或者奖品等有奖销售信息不明确，影响兑奖；2.经营者采用谎称有奖或者故意让内定人员中奖的欺骗方式进行有奖销售；3.抽奖式的有奖销售，最高奖的金额超过五万元。</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14</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经营者不得编造、传播虚假信息或者误导性信息，损害竞争对手的商业信誉、商品声誉</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《中华人民共和国反不正当竞争法》第十一条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经营者不得编造、传播虚假信息或者误导性信息，损害竞争对手的商业信誉、商品声誉。第二十三条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经营者违反本法第十一条规定损害竞争对手商业信誉、商品声誉的，由监督检查部门责令停止违法行为、消除影响，处十万元以上五十万元以下的罚款；情节严重的，处五十万元以上三百万元以下的罚款。</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编造、传播虚假信息或者事实虽然真实，但仅陈述部分事实，容易引发错误联想的误导性信息，对竞争对手的商业信誉、商品声誉进行恶意的诋毁、贬低，以破坏竞争对手的交易机会和竞争优势，并为自己谋取不正当利益。</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经营者不得利用技术手段，通过影响用户选择或者其他方式，实施妨碍、破坏其他经营者合法提供的网络产品或者服务正常运行的行为</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《中华人民共和国反不正当竞争法》第二十四条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应品或者服务正常运行的行为。</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专项检查与重点检查相结合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对涉嫌传销行为的检查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《禁止传销条例》第十四条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县级以上工商行政管理部门对涉嫌传销行为进行查处时，可以采取下列措施:</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(一)责令停止相关活动;</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(二)向涉嫌传销的组织者、经营者和个人调查、了解有关情况;</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(三)进入涉嫌传销的经营场所和培训、集会等活动场所，实施现场检查;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(四)查阅、复制、查封、扣押涉嫌传销的有关合同、票据、账簿等资料;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(五)查封、扣押涉嫌专门用于传销的产品(商品)、工具、设备、原材料等财物;</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(六)查封涉嫌传销的经营场所;</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(七)查询涉嫌传销的组织者或者经营者的账户及与存款有关的会计凭证、账簿、对账单等;</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(八)对有证据证明转移或者隐匿违法资金的，可以申请司法机关予以冻结。</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检查经营者是否从事传销活动</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依投诉举报进行检查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14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17</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对直销企业的行政检查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《直销管理条例》</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第6条：国务院商务主管部门和工商行政管理部门依照其职责分工和本条例规定，负责对直销企业和直销员及其直销活动实施监督管理。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第35条：工商行政管理部门负责对直销企业和直销员及其直销活动实施日常的监督管理。工商行政管理部门可以采取下列措施进行现场检查：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（一）进入相关企业进行检查；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（二）要求相关企业提供有关文件、资料和证明材料；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（三）询问当事人、利害关系人和其他有关人员，并要求其提供有关材料；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（四）查阅、复制、查封、扣押相关企业与直销活动有关的材料和非法财物；</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（五）检查有关人员的直销培训员证、直销员证等证件。</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直销企业在桃江的经销商，比例100%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登记事项、公示信息、、重大事项变更、直销员报酬支付、信息报备和披露情况等。</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依投诉举报进行检查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18</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卷烟零售经营资质、经营活动</w:t>
            </w:r>
          </w:p>
        </w:tc>
        <w:tc>
          <w:tcPr>
            <w:tcW w:w="4245"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《中华人民共和国烟草专卖法》第32条、《中华人民共和国商标法》第42条、《中华人民共和国广告法》第22条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卷烟销售经营户，比例5%</w:t>
            </w:r>
          </w:p>
        </w:tc>
        <w:tc>
          <w:tcPr>
            <w:tcW w:w="3081"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经营者是否取得烟草专卖许可证、卷烟商标侵权、卷烟广告违法行为</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经济检查股、综合执法大队、市监所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是</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属“双随机一公开”抽查、专项检查、重点检查或一般检查等情形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19</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对电子商务平台经营者的行政检查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《电子商务法》第二十七条、第三十一条、第三十二条、第三十三条、第三十四条、第三十六条、第三十七条、第三十九条、第四十条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电子商务平台经营者，比例100%；平台内经营者累计抽查覆盖率不低于总量的30%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电子商务平台经营者履行主体责任监督检查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网络监管股、广告监管股、执法大队、市监所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属“双随机一公开”抽查、专项检查、重点检查或一般检查等情形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20</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对广播、电视、报刊、期刊等媒体的广告行为检查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《广告法》第五条、第六条、第二十九条、第三十条、第四十九条、第五十一条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全县范围内的广播电台、电视台、报刊、期刊出版单位，抽查比例为100％，定向抽取。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1.检查广告媒体单位是否违反《广告法》等法律法规涉嫌发布虚假违法广告；2.检查广告媒体单位是否建立、健全广告业务的承接登记、审核、档案管理等制度。</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广告监管股、执法大队、市监所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属于“双随机一公开”抽查、专项检查、重点检查或一般检查情形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对广告经营者、广告发布者的广告业务承接登记、审核、档案管理、统计报表，广告设计、制作、代理、发布等广告行为检查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《广告法》第五条、第六条、第四十九条、第五十一条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全县范围内的广告经营主体，抽查比例为5%，不定向随机抽取。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1.检查广告经营者、广告发布者是否违反《广告法》等法律法规涉嫌发布虚假违法广告；2.检查广告经营单位是否建立、健全广告业务的承接登记、审核、档案管理等制度。</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广告监管股、执法大队、市监所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属于“双随机一公开”抽查、专项检查、重点检查或一般检查情形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22</w:t>
            </w:r>
          </w:p>
        </w:tc>
        <w:tc>
          <w:tcPr>
            <w:tcW w:w="114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对产品质量的监督检查</w:t>
            </w:r>
          </w:p>
        </w:tc>
        <w:tc>
          <w:tcPr>
            <w:tcW w:w="424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《中华人民共和国产品质量法》第八条　县级以上地方市场监督管理部门主管本行政区域内的产品质量监督工作。县级以上地方人民政府有关部门在各自的职责范围内负责产品质量监督工作。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《工业产品生产单位落实质量安全主体责任监督管理规定》第十四条  市场监督管理部门应当将生产单位建立并落实工业产品质量安全责任制等管理制度,生产单位在日管控、周排查、月调度中发现的工业产品质量安全风险隐患以及整改情况作为监督检查的重要内容。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《工业产品销售单位落实质量安全主体责任监督管理规定》第十四条  市场监督管理部门应当将销售单位建立并落实工业产品质量安全责任制等管理制度,生产单位在日管控、周排查、月调度中发现的工业产品质量安全风险隐患以及整改情况作为监督检查的重要内容。</w:t>
            </w:r>
          </w:p>
        </w:tc>
        <w:tc>
          <w:tcPr>
            <w:tcW w:w="123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工业产品生产企业和销售企业，按年度计划批次开展质量抽检。</w:t>
            </w:r>
          </w:p>
        </w:tc>
        <w:tc>
          <w:tcPr>
            <w:tcW w:w="308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1、建立健全产品质量管理制度情况检查；2、产品质量情况检查；3、产品标识情况检查；4、落实质量安全主体责任情况检查。</w:t>
            </w:r>
          </w:p>
        </w:tc>
        <w:tc>
          <w:tcPr>
            <w:tcW w:w="83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3月-12月</w:t>
            </w:r>
          </w:p>
        </w:tc>
        <w:tc>
          <w:tcPr>
            <w:tcW w:w="77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w:t>
            </w:r>
          </w:p>
        </w:tc>
        <w:tc>
          <w:tcPr>
            <w:tcW w:w="96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按年度计划批次与上级文件要求开展质量检查</w:t>
            </w:r>
          </w:p>
        </w:tc>
        <w:tc>
          <w:tcPr>
            <w:tcW w:w="85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标准质量股、消保股、执法大队、市监所</w:t>
            </w:r>
          </w:p>
        </w:tc>
        <w:tc>
          <w:tcPr>
            <w:tcW w:w="127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c>
          <w:tcPr>
            <w:tcW w:w="793"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属“双随机一公开”抽查、专项检查、重点检查或一般检查等情形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23</w:t>
            </w:r>
          </w:p>
        </w:tc>
        <w:tc>
          <w:tcPr>
            <w:tcW w:w="114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对获得工业产品生产许可证企业的监督检查</w:t>
            </w:r>
          </w:p>
        </w:tc>
        <w:tc>
          <w:tcPr>
            <w:tcW w:w="424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《中华人民共和国行政许可法》第六十一条行政机关应当建立健全监督制度，通过核查反映被许可人从事行政许可事项活动情况的有关材料，履行监督责任。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《中华人民共和国工业产品生产许可证管理条例》　第三十六条　国务院工业产品生产许可证主管部门和县级以上地方工业产品生产许可证主管部门依照本条例规定负责对生产列入目录产品的企业以及核查人员、检验机构及其检验人员的相关活动进行监督检查。第三十九条　国务院工业产品生产许可证主管部门和县级以上地方工业产品生产许可证主管部门应当对企业实施定期或者不定期的监督检查。</w:t>
            </w:r>
          </w:p>
        </w:tc>
        <w:tc>
          <w:tcPr>
            <w:tcW w:w="123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获得工业产品生产许可证的企业，检查比例100%.</w:t>
            </w:r>
          </w:p>
        </w:tc>
        <w:tc>
          <w:tcPr>
            <w:tcW w:w="308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按照产品对应的工业产品生产许可证实施细则执行，通常包括：</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1、营业执照情况检查；2、专业技术人员情况检查；3、生产条件和检验检疫手段情况检查；4、技术文件和工艺文件检查；5、质量管理制度和责任制度检查；6、产品质量情况检查；7、产业政策情况检查。</w:t>
            </w:r>
          </w:p>
        </w:tc>
        <w:tc>
          <w:tcPr>
            <w:tcW w:w="83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3月-12月</w:t>
            </w:r>
          </w:p>
        </w:tc>
        <w:tc>
          <w:tcPr>
            <w:tcW w:w="77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现场检查</w:t>
            </w:r>
          </w:p>
        </w:tc>
        <w:tc>
          <w:tcPr>
            <w:tcW w:w="96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1次</w:t>
            </w:r>
          </w:p>
        </w:tc>
        <w:tc>
          <w:tcPr>
            <w:tcW w:w="85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标准质量股、执法大队、市监所</w:t>
            </w:r>
          </w:p>
        </w:tc>
        <w:tc>
          <w:tcPr>
            <w:tcW w:w="127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c>
          <w:tcPr>
            <w:tcW w:w="793"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属“双随机一公开”抽查、专项检查、重点检查或一般检查等情形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24</w:t>
            </w:r>
          </w:p>
        </w:tc>
        <w:tc>
          <w:tcPr>
            <w:tcW w:w="114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企业、社会团体标准自我声明监督检查</w:t>
            </w:r>
          </w:p>
        </w:tc>
        <w:tc>
          <w:tcPr>
            <w:tcW w:w="424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《标准化法》第二十七条、第三十八条、第三十九条、第四十二条</w:t>
            </w:r>
          </w:p>
        </w:tc>
        <w:tc>
          <w:tcPr>
            <w:tcW w:w="123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企业、社会团体。按双随机一公开抽查计划，比例3%-30%。</w:t>
            </w:r>
          </w:p>
        </w:tc>
        <w:tc>
          <w:tcPr>
            <w:tcW w:w="3081"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一般检查事项</w:t>
            </w:r>
          </w:p>
        </w:tc>
        <w:tc>
          <w:tcPr>
            <w:tcW w:w="83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3月-12月</w:t>
            </w:r>
          </w:p>
        </w:tc>
        <w:tc>
          <w:tcPr>
            <w:tcW w:w="777"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非现场检查与上门服务指导相结合</w:t>
            </w:r>
          </w:p>
        </w:tc>
        <w:tc>
          <w:tcPr>
            <w:tcW w:w="960"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按法律法规、上级文件要求与企业实际情况开展检查与上门服务指导</w:t>
            </w:r>
          </w:p>
        </w:tc>
        <w:tc>
          <w:tcPr>
            <w:tcW w:w="85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标准质量股、执法大队、市监所</w:t>
            </w:r>
          </w:p>
        </w:tc>
        <w:tc>
          <w:tcPr>
            <w:tcW w:w="1275"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c>
          <w:tcPr>
            <w:tcW w:w="793" w:type="dxa"/>
            <w:tcBorders>
              <w:tl2br w:val="nil"/>
              <w:tr2bl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属“双随机一公开”抽查或一般检查等情形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04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对食品（食品添加剂）生产者的监督检查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2021修正）第六条：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县级以上地方人民政府依照本法和国务院的规定，确定本级食品安全监督管理、卫生行政部门和其他有关部门的职责。有关部门在各自职责范围内负责本行政区域的食品安全监督管理工作。</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县级人民政府食品安全监督管理部门可以在乡镇或者特定区域设立派出机构。</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第一百零九条：县级以上人民政府食品安全监督管理部门根据食品安全风险监测、风险评估结果和食品安全状况等，确定监督管理的重点、方式和频次，实施风险分级管理。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一百一十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生产经营监督检查管理办法》（2021年修订）第八条省级市场监督管理部门负责监督指导本行政区域内食品生产经营监督检查工作，重点组织和协调对产品风险高、影响区域广的食品生产经营者的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第九条设区的市级（以下简称市级）、县级市场监督管理部门负责本行政区域内食品生产经营监督检查工作。</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市级市场监督管理部门可以结合本行政区域食品生产经营者规模、风险、分布等实际情况，按照本级人民政府要求，划分本行政区域监督检查事权，确保监督检查覆盖本行政区域所有食品生产经营者。</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获证食品（食品添加剂）生产者监督检查全覆盖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（一）进入生产经营场所实施现场检查；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（二）对生产经营的食品、食品添加剂、食品相关产品进行抽样检验；</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（三）查阅、复制有关合同、票据、账簿以及其他有关资料；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（四）查封、扣押有证据证明不符合食品安全标准或者有证据证明存在安全隐患以及用于违法生产经营的食品、食品添加剂、食品相关产品；</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风险等级为Ａ级的食品（食品添加剂）生产者，每年至少监督检查1次；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风险等级为Ｂ级的食品（食品添加剂）生产者，每年至少监督检查1－2次；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风险等级为Ｃ级的食品（食品添加剂）生产者，每年至少监督检查2－3次；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风险等级为Ｄ级的食品（食品添加剂）生产者，每年至少监督检查3－4次。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食品生产股、执法大队、市监所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属重点检查情形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92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对食品生产加工小作坊的监督检查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《湖南省食品生产加工小作坊小餐饮和食品摊贩管理条例》（2024年修订）第四条：县级以上人民政府市场监督管理部门负责对本行政区域内小作坊、小餐饮和食品摊贩的食品安全进行监督管理和指导。</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县级以上人民政府城市管理部门按照法定职责做好食品摊贩的监督管理工作。</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县级以上人民政府发展和改革、卫生健康、农业农村、商务、生态环境等部门按照各自职责，负责本行政区域内小作坊、小餐饮和食品摊贩监督管理相关工作。</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第二十九条：县级以上人民政府市场监督管理等有关部门应当建立健全小作坊、小餐饮和食品摊贩的监督检查制度，通过日常巡查、定期检查和抽样检验等方式加强日常监督检查。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县级人民政府市场监督管理部门应当建立小作坊、小餐饮食品安全信用档案，依法公布并及时更新；对安全风险隐患较高或者有不良信用记录的小作坊、小餐饮进行重点监管。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获证食品生产加工小作坊监督检查全覆盖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（一）进入生产经营场所实施现场检查；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（二）对生产经营的食品、食品添加剂、食品相关产品进行抽样检验；</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（三）查阅、复制有关合同、票据、账簿以及其他有关资料；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（四）查封、扣押有证据证明不符合食品安全标准或者有证据证明存在安全隐患以及用于违法生产经营的食品、食品添加剂、食品相关产品；</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（五）查封违法从事生产经营活动的场所。</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食品生产加工小作坊，每年至少监督检查2次。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食品生产股、执法大队、市监所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属重点检查情形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68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27</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对餐饮服务经营者的食品安全的行政检查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三）发生食品安全事故风险较高的食品生产经营者；（四）食品安全风险监测结果表明可能存在食品安全隐患的事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第一百一十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全县获证的餐饮服务经营者、学校、托幼机构、养老机构等食堂、网络餐饮服务第三方平台、入网餐饮服务提供者，比例5%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食品餐饮股、执法大队、市监所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日常检查、专项检查与双随机相结合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97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28</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对学校、养老院等食堂、以学生为主要供餐对象的集体用餐配送单位的行政检查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三）发生食品安全事故风险较高的食品生产经营者；（四）食品安全风险监测结果表明可能存在食品安全隐患的事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《中华人民共和国食品安全法》第一百一十条，县级以上人民政府食品安全监督管理部门履行食品安全监督管理职责，有权采取下列措施，对生产经营者遵守本法的情况进行监督检查：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学校食堂、供餐单位和</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校园及周边食品经营者，比例5%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餐饮服务提供者资质、从业人员健康管理、原料控制、加工制作过程、食品添加剂使用管理、场所和设备设施清洁维护、餐饮具清洗消毒、食品安全事故处置等执行食品安全法律、法规、规章和食品安全标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食品餐饮股、执法大队、市监所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日常检查、专项检查与双随机相结合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00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29</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对小餐饮的食品安全行政检查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《湖南省食品生产加工小作坊小餐饮和食品摊贩管理条例》第二十八条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应当组织市场监督管理等有关部门制定小作坊、小餐饮和食品摊贩的食品安全监督管理计划，对存在的区域性、普遍性食品安全问题组织专项检查，开展综合治理。乡镇人民政府、街道办事处应当开展小作坊、小餐饮和食品摊贩食品安全隐患排查。村（居）民委员会确定的食品安全协管员协助开展安全隐患排查和信息报告等工作。第二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市场监督管理等有关部门应当建立健全小作坊、小餐饮和食品摊贩的监督检查制度，通过日常巡查、定期检查和抽样检验等方式加强日常监督检查。县级人民政府市场监督管理部门应当建立小作坊、小餐饮食品安全信用档案，依法公布并及时更新；对安全风险隐患较高或者有不良信用记录的小作坊、小餐饮进行重点监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全县获证的餐饮服务经营者、学校、托幼机构、养老机构等食堂、网络餐饮服务第三方平台、入网餐饮服务提供者，比例5%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执行食品安全法律、法规、规章和食品安全标准等情况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对小餐饮的食品安全行政检查每年度开展不少于2次的监督检查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食品餐饮股、执法大队、市监所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日常检查与专项检查相结合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30</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对食品销售经营者的食品安全行政检查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中华人民共和国食品安全法》第一百零九条第一款、第二款、第三款第（三）（四）项。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三）发生食品安全事故风险较高的食品生产经营者；（四）食品安全风险监测结果表明可能存在食品安全隐患的事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中华人民共和国食品安全法》第一百一十条，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食品销售经营者全覆盖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销售经营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执行食品安全法律、法规、规章和食品安全标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8"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2.对风险等级为D级的食品销售经营者实施重点监督检查，并可以根据实际情况增加监督检查频次。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食品流通股、执法大队、市监所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对市场销售食用农产品经营者的质量安全行政检查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一、《中华人民共和国食品安全法》第一百零九条第一款、第二款、第三款第（三）（四）项。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县级以上人民政府食品安全监督管理部门根据食品安全风险监测、风险评估结果和食品安全状况等，确定监督管理的重点、方式和频次，实施风险分级管理。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县级以上地方人民政府组织本级食品安全监督管理、农业行政等部门制定本行政区域的食品安全年度监督管理计划，向社会公布并组织实施。</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食品安全年度监督管理计划应当将下列事项作为监督管理的重点：（三）发生食品安全事故风险较高的食品生产经营者；（四）食品安全风险监测结果表明可能存在食品安全隐患的事项。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中华人民共和国食品安全法》第一百一十条，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食用农产品市场销售质量安全监督管理办法》第二十九条第一款第（一）、（二）、（三）（四）（五）（八）项、第二款。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八）依法查封违法从事食用农产品销售活动的场所。集中交易市场开办者、销售者及其委托的贮存服务提供者对市场监督管理部门依法实施的监督检查应当予以配合，不得拒绝、阻挠、干涉。</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市场销售食用农产品经营者全覆盖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用农产品销售者一般规定执行、禁止性规定执行、经营场所环境卫生、经营过程控制、进货查验、食用农产品贮存、食用农产品召回、温度控制及记录、不符合食品安全标准食品处置、食品安全自查、从业人员管理、食品安全事故处置、网络食用农产品销售等执行食品安全法律、法规、规章和食品安全标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食品流通股、执法大队、市监所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32</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对食用农产品集中交易市场开办者的行政检查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一、《中华人民共和国食品安全法》第一百零九条第一款、第二款、第三款第（三）（四）项。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食品安全年度监督管理计划应当将下列事项作为监督管理的重点：（三）发生食品安全事故风险较高的食品生产经营者；（四）食品安全风险监测结果表明可能存在食品安全隐患的事项。</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中华人民共和国食品安全法》第一百一十条，县级以上人民政府食品药品监督管理、质量监督部门履行各自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食用农产品市场销售质量安全监督管理办法》第二十九条第一款第（一）、（二）、（三）（四）（五）（八）项、第二款。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八）依法查封违法从事食用农产品销售活动的场所。集中交易市场开办者、销售者及其委托的贮存服务提供者对市场监督管理部门依法实施的监督检查应当予以配合，不得拒绝、阻挠、干涉。</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食用农产品集中交易市场开办者全覆盖</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用农产品集中交易市场开办者举办前报告、建立健全食品安全管理制度、履行入场销售者登记建档、签订协议、入场查验、场内检查、信息公示、食品安全违法行为制止及报告、食品安全事故处置、投诉举报处置等执行食品安全法律、法规、规章和食品安全标准等情况，食用农产品批发市场开办者履行抽样检验、统一销售凭证格式以及监督入场销售者开具销售凭证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92"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用农产品开办者，原则上每年至少监督检查1次；对风险等级为B级风险的食用农产品开办者，原则上每年至少监督检查1—2次；对风险等级为C级风险的食用农产品开办者，原则上每年至少监督检查2—3次；对风险等级为D级风险的食用农产品开办者，原则上每年至少监督检查3—4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食品流通股、执法大队、市监所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00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33</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对特殊食品生产单位的监督检查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【行政法规】</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特殊生产单位按双随机一公开抽查计划，比例5%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生产经营监督检查管理办法》第十五条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根据食品安全风险分级结果，风险等级为Ａ级的特殊食品生产者，每年至少监督检查1次；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风险等级为Ｂ级的特殊食品生产者，每年至少监督检查1－2次；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风险等级为Ｃ级的特殊食品生产者，每年至少监督检查2－3次；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风险等级为Ｄ级的食品生产者，每年至少监督检查3－4次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特殊食品股、执法大队、市监所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34</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对特殊食品经营单位的监督检查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食品安全法》（中华人民共和国主席令第9号，2009.06.01施行，2018.12.29第一次修正）第一百一十条第一至三项：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行政法规】《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特殊食品经营单位按双随机一公开抽查计划，比例5%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第十八条第二款特殊食品销售环节监督检查要点，除应当包括本办法第十七条规定的内容，还应当包括禁止混放要求落实、标签和说明书核对等情况。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4"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2.对风险等级为D级的食品销售经营者实施重点监督检查，并可以根据实际情况增加监督检查频次。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特殊食品股、执法大队、市监所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对食盐生产、经营的监督检查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盐专营办法》（2017修订）第四条：国务院盐业主管部门主管全国盐业工作，负责管理全国食盐专营工作。县级以上地方人民政府确定的盐业主管部门负责管理本行政区域的食盐专营工作。国务院食品药品监督管理部门负责全国食盐质量安全监督管理。县级以上地方人民政府确定的食盐质量安全监督管理部门负责本行政区域的食盐质量安全监督管理。"</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食盐生产、经营单位按双随机一公开抽查计划，比例5%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一般检查事项</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48"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食品安全风险分级结果，对风险等级为A级风险的食品经营者，原则上每年至少监督检查1次；对风险等级为B级风险的食品经营者，原则上每年至少监督检查1—2次；对风险等级为C级风险的食品经营者，原则上每年至少监督检查2—3次；对风险等级为D级风险的食品经营者，原则上每年至少监督检查3—4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2.对风险等级为D级的食品销售经营者实施重点监督检查，并可以根据实际情况增加监督检查频次。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特殊食品股、执法大队、市监所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“双随机一公开”抽查与重点检查相结合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0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对特种设备生产、经营、使用单位和检验、检测机构的行政检查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《中华人民共和国特种设备安全法》</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第五条县级以上地方各级人民政府负责特种设备安全监督管理的部门对本行政区域内特种设备实施安全监督管理。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第五十七条第一款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负责特种设备安全监督管理的部门依照本法规定，对特种设备生产、经营、使用单位和检验、检测机构实施监督检查。《特种设备安全监督检查办法》</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第二条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市场监督管理部门对特种设备生产（包括设计、制造、安装、改造、修理）、经营、使用（含充装，下同）单位和检验、检测机构实施监督检查，使用本办法。第三条第二款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县级以上市场监督管理部门负责本行政区域内的特种设备安全监督检查工作，依据上级市场监督管理部门部署或者实际工作需要，组织开展监督检查。第三条第三款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市场监督管理所依照市场监管法律、法规、规章有关规定以及上级市场监督管理部门确定的权限，承担相关特种设备安全监督检查工作。第七条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级市场监督管理部门负责制定年度常规监督检查计划，确定辖区内市场监管部门任务分工，并分级负责实施。年度常规监督检查计划应报告同级人民政府。对特种设备生产单位开展的年度常规监督检查计划还应当同时报告省级市场监督管理部门。第十条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第十二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市场监督管理部门对其许可的特种设备生产、充装单位和检验、检测机构是否持续保持许可条件、依法从事许可活动实施证后监督检查。第十三条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证后监督检查由实施行政许可的市场监督管理部门负责组织实施，或者委托下级市场监督管理部门组织实施。第十八条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市场监督管理部门实施监督检查时，应当有二名以上检查人员参加，出示有效的特种设备安全行政执法证件，并说明检查的任务来源、依据、内容、要求等。</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特种设备生产、经营、使用单位和检验、检测机构</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1、特种设备重点使用单位共计38家，益阳市市监局抽取实施20%（共计8家），剩余80%（30家）由县市监局实施。</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2、特种设备一般使用单位采取“双随机、一公开”的方式进行常规监督检查，抽查比例为辖区内办理特种设备使用登记的使用单位总数量的5%。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生产单位常规监督检查项目表》、《特种设备使用单位常规监督检查项目表》、《特种设备检验、检测机构专项监督检查项目表》、《特种设备生产和充装单位许可规则》、《特种设备检验机构核准规则》、《特种设备检测机构核准规则》以及特种设备相关的技术规范要求</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（一）对确定为2025年度重点监督的特种设备生产、经营、使用单位，按照计划安排进行常规监督检查，各市监所配合开展相关检查工作。常规监督检查次数不得少于1次。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对辖区内其他特种设备使用单位进行常规监督检查，采取“双随机、一公开”的方式进行常规监督检查，抽查比例不低于辖区内办理特种设备使用登记的使用单位总数量的5%，其中重点监督检查使用单位抽查数量纳入使用单位抽查数量统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（三）其他特种设备使用单位的检查结合实际和相关专项检查行动合理统筹安排。</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特种设备安全监察股、执法大队、市监所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属重点检查情形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06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37</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对特种设备检验、检测机构的检验、检测结果和鉴定结论的行政检查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《中华人民共和国特种设备安全法》</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第五条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县级以上地方各级人民政府负责特种设备安全监督管理的部门对本行政区域内特种设备实施安全监督管理。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第五十三条第三款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负责特种设备安全监督管理的部门应当组织对特种设备检验、检测机构的检验、检测结果和鉴定结论进行监督抽查，但应当防止重复抽查。监督抽查结果应当向社会公布。</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第五十七条第一款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负责特种设备安全监督管理的部门依照本法规定，对特种设备生产、经营、使用单位和检验、检测机构实施监督检查。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《特种设备安全监督检查办法》</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第十八条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对其他部门移送、上级交办、投诉、举报等途径和检验、检测、监测等方式发现的特种设备安全违法行为或者事故隐患线索，根据需要可以对特种设备生产、经营、使用单位和检验、检测机构实施监督检查。</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特种设备检验、检测机构（共计1家）</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《特种设备检验、检测机构专项监督检查项目表》、《特种设备检验机构核准规则》、《特种设备检测机构核准规则》以及特种设备相关的技术规范要求</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根据实际需要实施监督检查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特种设备安全监察股、执法大队、市监所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属重点检查情形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691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38</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在用计量器具监督检查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《计量法》第十八条《集贸市场计量监督管理办法》第三条、第十一条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《加油站计量监督管理办法》第三条、第六条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《眼镜制配计量监督管理办法》第三条、第七条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粮食购销领域100%、加油站100%、眼镜制配场所100%、集贸市场50%、医院100%、商场50%、自来水100%、供电100%、燃气公司100%、出租车公司100%、充电桩50%</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等在用强检计量器具使用单位</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查在用强检计量器具使用单位是否有完善的计量管理制度；是否配备专（兼）职计量人员；是否按照规定将其使用的强制检定工作计量器具登记造册，报当地市场监管部门备案，并向其指定的计量检定机构申请周期检定；是否存在使用未经检定、超过检定周期或检定不合格的计量器具；是否存在使用以欺骗消费者为目的的计量器具或者破坏计量器具准确度、伪造数据；是否存在使用未经型式批准的计量具。</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加油站半年1次检查；其他1年1次检查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39</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法定计量检定机构专项监督检查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《计量法》第十八条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《计量法实施细则》第二十八条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《法定计量检定机构监督管理办法》第四条、十九条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《专业计量站管理办法》第十七条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法定计量检定机构（含计量授权检定机构）100%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对法定计量检定机构（含计量授权检定机构）的人员情况、标准情况、机构管理情况及工作运行情况开展现场监督检查。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40</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计量单位使用情况专项监督检查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《计量法》第十八条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《全面推行我国法定计量单位的意见》</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《非法定计量单位限制使用管理办法》第四条、第九条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宣传出版、文化教育、市场交易等领域有关单位或组织10%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对计量单位使用情况是否符合《中华人民共和国计量法》等相关法律法规的规定组织开展监督检查。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Style w:val="10"/>
                <w:rFonts w:hint="eastAsia" w:asciiTheme="minorEastAsia" w:hAnsiTheme="minorEastAsia" w:eastAsiaTheme="minorEastAsia" w:cstheme="minorEastAsia"/>
                <w:color w:val="000000" w:themeColor="text1"/>
                <w:sz w:val="21"/>
                <w:szCs w:val="21"/>
                <w:bdr w:val="none" w:color="auto" w:sz="0" w:space="0"/>
                <w:lang w:val="en-US" w:eastAsia="zh-CN" w:bidi="ar"/>
                <w14:textFill>
                  <w14:solidFill>
                    <w14:schemeClr w14:val="tx1"/>
                  </w14:solidFill>
                </w14:textFill>
              </w:rPr>
              <w:t>定量包装商品净含量</w:t>
            </w:r>
            <w:r>
              <w:rPr>
                <w:rStyle w:val="11"/>
                <w:rFonts w:hint="eastAsia" w:asciiTheme="minorEastAsia" w:hAnsiTheme="minorEastAsia" w:eastAsiaTheme="minorEastAsia" w:cstheme="minorEastAsia"/>
                <w:color w:val="000000" w:themeColor="text1"/>
                <w:sz w:val="21"/>
                <w:szCs w:val="21"/>
                <w:bdr w:val="none" w:color="auto" w:sz="0" w:space="0"/>
                <w:lang w:val="en-US" w:eastAsia="zh-CN" w:bidi="ar"/>
                <w14:textFill>
                  <w14:solidFill>
                    <w14:schemeClr w14:val="tx1"/>
                  </w14:solidFill>
                </w14:textFill>
              </w:rPr>
              <w:t>、</w:t>
            </w:r>
            <w:r>
              <w:rPr>
                <w:rStyle w:val="10"/>
                <w:rFonts w:hint="eastAsia" w:asciiTheme="minorEastAsia" w:hAnsiTheme="minorEastAsia" w:eastAsiaTheme="minorEastAsia" w:cstheme="minorEastAsia"/>
                <w:color w:val="000000" w:themeColor="text1"/>
                <w:sz w:val="21"/>
                <w:szCs w:val="21"/>
                <w:bdr w:val="none" w:color="auto" w:sz="0" w:space="0"/>
                <w:lang w:val="en-US" w:eastAsia="zh-CN" w:bidi="ar"/>
                <w14:textFill>
                  <w14:solidFill>
                    <w14:schemeClr w14:val="tx1"/>
                  </w14:solidFill>
                </w14:textFill>
              </w:rPr>
              <w:t>国家计量监督专项抽查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《计量法》第十八条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《定量包装商品计量监督管理办法》第三条、第十二条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定量包装商品生产、销售企业（门店）5%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检查定量包装商品净含量、净含量标注情况。</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非现场检查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42</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型式批准监督检查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《计量法》第十八条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型式批准销售和使用单位3%</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是否销售或使用应当经形式批准而未经型式批准的计量器具的行为；是否擅自改变原批准的型式或冒用、伪造证书号码等。</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日常监督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43</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能效标识、水效标识计量专项监督检查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《节约能源法》第十二条、第七十三条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《能源计量监督管理办法》第十六条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《能源效率标识管理办法》第四条、第十八条《水效标识管理办法》第五条、第十七条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能效、水效标识产品生产企业、销售企业（门店）2%</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查列入《中华人民共和国实行能源效率标识的产品目录》《中华人民共和国实行水效标识的产品目录》的产品是否按有关标准和实施规则的要求标注能效标识；使用的能效标识是否符合有关样式、规格等标注规定（包括是否符合网络交易产品能效标识展示要求）；是否办理能效标识备案；是否存在伪造冒用能效标识或者利用能效标识进行虚假宣传的行为。</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非现场检查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44</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对重点能耗企业计量情况的行政检查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1.《能源计量监督管理办法》(根据2020年10月23日国家市场监督管理总局令第31号修订)</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六条：市场监督管理部门应当对用能单位能源计量工作情况、列入国家能源效率标识管理产品目录的用能产品能源效率实施监督检查。任何单位和个人不得拒绝、阻碍依法开展的能源计量监督检查。第十七条：市场监督管理部门应当对重点用能单位的能源计量器具配备和使用，计量数据管理以及能源计量工作人员配备和培训等能源计量工作情况开展定期审查。</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能源标识产品生产企业、销售企业（门店）2%</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查列入《能源计量监督管理办法》的产品是否按有关标准和实施规则的要求标注能源标识；使用的能源标识是否符合有关样式、规格等标注规定（包括是否符合网络交易产品能效标识展示要求）；是否办理能源标识备案；是否存在伪造冒用能源标识或者利用能源标识进行虚假宣传的行为。</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抽样检测</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日常监督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对检验检测机构的行政检查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76"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《检验检测机构监督管理办法》</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第四条第二款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省级市场监督管理部门负责本行政区域内检验检测机构监督管理工作；第三款地（市）、县级市场监督管理部门负责本行政区域内检验检测机构监督检查工作。</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第十七条第一款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县级以上市场监督管理部门应当依据检验检测机构年度监督检查计划，随机抽取检查对象、随机选派执法检查人员开展监督检查工作；第二款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因应对突发事件等需要，县级以上市场监督管理部门可以应急开展相关监督检查工作；第三款</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国家市场监督管理总局可以根据工作需要，委托省级市场监督管理部门开展监督检查。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省级市场监督管理部门可以结合风险程度、能力验证及监督检查结果、投诉举报情况等，对本行政区域内检验检测机构进行分类监管。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第二十条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市场监督管理部门可以依法行使下列职权：（一）进入检验检测机构进行现场检查；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二）向检验检测机构、委托人等有关单位及人员询问、调查有关情况或者验证相关检验检测活动；（三）查阅、复制有关检验检测原始记录、报告、发票、账簿及其他相关资料；（四）法律、行政法规规定的其他职权。</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检验检测机构100%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1.对机构持续保持资质认定条件的监督检查；</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2.对机构从事检验检测活动的监督检查。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机动车检测机构一季度一次上门检查，其他检测机构一年一次现场检查。(按蓝天保卫方案要求）</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是</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日常检查与双随机相结合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对认证活动和认证结果的行政检查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《中华人民共和国认证认可条例》（2003年9月3日实施）第五十条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国务院认证认可监督管理部门可以采取组织同行评议，向被认证企业征求意见，对认证活动和认证结果进行抽查，要求认证机构以及与认证有关的检查机构、实验室报告业务活动情况的方式，对其遵守本条例的情况进行监督。发现有违反本条例行为的，应当及时查处，涉及国务院有关部门职责的，应当及时通报有关部门。第五十四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县级以上地方人民政府市场监督管理部门在国务院认证认可监督管理部门的授权范围内，依照本条例的规定对认证活动实施监督管理。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《认证机构管理办法》（2017年11月14日实施）第四条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国务院认证认可监督管理部门主管认证机构的资质审批及监督管理工作。县级以上地方认证监督管理部门依照本办法的规定，负责所辖区域内认证机构从事认证活动的监督管理。</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《强制性产品认证管理规定》（2009年7月3日实施）第三十七条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县级以上地方市场监督管理部门负责对所辖区域内强制性产品认证活动实施监督检查，对违法行为进行查处。</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《市场监管总局关于加强认证监管工作的通知》（国市监认证〔2019〕102号）（2019年5月14日实施）</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认证机构、认证从业人员、认证文书和认证标志、列入CCC目录内产品和有机产品的监管100%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afterAutospacing="0"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认证活动及结果合规性、有效性的事前、事中、事后检查以及不按法定要求使用和销售应当经强制认证方可出厂产品的违法行为；投诉举报和违法行为查处。</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计量股、执法大队、市监所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日常监管与双随机相结合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2315"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47</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商标代理机构主体资格、执业行为进行检查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《商标法》第十九条、第六十八条、《商标法实施条例》第八十四条、第八十八条，第八十九条</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商标代理机构，抽取比例5%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商标代理机构主体资格、执业行为进行检查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知识产权股、综合执法大队、市监所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254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48</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专利代理机构主体资格和执业资质检查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专利代理条例》第四条、第五条、第六条</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代理管理办法》第九条、第十条、第十一条、第十二条、第十三条、第十八条、第二十条、第二十六条、第二十一条、第三十七条第四十一条第三十五条、第三十七条、第三十八条、第三十九条、第四十条、第四十一条、第四十二条、第四十五条。</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专利代理机构，抽取比例30%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专利代理机构主体资格和执业资质检查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知识产权股、综合执法大队、市监所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248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49</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专利真实性监督检查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专利法》第六十五条、第六十六条、第六十八条、第六十九条；《《中华人民共和国专利法实施细则》第十一条、第八十八条；《专利行政执法办法》第二十八条、第二十九条、第三十条、第三十一条。</w:t>
            </w:r>
          </w:p>
        </w:tc>
        <w:tc>
          <w:tcPr>
            <w:tcW w:w="1230" w:type="dxa"/>
            <w:tcBorders>
              <w:tl2br w:val="nil"/>
              <w:tr2bl w:val="nil"/>
            </w:tcBorders>
            <w:shd w:val="clear"/>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近5年涉及专利侵权纠纷的市场主体，抽取比例10%</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专利证书、专利文件或专利申请文件真实性的检查，产品专利宣传真实性检查。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3月-11月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知识产权股、综合执法大队、市监所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7120"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50</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商标使用行为检查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中华人民共和国商标法》第七条、第四十九条、第五十一条、第五十二条、第五十三条、第五十七条、第六十条、第六十一条、第六十二条；《商标法实施条例》第七十一条、第七十二条、第八十条、第九十一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拥有有效商标企业；地理标志注册商标被许可使用企业；从事商标印制业务的市场主体，抽取比例5%</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商标使用行为的检查；集体商标、证明商标（含地理标志）使用行为检查；商标印制行为的检查。</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3月-11月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1次</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知识产权股、综合执法大队、市监所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属“双随机一公开”抽查、专项检查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51</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药品质量安全检查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《药品管理法》第八条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第九十九条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第一百条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疫苗接种单位、麻精药品使用单位、经营冷藏药品的单位、2024年新开办的药品经营企业检查覆盖率100%，其他单位实现三年内全覆盖检查；对诚信度差，日常管理混乱、上年度存在违法违规行为，不配合监督检查或存在风险隐患的单位，应适当增加检查频次。</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药品合法性、质量、购销渠道、储存保管等</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按药品管理法规和上级文件要求执行</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药械股、综合执法大队、市监所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必要时</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“双随机一公开”抽查、专项检查、重点检查或一般检查相结合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52</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医疗器械质量安全检查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《医疗器械监督管理条例》第四条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第六十九条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第七十条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实施二级监管的企业，每两年组织检查好不少于一次，对角膜接触镜类和防护类产品零售企业根据需要确定检查频次；实施一级监管的企业，每年抽取25%以上进行检查，4年内全覆盖；上年度存在违法违规行为，不配合监督检查或存在风险隐患的单位，适当增加检查频次。</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医疗器械合法性、质量、购销渠道、储存保管等</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按医疗器械法规和上级文件要求执行</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药械股、综合执法大队、市监所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必要时</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“双随机一公开”抽查、专项检查、重点检查或一般检查相结合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53</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化妆品质量安全检查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210" w:hanging="210" w:hangingChars="100"/>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《化妆品监督管理条例》第五条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第四十六条第四十七条</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对低风险企业按3%抽查，中风险企业抽查5%，较高风险企业抽查50%，高风险企业按100%检查</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化妆品合法性、质量等</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按化妆品管理法规和上级文件要求执行</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药械股、综合执法大队、市监所</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必要时</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“双随机一公开”抽查、专项检查、重点检查或一般检查相结合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54</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食品经营许可证现场核查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食品经营许可和备案管理办法》第二十条县级以上地方市场监督管理部门应当对申请人提交的许可申请材料进行审查。需要对申请材料的实质内容进行核实的，应当进行现场核查。食品经营许可申请包含预包装食品销售的，对其中的预包装食品销售项目不需要进行现场核查。</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申请对象依法100%检查</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对申请材料的实质内容进行核实</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依申请检查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行政审批服务股</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一般检查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55</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药品经营许可证现场核查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《药品经营和使用质量监督管理办法》第十三条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药品监督管理部门应当自受理申请之日起二十日内作出决定。</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申请对象依法100%检查</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对申请材料的实质内容进行核实</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依申请检查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行政审批服务股</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一般检查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tblCellMar>
            <w:top w:w="0" w:type="dxa"/>
            <w:left w:w="108" w:type="dxa"/>
            <w:bottom w:w="0" w:type="dxa"/>
            <w:right w:w="108" w:type="dxa"/>
          </w:tblCellMar>
        </w:tblPrEx>
        <w:trPr>
          <w:trHeight w:val="567" w:hRule="atLeast"/>
          <w:jc w:val="center"/>
        </w:trPr>
        <w:tc>
          <w:tcPr>
            <w:tcW w:w="48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56</w:t>
            </w:r>
          </w:p>
        </w:tc>
        <w:tc>
          <w:tcPr>
            <w:tcW w:w="114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医疗器械经营许可证现场核查</w:t>
            </w:r>
          </w:p>
        </w:tc>
        <w:tc>
          <w:tcPr>
            <w:tcW w:w="424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《医疗器械经营监督管理办法》第十三条</w:t>
            </w:r>
            <w:r>
              <w:rPr>
                <w:rFonts w:hint="eastAsia" w:asciiTheme="minorEastAsia" w:hAnsi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设区的市级负责药品监督管理的部门自受理经营许可申请后，应当对申请资料进行审查，必要时按照医疗器械经营质量管理规范的要求开展现场核查，并自受理之日起20个工作日内作出决定。需要整改的，整改时间不计入审核时限。</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符合规定条件的，作出准予许可的书面决定，并于10个工作日内发给医疗器械经营许可证；不符合规定条件的，作出不予许可的书面决定，并说明理由。</w:t>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2005年原食药局将第三类医疗器械的许可和第二类医疗器械的备案，市级委托区县局办理</w:t>
            </w:r>
          </w:p>
        </w:tc>
        <w:tc>
          <w:tcPr>
            <w:tcW w:w="123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申请对象依法100%检查</w:t>
            </w:r>
          </w:p>
        </w:tc>
        <w:tc>
          <w:tcPr>
            <w:tcW w:w="3081"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对申请材料的实质内容进行核实</w:t>
            </w:r>
          </w:p>
        </w:tc>
        <w:tc>
          <w:tcPr>
            <w:tcW w:w="83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3月-12月</w:t>
            </w:r>
          </w:p>
        </w:tc>
        <w:tc>
          <w:tcPr>
            <w:tcW w:w="777"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现场检查、非现场检查相结合</w:t>
            </w:r>
          </w:p>
        </w:tc>
        <w:tc>
          <w:tcPr>
            <w:tcW w:w="960"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依申请检查</w:t>
            </w:r>
          </w:p>
        </w:tc>
        <w:tc>
          <w:tcPr>
            <w:tcW w:w="85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行政</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审批</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服务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股</w:t>
            </w:r>
          </w:p>
        </w:tc>
        <w:tc>
          <w:tcPr>
            <w:tcW w:w="1275"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否</w:t>
            </w:r>
          </w:p>
        </w:tc>
        <w:tc>
          <w:tcPr>
            <w:tcW w:w="793" w:type="dxa"/>
            <w:tcBorders>
              <w:tl2br w:val="nil"/>
              <w:tr2bl w:val="nil"/>
            </w:tcBorders>
            <w:shd w:val="clear"/>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bdr w:val="none" w:color="auto" w:sz="0" w:space="0"/>
                <w:lang w:val="en-US" w:eastAsia="zh-CN" w:bidi="ar"/>
                <w14:textFill>
                  <w14:solidFill>
                    <w14:schemeClr w14:val="tx1"/>
                  </w14:solidFill>
                </w14:textFill>
              </w:rPr>
              <w:t>一般检查</w:t>
            </w:r>
          </w:p>
        </w:tc>
      </w:tr>
    </w:tbl>
    <w:p>
      <w:pPr>
        <w:rPr>
          <w:rFonts w:hint="eastAsia"/>
        </w:rPr>
      </w:pPr>
      <w:bookmarkStart w:id="0" w:name="_GoBack"/>
      <w:bookmarkEnd w:id="0"/>
    </w:p>
    <w:sectPr>
      <w:footerReference r:id="rId3" w:type="default"/>
      <w:pgSz w:w="16838" w:h="11906" w:orient="landscape"/>
      <w:pgMar w:top="1417" w:right="850" w:bottom="1417" w:left="850" w:header="851" w:footer="1134"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黑体">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Y2Y2ZjNjMTQ5ZjI5NDMwNjU1ZTE4NDdmYzJjNDkifQ=="/>
  </w:docVars>
  <w:rsids>
    <w:rsidRoot w:val="09AB2E65"/>
    <w:rsid w:val="05687CD1"/>
    <w:rsid w:val="062B0EAC"/>
    <w:rsid w:val="09AB2E65"/>
    <w:rsid w:val="307C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01"/>
    <w:basedOn w:val="5"/>
    <w:uiPriority w:val="0"/>
    <w:rPr>
      <w:rFonts w:hint="eastAsia" w:ascii="黑体" w:hAnsi="宋体" w:eastAsia="黑体" w:cs="黑体"/>
      <w:color w:val="000000"/>
      <w:sz w:val="20"/>
      <w:szCs w:val="20"/>
      <w:u w:val="none"/>
    </w:rPr>
  </w:style>
  <w:style w:type="character" w:customStyle="1" w:styleId="7">
    <w:name w:val="font231"/>
    <w:basedOn w:val="5"/>
    <w:uiPriority w:val="0"/>
    <w:rPr>
      <w:rFonts w:ascii="方正公文黑体" w:hAnsi="方正公文黑体" w:eastAsia="方正公文黑体" w:cs="方正公文黑体"/>
      <w:color w:val="000000"/>
      <w:sz w:val="20"/>
      <w:szCs w:val="20"/>
      <w:u w:val="none"/>
    </w:rPr>
  </w:style>
  <w:style w:type="character" w:customStyle="1" w:styleId="8">
    <w:name w:val="font221"/>
    <w:basedOn w:val="5"/>
    <w:uiPriority w:val="0"/>
    <w:rPr>
      <w:rFonts w:hint="eastAsia" w:ascii="黑体" w:hAnsi="宋体" w:eastAsia="黑体" w:cs="黑体"/>
      <w:color w:val="FF0000"/>
      <w:sz w:val="20"/>
      <w:szCs w:val="20"/>
      <w:u w:val="none"/>
    </w:rPr>
  </w:style>
  <w:style w:type="character" w:customStyle="1" w:styleId="9">
    <w:name w:val="font241"/>
    <w:basedOn w:val="5"/>
    <w:uiPriority w:val="0"/>
    <w:rPr>
      <w:rFonts w:hint="default" w:ascii="方正公文黑体" w:hAnsi="方正公文黑体" w:eastAsia="方正公文黑体" w:cs="方正公文黑体"/>
      <w:color w:val="FF0000"/>
      <w:sz w:val="20"/>
      <w:szCs w:val="20"/>
      <w:u w:val="none"/>
    </w:rPr>
  </w:style>
  <w:style w:type="character" w:customStyle="1" w:styleId="10">
    <w:name w:val="font131"/>
    <w:basedOn w:val="5"/>
    <w:uiPriority w:val="0"/>
    <w:rPr>
      <w:rFonts w:hint="default" w:ascii="方正仿宋_GB2312" w:hAnsi="方正仿宋_GB2312" w:eastAsia="方正仿宋_GB2312" w:cs="方正仿宋_GB2312"/>
      <w:color w:val="000000"/>
      <w:sz w:val="20"/>
      <w:szCs w:val="20"/>
      <w:u w:val="none"/>
    </w:rPr>
  </w:style>
  <w:style w:type="character" w:customStyle="1" w:styleId="11">
    <w:name w:val="font161"/>
    <w:basedOn w:val="5"/>
    <w:uiPriority w:val="0"/>
    <w:rPr>
      <w:rFonts w:hint="default" w:ascii="方正仿宋_GB2312" w:hAnsi="方正仿宋_GB2312" w:eastAsia="方正仿宋_GB2312" w:cs="方正仿宋_GB2312"/>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26245</Words>
  <Characters>26727</Characters>
  <Lines>0</Lines>
  <Paragraphs>0</Paragraphs>
  <TotalTime>35</TotalTime>
  <ScaleCrop>false</ScaleCrop>
  <LinksUpToDate>false</LinksUpToDate>
  <CharactersWithSpaces>26727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2025-05-23T00:44:00Z</dcterms:created>
  <dc:creator>众邦印务中心（原志雄印务）</dc:creator>
  <cp:lastModifiedBy>众邦印务中心（原志雄印务）</cp:lastModifiedBy>
  <dcterms:modified xsi:type="dcterms:W3CDTF">2025-05-23T02:43:47Z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162EDF1C3E58401DA83D32A967678B78_13</vt:lpwstr>
  </property>
</Properties>
</file>