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7"/>
        <w:gridCol w:w="561"/>
        <w:gridCol w:w="2230"/>
        <w:gridCol w:w="4187"/>
        <w:gridCol w:w="562"/>
        <w:gridCol w:w="2231"/>
      </w:tblGrid>
      <w:tr w14:paraId="2913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991202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32"/>
                <w:szCs w:val="32"/>
              </w:rPr>
              <w:t xml:space="preserve">收入支出决算总表 </w:t>
            </w:r>
          </w:p>
        </w:tc>
      </w:tr>
      <w:tr w14:paraId="5415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shd w:val="clear" w:color="auto" w:fill="auto"/>
            <w:vAlign w:val="center"/>
          </w:tcPr>
          <w:p w14:paraId="78163E8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A4920D3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2CCE4C5E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500" w:type="pct"/>
            <w:shd w:val="clear" w:color="auto" w:fill="auto"/>
            <w:vAlign w:val="center"/>
          </w:tcPr>
          <w:p w14:paraId="0607F550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DA5B21A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02F5DB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公开01表 </w:t>
            </w:r>
          </w:p>
        </w:tc>
      </w:tr>
      <w:tr w14:paraId="0387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20275C1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部门：桃江县石牛江镇人民政府 </w:t>
            </w:r>
          </w:p>
        </w:tc>
        <w:tc>
          <w:tcPr>
            <w:tcW w:w="1500" w:type="pct"/>
            <w:shd w:val="clear" w:color="auto" w:fill="auto"/>
            <w:vAlign w:val="center"/>
          </w:tcPr>
          <w:p w14:paraId="5320992D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7F7636C"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5934E36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金额单位：万元 </w:t>
            </w:r>
          </w:p>
        </w:tc>
      </w:tr>
      <w:tr w14:paraId="6A55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0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AAC63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收入 </w:t>
            </w:r>
          </w:p>
        </w:tc>
        <w:tc>
          <w:tcPr>
            <w:tcW w:w="2500" w:type="pct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E51D8D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支出 </w:t>
            </w:r>
          </w:p>
        </w:tc>
      </w:tr>
      <w:tr w14:paraId="735A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4EC8C6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24A305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行次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2D8C8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金额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62DAF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项目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C6C6F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行次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B7EF1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金额 </w:t>
            </w:r>
          </w:p>
        </w:tc>
      </w:tr>
      <w:tr w14:paraId="0FB3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500F2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栏次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C26CC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99D5B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63DDF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栏次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1F6EE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F8C5B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</w:tr>
      <w:tr w14:paraId="476B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BCCC0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一、一般公共预算财政拨款收入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82C55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0E55D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2302.84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FD33E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一、一般公共服务支出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5DCDAD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32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F0F8C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1469.80 </w:t>
            </w:r>
          </w:p>
        </w:tc>
      </w:tr>
      <w:tr w14:paraId="7FBA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C6ACB2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二、政府性基金预算财政拨款收入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3EE2A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37E34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55.97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BECF1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二、外交支出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9931B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33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C3A66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DDE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E0AF12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三、国有资本经营预算财政拨款收入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AD1FB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512A8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27D25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三、国防支出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8EDBF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34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5FA7E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D25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5F585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四、上级补助收入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5643F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08FF2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5F703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四、公共安全支出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E3F6E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35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D71563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8.00 </w:t>
            </w:r>
          </w:p>
        </w:tc>
      </w:tr>
      <w:tr w14:paraId="2FA5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EFA4D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五、事业收入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B4F240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6280E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01BD8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五、教育支出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CED53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36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EDFC7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335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06489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六、经营收入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DC1E1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07706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E64AA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六、科学技术支出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648D4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37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1EEA31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FBE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C8674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七、附属单位上缴收入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CC27EF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7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58BB6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C7728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七、文化旅游体育与传媒支出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5DDC4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38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31639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154.96 </w:t>
            </w:r>
          </w:p>
        </w:tc>
      </w:tr>
      <w:tr w14:paraId="5737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60124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八、其他收入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EC6B0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8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7AA26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E31DD8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八、社会保障和就业支出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6BBA4F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39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E9CAD7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20.34 </w:t>
            </w:r>
          </w:p>
        </w:tc>
      </w:tr>
      <w:tr w14:paraId="58A1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2D2EC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03411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9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55C07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2AEC8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九、卫生健康支出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1F9A8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40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EEF88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5.00 </w:t>
            </w:r>
          </w:p>
        </w:tc>
      </w:tr>
      <w:tr w14:paraId="4C95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FD04BA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A7A36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10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CFA3E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50B51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十、节能环保支出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09AA4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41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C07732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E7F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C5EFE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DED6B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11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E26403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4511A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十一、城乡社区支出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C9DB5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42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985590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114.57 </w:t>
            </w:r>
          </w:p>
        </w:tc>
      </w:tr>
      <w:tr w14:paraId="2ABD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C4AB40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A25506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12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F1EF5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BB4CE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十二、农林水支出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91AC3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43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FBB16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573.11 </w:t>
            </w:r>
          </w:p>
        </w:tc>
      </w:tr>
      <w:tr w14:paraId="3482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6DFA10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50329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BCF00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0665E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十三、交通运输支出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1CA54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44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412F07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063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960EDD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7FDEB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14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CAA741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2BC795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十四、资源勘探工业信息等支出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1EF31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45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07E27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DCB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55880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AE21A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15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0D7FC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0BA52F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十五、商业服务业等支出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7BBC73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46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B209D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F65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E32174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9DAEFC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16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5C2C9D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1923E6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十六、金融支出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C84997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47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D97604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E62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08E9D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3F9851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17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5A898E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086C5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十七、援助其他地区支出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77D1D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48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B6D60B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895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7D973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63C568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18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DCC886D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CBBDA0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十八、自然资源海洋气象等支出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0852E9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49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6DA18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82C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54CC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7A633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19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0D27D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470931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十九、住房保障支出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4BE60E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50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8EA3E9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2E25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7747C0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12872A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20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8D2393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5B2843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二十、粮油物资储备支出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2BFD6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51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822867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16CC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09187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A1BC5E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21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3CB929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27CFE1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二十一、国有资本经营预算支出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7C9713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52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B2C46A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D34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D7355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08A9ED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22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3315EB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47452F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二十二、灾害防治及应急管理支出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DDA76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53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9028499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13.05 </w:t>
            </w:r>
          </w:p>
        </w:tc>
      </w:tr>
      <w:tr w14:paraId="7064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58F15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A426EC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23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88C31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1D98CA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二十三、其他支出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25E82E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54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BD45DA3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4993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23A130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F4D2FC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24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E8975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6792B6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二十四、债务还本支出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0A9DC2C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55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80A0F66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0677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5D41AD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47C74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25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F9B940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65CD95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二十五、债务付息支出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FF7244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56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88CB27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63CF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6D06E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841E53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  <w:t xml:space="preserve">26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975A12B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E0EF35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二十六、抗疫特别国债安排的支出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51CB7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57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353F757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840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001D17F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本年收入合计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B04E591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27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472B3CE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2358.81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2CD0337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本年支出合计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1C24EF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58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145E235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2358.81 </w:t>
            </w:r>
          </w:p>
        </w:tc>
      </w:tr>
      <w:tr w14:paraId="0665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A239BC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使用非财政拨款结余和专用结余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DEC2E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28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136C6DF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A95915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结余分配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7526A4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59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D0FAE6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3104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2455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年初结转和结余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C0919E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29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04FDCF4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B1BFD5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年末结转和结余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BCCAF8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60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64BC5A18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0.00 </w:t>
            </w:r>
          </w:p>
        </w:tc>
      </w:tr>
      <w:tr w14:paraId="792C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636E4C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33BD5FA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30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3FDE800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B3576D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13E3521E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61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73149D9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834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DC164FB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总计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F2A9FC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31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29C12362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2358.81 </w:t>
            </w:r>
          </w:p>
        </w:tc>
        <w:tc>
          <w:tcPr>
            <w:tcW w:w="1500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08B61F1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 xml:space="preserve">总计 </w:t>
            </w:r>
          </w:p>
        </w:tc>
        <w:tc>
          <w:tcPr>
            <w:tcW w:w="201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56FB518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62 </w:t>
            </w:r>
          </w:p>
        </w:tc>
        <w:tc>
          <w:tcPr>
            <w:tcW w:w="798" w:type="pc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vAlign w:val="center"/>
          </w:tcPr>
          <w:p w14:paraId="46E267EC"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2358.81 </w:t>
            </w:r>
          </w:p>
        </w:tc>
      </w:tr>
      <w:tr w14:paraId="0A25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4B06A8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注：1.本表反映部门本年度的总收支和年末结转结余情况。本表金额转换为万元时，因四舍五入可能存在尾数误差。 </w:t>
            </w:r>
          </w:p>
        </w:tc>
      </w:tr>
      <w:tr w14:paraId="3B91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CF695A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  <w:t xml:space="preserve">2.本套报表金额单位转换时可能存在尾数误差。 </w:t>
            </w:r>
          </w:p>
        </w:tc>
      </w:tr>
    </w:tbl>
    <w:p w14:paraId="1D89E8A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N2M3ZDM3ZTA1ZjFiYjIwMWZhMGI3MWU4NWU0ODkifQ=="/>
  </w:docVars>
  <w:rsids>
    <w:rsidRoot w:val="4B5D41F2"/>
    <w:rsid w:val="4B5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2024-11-13T15:56:00Z</dcterms:created>
  <dc:creator>不想说话</dc:creator>
  <cp:lastModifiedBy>不想说话</cp:lastModifiedBy>
  <dcterms:modified xsi:type="dcterms:W3CDTF">2024-11-13T15:57:46Z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294D489ABC33466991BA542DB9EA832A_11</vt:lpwstr>
  </property>
</Properties>
</file>