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C2D613">
      <w:pPr>
        <w:spacing w:line="240" w:lineRule="auto"/>
        <w:ind w:firstLine="602"/>
        <w:rPr>
          <w:rFonts w:hint="eastAsia" w:ascii="Times New Roman" w:hAnsi="Times New Roman" w:eastAsia="宋体"/>
          <w:b/>
          <w:bCs/>
          <w:szCs w:val="21"/>
          <w:lang w:eastAsia="zh-CN"/>
        </w:rPr>
      </w:pPr>
    </w:p>
    <w:p w14:paraId="1E5A0892">
      <w:pPr>
        <w:pStyle w:val="11"/>
      </w:pPr>
    </w:p>
    <w:p w14:paraId="0DDBE944">
      <w:pPr>
        <w:pStyle w:val="45"/>
        <w:ind w:firstLine="600"/>
        <w:rPr>
          <w:rFonts w:ascii="Times New Roman" w:hAnsi="Times New Roman"/>
        </w:rPr>
      </w:pPr>
    </w:p>
    <w:p w14:paraId="6C2267CB">
      <w:pPr>
        <w:bidi w:val="0"/>
        <w:spacing w:line="360" w:lineRule="auto"/>
        <w:ind w:left="0" w:leftChars="0" w:firstLine="0" w:firstLineChars="0"/>
        <w:jc w:val="center"/>
        <w:rPr>
          <w:rFonts w:hint="default" w:ascii="黑体" w:hAnsi="黑体" w:eastAsia="黑体" w:cs="黑体"/>
          <w:sz w:val="52"/>
          <w:szCs w:val="52"/>
          <w:lang w:val="en-US" w:eastAsia="zh-CN"/>
        </w:rPr>
      </w:pPr>
      <w:r>
        <w:rPr>
          <w:rFonts w:hint="eastAsia" w:ascii="黑体" w:hAnsi="黑体" w:eastAsia="黑体" w:cs="黑体"/>
          <w:sz w:val="52"/>
          <w:szCs w:val="52"/>
          <w:lang w:val="en-US" w:eastAsia="zh-CN"/>
        </w:rPr>
        <w:t>桃江县生态绿色食品产业链</w:t>
      </w:r>
    </w:p>
    <w:p w14:paraId="35AA02C2">
      <w:pPr>
        <w:bidi w:val="0"/>
        <w:spacing w:line="360" w:lineRule="auto"/>
        <w:ind w:left="0" w:leftChars="0" w:firstLine="0" w:firstLineChars="0"/>
        <w:jc w:val="center"/>
        <w:rPr>
          <w:rFonts w:hint="eastAsia" w:ascii="黑体" w:hAnsi="黑体" w:eastAsia="黑体" w:cs="黑体"/>
          <w:sz w:val="52"/>
          <w:szCs w:val="52"/>
          <w:lang w:val="en-US" w:eastAsia="zh-CN"/>
        </w:rPr>
      </w:pPr>
      <w:r>
        <w:rPr>
          <w:rFonts w:hint="eastAsia" w:ascii="黑体" w:hAnsi="黑体" w:eastAsia="黑体" w:cs="黑体"/>
          <w:sz w:val="52"/>
          <w:szCs w:val="52"/>
          <w:lang w:val="en-US" w:eastAsia="zh-CN"/>
        </w:rPr>
        <w:t>中长期发展规划</w:t>
      </w:r>
    </w:p>
    <w:p w14:paraId="404E9852">
      <w:pPr>
        <w:bidi w:val="0"/>
        <w:spacing w:line="360" w:lineRule="auto"/>
        <w:ind w:left="0" w:leftChars="0" w:firstLine="0" w:firstLineChars="0"/>
        <w:jc w:val="center"/>
        <w:rPr>
          <w:rFonts w:hint="eastAsia" w:ascii="黑体" w:hAnsi="黑体" w:eastAsia="黑体" w:cs="黑体"/>
          <w:sz w:val="52"/>
          <w:szCs w:val="52"/>
          <w:lang w:val="en-US" w:eastAsia="zh-CN"/>
        </w:rPr>
      </w:pPr>
      <w:r>
        <w:rPr>
          <w:rFonts w:hint="eastAsia" w:ascii="黑体" w:hAnsi="黑体" w:eastAsia="黑体" w:cs="黑体"/>
          <w:sz w:val="52"/>
          <w:szCs w:val="52"/>
          <w:lang w:eastAsia="zh-CN"/>
        </w:rPr>
        <w:t>(</w:t>
      </w:r>
      <w:r>
        <w:rPr>
          <w:rFonts w:hint="eastAsia" w:ascii="黑体" w:hAnsi="黑体" w:eastAsia="黑体" w:cs="黑体"/>
          <w:sz w:val="52"/>
          <w:szCs w:val="52"/>
        </w:rPr>
        <w:t>202</w:t>
      </w:r>
      <w:r>
        <w:rPr>
          <w:rFonts w:hint="eastAsia" w:ascii="黑体" w:hAnsi="黑体" w:eastAsia="黑体" w:cs="黑体"/>
          <w:sz w:val="52"/>
          <w:szCs w:val="52"/>
          <w:lang w:val="en-US" w:eastAsia="zh-CN"/>
        </w:rPr>
        <w:t>4</w:t>
      </w:r>
      <w:r>
        <w:rPr>
          <w:rFonts w:hint="eastAsia" w:ascii="黑体" w:hAnsi="黑体" w:eastAsia="黑体" w:cs="黑体"/>
          <w:sz w:val="52"/>
          <w:szCs w:val="52"/>
        </w:rPr>
        <w:t>-20</w:t>
      </w:r>
      <w:r>
        <w:rPr>
          <w:rFonts w:hint="eastAsia" w:ascii="黑体" w:hAnsi="黑体" w:eastAsia="黑体" w:cs="黑体"/>
          <w:sz w:val="52"/>
          <w:szCs w:val="52"/>
          <w:lang w:val="en-US" w:eastAsia="zh-CN"/>
        </w:rPr>
        <w:t>35)</w:t>
      </w:r>
    </w:p>
    <w:p w14:paraId="6219CCB2">
      <w:pPr>
        <w:spacing w:line="360" w:lineRule="auto"/>
        <w:ind w:left="567" w:firstLine="800"/>
        <w:jc w:val="center"/>
        <w:rPr>
          <w:rFonts w:ascii="Times New Roman" w:hAnsi="Times New Roman" w:eastAsia="宋体"/>
          <w:sz w:val="40"/>
          <w:szCs w:val="40"/>
        </w:rPr>
      </w:pPr>
    </w:p>
    <w:p w14:paraId="653C00C1">
      <w:pPr>
        <w:spacing w:line="360" w:lineRule="auto"/>
        <w:ind w:left="567" w:firstLine="600"/>
        <w:rPr>
          <w:rFonts w:ascii="Times New Roman" w:hAnsi="Times New Roman" w:eastAsia="宋体"/>
          <w:szCs w:val="21"/>
        </w:rPr>
      </w:pPr>
    </w:p>
    <w:p w14:paraId="7F436C12">
      <w:pPr>
        <w:spacing w:line="360" w:lineRule="auto"/>
        <w:ind w:left="567" w:firstLine="600"/>
        <w:rPr>
          <w:rFonts w:ascii="Times New Roman" w:hAnsi="Times New Roman" w:eastAsia="宋体"/>
          <w:szCs w:val="21"/>
        </w:rPr>
      </w:pPr>
    </w:p>
    <w:p w14:paraId="1EF2994A">
      <w:pPr>
        <w:spacing w:line="360" w:lineRule="auto"/>
        <w:ind w:left="567" w:firstLine="600"/>
        <w:rPr>
          <w:rFonts w:ascii="Times New Roman" w:hAnsi="Times New Roman" w:eastAsia="宋体"/>
          <w:szCs w:val="21"/>
        </w:rPr>
      </w:pPr>
    </w:p>
    <w:p w14:paraId="4107ED7C">
      <w:pPr>
        <w:spacing w:line="360" w:lineRule="auto"/>
        <w:ind w:left="567" w:firstLine="600"/>
        <w:rPr>
          <w:rFonts w:ascii="Times New Roman" w:hAnsi="Times New Roman" w:eastAsia="宋体"/>
          <w:szCs w:val="21"/>
        </w:rPr>
      </w:pPr>
    </w:p>
    <w:p w14:paraId="1BB6046F">
      <w:pPr>
        <w:spacing w:line="360" w:lineRule="auto"/>
        <w:ind w:left="567" w:firstLine="600"/>
        <w:rPr>
          <w:rFonts w:ascii="Times New Roman" w:hAnsi="Times New Roman" w:eastAsia="宋体"/>
          <w:szCs w:val="21"/>
        </w:rPr>
      </w:pPr>
    </w:p>
    <w:p w14:paraId="2B44F3C9">
      <w:pPr>
        <w:pStyle w:val="45"/>
        <w:ind w:firstLine="600"/>
        <w:rPr>
          <w:rFonts w:ascii="Times New Roman" w:hAnsi="Times New Roman"/>
        </w:rPr>
      </w:pPr>
    </w:p>
    <w:p w14:paraId="223FA324">
      <w:pPr>
        <w:pStyle w:val="45"/>
        <w:ind w:firstLine="600"/>
        <w:rPr>
          <w:rFonts w:ascii="Times New Roman" w:hAnsi="Times New Roman"/>
        </w:rPr>
      </w:pPr>
    </w:p>
    <w:p w14:paraId="08A51F06">
      <w:pPr>
        <w:spacing w:line="360" w:lineRule="auto"/>
        <w:ind w:left="567" w:firstLine="600"/>
        <w:rPr>
          <w:rFonts w:ascii="Times New Roman" w:hAnsi="Times New Roman" w:eastAsia="宋体"/>
          <w:szCs w:val="21"/>
        </w:rPr>
      </w:pPr>
    </w:p>
    <w:p w14:paraId="7EFCD122">
      <w:pPr>
        <w:spacing w:line="360" w:lineRule="auto"/>
        <w:ind w:left="567" w:firstLine="600"/>
        <w:rPr>
          <w:rFonts w:ascii="Times New Roman" w:hAnsi="Times New Roman" w:eastAsia="宋体"/>
          <w:szCs w:val="21"/>
        </w:rPr>
      </w:pPr>
    </w:p>
    <w:p w14:paraId="48C7C2A5">
      <w:pPr>
        <w:pStyle w:val="44"/>
        <w:ind w:firstLine="0" w:firstLineChars="0"/>
        <w:rPr>
          <w:rFonts w:ascii="Times New Roman" w:hAnsi="Times New Roman"/>
        </w:rPr>
      </w:pPr>
    </w:p>
    <w:p w14:paraId="76DBBEE6">
      <w:pPr>
        <w:spacing w:line="360" w:lineRule="auto"/>
        <w:ind w:left="0" w:leftChars="0" w:firstLine="0" w:firstLineChars="0"/>
        <w:rPr>
          <w:rFonts w:ascii="Times New Roman" w:hAnsi="Times New Roman" w:eastAsia="黑体"/>
          <w:sz w:val="44"/>
          <w:szCs w:val="44"/>
        </w:rPr>
      </w:pPr>
    </w:p>
    <w:p w14:paraId="7510096B">
      <w:pPr>
        <w:spacing w:line="360" w:lineRule="auto"/>
        <w:ind w:left="0" w:leftChars="0" w:firstLine="0" w:firstLineChars="0"/>
        <w:rPr>
          <w:rFonts w:ascii="Times New Roman" w:hAnsi="Times New Roman" w:eastAsia="黑体"/>
          <w:sz w:val="44"/>
          <w:szCs w:val="44"/>
        </w:rPr>
      </w:pPr>
    </w:p>
    <w:p w14:paraId="5EE0B2C4">
      <w:pPr>
        <w:keepNext w:val="0"/>
        <w:keepLines w:val="0"/>
        <w:pageBreakBefore w:val="0"/>
        <w:widowControl w:val="0"/>
        <w:kinsoku/>
        <w:wordWrap/>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黑体" w:cs="Times New Roman"/>
          <w:snapToGrid w:val="0"/>
          <w:kern w:val="0"/>
          <w:szCs w:val="28"/>
          <w:lang w:val="en-US" w:eastAsia="zh-CN"/>
          <w14:ligatures w14:val="none"/>
        </w:rPr>
      </w:pPr>
      <w:r>
        <w:rPr>
          <w:rFonts w:ascii="Times New Roman" w:hAnsi="Times New Roman" w:eastAsia="黑体" w:cs="Times New Roman"/>
          <w:snapToGrid w:val="0"/>
          <w:spacing w:val="-20"/>
          <w:kern w:val="0"/>
          <w:sz w:val="36"/>
          <w:szCs w:val="36"/>
          <w:lang w:bidi="ar"/>
          <w14:ligatures w14:val="none"/>
        </w:rPr>
        <w:t>桃江</w:t>
      </w:r>
      <w:r>
        <w:rPr>
          <w:rFonts w:hint="eastAsia" w:ascii="Times New Roman" w:hAnsi="Times New Roman" w:eastAsia="黑体" w:cs="Times New Roman"/>
          <w:snapToGrid w:val="0"/>
          <w:spacing w:val="-20"/>
          <w:kern w:val="0"/>
          <w:sz w:val="36"/>
          <w:szCs w:val="36"/>
          <w:lang w:val="en-US" w:eastAsia="zh-CN" w:bidi="ar"/>
          <w14:ligatures w14:val="none"/>
        </w:rPr>
        <w:t>县农业农村局</w:t>
      </w:r>
    </w:p>
    <w:p w14:paraId="436A8D77">
      <w:pPr>
        <w:keepNext w:val="0"/>
        <w:keepLines w:val="0"/>
        <w:pageBreakBefore w:val="0"/>
        <w:widowControl w:val="0"/>
        <w:kinsoku/>
        <w:wordWrap/>
        <w:overflowPunct w:val="0"/>
        <w:topLinePunct w:val="0"/>
        <w:autoSpaceDE/>
        <w:autoSpaceDN/>
        <w:bidi w:val="0"/>
        <w:adjustRightInd w:val="0"/>
        <w:snapToGrid w:val="0"/>
        <w:spacing w:line="360" w:lineRule="auto"/>
        <w:ind w:firstLine="0" w:firstLineChars="0"/>
        <w:jc w:val="center"/>
        <w:textAlignment w:val="auto"/>
        <w:rPr>
          <w:rFonts w:ascii="Times New Roman" w:hAnsi="Times New Roman" w:eastAsia="黑体"/>
          <w:b/>
          <w:sz w:val="36"/>
          <w:szCs w:val="36"/>
        </w:rPr>
        <w:sectPr>
          <w:headerReference r:id="rId5" w:type="default"/>
          <w:footerReference r:id="rId6" w:type="default"/>
          <w:type w:val="continuous"/>
          <w:pgSz w:w="11907" w:h="16839"/>
          <w:pgMar w:top="1440" w:right="1800" w:bottom="1440" w:left="1800" w:header="850" w:footer="853" w:gutter="0"/>
          <w:pgNumType w:fmt="upperRoman"/>
          <w:cols w:space="720" w:num="1"/>
          <w:docGrid w:type="linesAndChars" w:linePitch="381" w:charSpace="0"/>
        </w:sectPr>
      </w:pPr>
      <w:r>
        <w:rPr>
          <w:rFonts w:ascii="Times New Roman" w:hAnsi="Times New Roman" w:eastAsia="黑体" w:cs="Times New Roman"/>
          <w:snapToGrid w:val="0"/>
          <w:kern w:val="0"/>
          <w:sz w:val="36"/>
          <w:szCs w:val="36"/>
          <w14:ligatures w14:val="none"/>
        </w:rPr>
        <w:t>二〇二四年</w:t>
      </w:r>
      <w:r>
        <w:rPr>
          <w:rFonts w:hint="eastAsia" w:ascii="Times New Roman" w:hAnsi="Times New Roman" w:eastAsia="黑体" w:cs="Times New Roman"/>
          <w:snapToGrid w:val="0"/>
          <w:kern w:val="0"/>
          <w:sz w:val="36"/>
          <w:szCs w:val="36"/>
          <w:lang w:val="en-US" w:eastAsia="zh-CN"/>
          <w14:ligatures w14:val="none"/>
        </w:rPr>
        <w:t>十一</w:t>
      </w:r>
      <w:r>
        <w:rPr>
          <w:rFonts w:ascii="Times New Roman" w:hAnsi="Times New Roman" w:eastAsia="黑体" w:cs="Times New Roman"/>
          <w:snapToGrid w:val="0"/>
          <w:kern w:val="0"/>
          <w:sz w:val="36"/>
          <w:szCs w:val="36"/>
          <w14:ligatures w14:val="none"/>
        </w:rPr>
        <w:t>月</w:t>
      </w:r>
    </w:p>
    <w:p w14:paraId="654F6892">
      <w:pPr>
        <w:widowControl/>
        <w:spacing w:line="540" w:lineRule="atLeast"/>
        <w:ind w:firstLine="0" w:firstLineChars="0"/>
        <w:jc w:val="center"/>
      </w:pPr>
      <w:r>
        <w:rPr>
          <w:rFonts w:ascii="Times New Roman" w:hAnsi="Times New Roman" w:eastAsia="黑体"/>
          <w:b/>
          <w:sz w:val="36"/>
          <w:szCs w:val="36"/>
        </w:rPr>
        <w:t>目录</w:t>
      </w:r>
    </w:p>
    <w:p w14:paraId="1B7DCA92">
      <w:pPr>
        <w:pStyle w:val="23"/>
        <w:keepNext w:val="0"/>
        <w:keepLines w:val="0"/>
        <w:pageBreakBefore w:val="0"/>
        <w:widowControl w:val="0"/>
        <w:tabs>
          <w:tab w:val="right" w:leader="dot" w:pos="8307"/>
          <w:tab w:val="clear" w:pos="8494"/>
        </w:tabs>
        <w:kinsoku/>
        <w:wordWrap/>
        <w:overflowPunct/>
        <w:topLinePunct w:val="0"/>
        <w:autoSpaceDE/>
        <w:autoSpaceDN/>
        <w:bidi w:val="0"/>
        <w:adjustRightInd w:val="0"/>
        <w:snapToGrid w:val="0"/>
        <w:spacing w:line="400" w:lineRule="exact"/>
        <w:textAlignment w:val="auto"/>
        <w:rPr>
          <w:rFonts w:hint="default" w:ascii="Times New Roman" w:hAnsi="Times New Roman" w:eastAsia="黑体" w:cs="Times New Roman"/>
          <w:sz w:val="24"/>
          <w:szCs w:val="24"/>
        </w:rPr>
      </w:pPr>
      <w:r>
        <w:rPr>
          <w:rFonts w:hint="default" w:ascii="Times New Roman" w:hAnsi="Times New Roman" w:eastAsia="黑体" w:cs="Times New Roman"/>
          <w:snapToGrid/>
          <w:kern w:val="2"/>
          <w:szCs w:val="24"/>
        </w:rPr>
        <w:fldChar w:fldCharType="begin"/>
      </w:r>
      <w:r>
        <w:rPr>
          <w:rFonts w:hint="default" w:ascii="Times New Roman" w:hAnsi="Times New Roman" w:eastAsia="黑体" w:cs="Times New Roman"/>
          <w:snapToGrid/>
          <w:kern w:val="2"/>
          <w:szCs w:val="24"/>
        </w:rPr>
        <w:instrText xml:space="preserve"> TOC \o "1-3" \h \z \u </w:instrText>
      </w:r>
      <w:r>
        <w:rPr>
          <w:rFonts w:hint="default" w:ascii="Times New Roman" w:hAnsi="Times New Roman" w:eastAsia="黑体" w:cs="Times New Roman"/>
          <w:snapToGrid/>
          <w:kern w:val="2"/>
          <w:szCs w:val="24"/>
        </w:rPr>
        <w:fldChar w:fldCharType="separate"/>
      </w:r>
      <w:r>
        <w:rPr>
          <w:rFonts w:hint="default" w:ascii="Times New Roman" w:hAnsi="Times New Roman" w:eastAsia="黑体" w:cs="Times New Roman"/>
          <w:snapToGrid/>
          <w:kern w:val="2"/>
          <w:sz w:val="24"/>
          <w:szCs w:val="24"/>
        </w:rPr>
        <w:fldChar w:fldCharType="begin"/>
      </w:r>
      <w:r>
        <w:rPr>
          <w:rFonts w:hint="default" w:ascii="Times New Roman" w:hAnsi="Times New Roman" w:eastAsia="黑体" w:cs="Times New Roman"/>
          <w:snapToGrid/>
          <w:kern w:val="2"/>
          <w:sz w:val="24"/>
          <w:szCs w:val="24"/>
        </w:rPr>
        <w:instrText xml:space="preserve"> HYPERLINK \l _Toc13926 </w:instrText>
      </w:r>
      <w:r>
        <w:rPr>
          <w:rFonts w:hint="default" w:ascii="Times New Roman" w:hAnsi="Times New Roman" w:eastAsia="黑体" w:cs="Times New Roman"/>
          <w:snapToGrid/>
          <w:kern w:val="2"/>
          <w:sz w:val="24"/>
          <w:szCs w:val="24"/>
        </w:rPr>
        <w:fldChar w:fldCharType="separate"/>
      </w:r>
      <w:r>
        <w:rPr>
          <w:rFonts w:hint="default" w:ascii="Times New Roman" w:hAnsi="Times New Roman" w:eastAsia="黑体" w:cs="Times New Roman"/>
          <w:sz w:val="24"/>
          <w:szCs w:val="24"/>
          <w:lang w:val="en-US" w:eastAsia="zh-CN"/>
        </w:rPr>
        <w:t>第一章 产业基础与发展形势</w:t>
      </w:r>
      <w:r>
        <w:rPr>
          <w:rFonts w:hint="default" w:ascii="Times New Roman" w:hAnsi="Times New Roman" w:eastAsia="黑体" w:cs="Times New Roman"/>
          <w:sz w:val="24"/>
          <w:szCs w:val="24"/>
        </w:rPr>
        <w:tab/>
      </w: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PAGEREF _Toc13926 \h </w:instrText>
      </w:r>
      <w:r>
        <w:rPr>
          <w:rFonts w:hint="default" w:ascii="Times New Roman" w:hAnsi="Times New Roman" w:eastAsia="黑体" w:cs="Times New Roman"/>
          <w:sz w:val="24"/>
          <w:szCs w:val="24"/>
        </w:rPr>
        <w:fldChar w:fldCharType="separate"/>
      </w:r>
      <w:r>
        <w:rPr>
          <w:rFonts w:hint="default" w:ascii="Times New Roman" w:hAnsi="Times New Roman" w:eastAsia="黑体" w:cs="Times New Roman"/>
          <w:sz w:val="24"/>
          <w:szCs w:val="24"/>
        </w:rPr>
        <w:t>1</w:t>
      </w:r>
      <w:r>
        <w:rPr>
          <w:rFonts w:hint="default" w:ascii="Times New Roman" w:hAnsi="Times New Roman" w:eastAsia="黑体" w:cs="Times New Roman"/>
          <w:sz w:val="24"/>
          <w:szCs w:val="24"/>
        </w:rPr>
        <w:fldChar w:fldCharType="end"/>
      </w:r>
      <w:r>
        <w:rPr>
          <w:rFonts w:hint="default" w:ascii="Times New Roman" w:hAnsi="Times New Roman" w:eastAsia="黑体" w:cs="Times New Roman"/>
          <w:snapToGrid/>
          <w:kern w:val="2"/>
          <w:sz w:val="24"/>
          <w:szCs w:val="24"/>
        </w:rPr>
        <w:fldChar w:fldCharType="end"/>
      </w:r>
    </w:p>
    <w:p w14:paraId="101EE3B1">
      <w:pPr>
        <w:pStyle w:val="28"/>
        <w:keepNext w:val="0"/>
        <w:keepLines w:val="0"/>
        <w:pageBreakBefore w:val="0"/>
        <w:widowControl w:val="0"/>
        <w:tabs>
          <w:tab w:val="right" w:leader="dot" w:pos="8307"/>
          <w:tab w:val="clear" w:pos="8494"/>
        </w:tabs>
        <w:kinsoku/>
        <w:wordWrap/>
        <w:overflowPunct/>
        <w:topLinePunct w:val="0"/>
        <w:autoSpaceDE/>
        <w:autoSpaceDN/>
        <w:bidi w:val="0"/>
        <w:adjustRightInd w:val="0"/>
        <w:snapToGrid w:val="0"/>
        <w:spacing w:line="400" w:lineRule="exact"/>
        <w:textAlignment w:val="auto"/>
        <w:rPr>
          <w:rFonts w:hint="default" w:ascii="Times New Roman" w:hAnsi="Times New Roman" w:eastAsia="黑体" w:cs="Times New Roman"/>
          <w:sz w:val="24"/>
          <w:szCs w:val="24"/>
        </w:rPr>
      </w:pPr>
      <w:r>
        <w:rPr>
          <w:rFonts w:hint="default" w:ascii="Times New Roman" w:hAnsi="Times New Roman" w:eastAsia="黑体" w:cs="Times New Roman"/>
          <w:caps w:val="0"/>
          <w:snapToGrid/>
          <w:kern w:val="2"/>
          <w:sz w:val="24"/>
          <w:szCs w:val="24"/>
          <w:lang w:val="zh-CN"/>
        </w:rPr>
        <w:fldChar w:fldCharType="begin"/>
      </w:r>
      <w:r>
        <w:rPr>
          <w:rFonts w:hint="default" w:ascii="Times New Roman" w:hAnsi="Times New Roman" w:eastAsia="黑体" w:cs="Times New Roman"/>
          <w:caps w:val="0"/>
          <w:snapToGrid/>
          <w:kern w:val="2"/>
          <w:sz w:val="24"/>
          <w:szCs w:val="24"/>
          <w:lang w:val="zh-CN"/>
        </w:rPr>
        <w:instrText xml:space="preserve"> HYPERLINK \l _Toc32705 </w:instrText>
      </w:r>
      <w:r>
        <w:rPr>
          <w:rFonts w:hint="default" w:ascii="Times New Roman" w:hAnsi="Times New Roman" w:eastAsia="黑体" w:cs="Times New Roman"/>
          <w:caps w:val="0"/>
          <w:snapToGrid/>
          <w:kern w:val="2"/>
          <w:sz w:val="24"/>
          <w:szCs w:val="24"/>
          <w:lang w:val="zh-CN"/>
        </w:rPr>
        <w:fldChar w:fldCharType="separate"/>
      </w:r>
      <w:r>
        <w:rPr>
          <w:rFonts w:hint="default" w:ascii="Times New Roman" w:hAnsi="Times New Roman" w:eastAsia="黑体" w:cs="Times New Roman"/>
          <w:snapToGrid/>
          <w:sz w:val="24"/>
          <w:szCs w:val="24"/>
          <w:lang w:val="en-US" w:eastAsia="zh-CN"/>
        </w:rPr>
        <w:t>一</w:t>
      </w:r>
      <w:r>
        <w:rPr>
          <w:rFonts w:hint="default" w:ascii="Times New Roman" w:hAnsi="Times New Roman" w:eastAsia="黑体" w:cs="Times New Roman"/>
          <w:snapToGrid/>
          <w:sz w:val="24"/>
          <w:szCs w:val="24"/>
        </w:rPr>
        <w:t>、</w:t>
      </w:r>
      <w:r>
        <w:rPr>
          <w:rFonts w:hint="default" w:ascii="Times New Roman" w:hAnsi="Times New Roman" w:eastAsia="黑体" w:cs="Times New Roman"/>
          <w:snapToGrid/>
          <w:sz w:val="24"/>
          <w:szCs w:val="24"/>
          <w:lang w:val="en-US" w:eastAsia="zh-CN"/>
        </w:rPr>
        <w:t>产业基础</w:t>
      </w:r>
      <w:r>
        <w:rPr>
          <w:rFonts w:hint="default" w:ascii="Times New Roman" w:hAnsi="Times New Roman" w:eastAsia="黑体" w:cs="Times New Roman"/>
          <w:sz w:val="24"/>
          <w:szCs w:val="24"/>
        </w:rPr>
        <w:tab/>
      </w: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PAGEREF _Toc32705 \h </w:instrText>
      </w:r>
      <w:r>
        <w:rPr>
          <w:rFonts w:hint="default" w:ascii="Times New Roman" w:hAnsi="Times New Roman" w:eastAsia="黑体" w:cs="Times New Roman"/>
          <w:sz w:val="24"/>
          <w:szCs w:val="24"/>
        </w:rPr>
        <w:fldChar w:fldCharType="separate"/>
      </w:r>
      <w:r>
        <w:rPr>
          <w:rFonts w:hint="default" w:ascii="Times New Roman" w:hAnsi="Times New Roman" w:eastAsia="黑体" w:cs="Times New Roman"/>
          <w:sz w:val="24"/>
          <w:szCs w:val="24"/>
        </w:rPr>
        <w:t>1</w:t>
      </w:r>
      <w:r>
        <w:rPr>
          <w:rFonts w:hint="default" w:ascii="Times New Roman" w:hAnsi="Times New Roman" w:eastAsia="黑体" w:cs="Times New Roman"/>
          <w:sz w:val="24"/>
          <w:szCs w:val="24"/>
        </w:rPr>
        <w:fldChar w:fldCharType="end"/>
      </w:r>
      <w:r>
        <w:rPr>
          <w:rFonts w:hint="default" w:ascii="Times New Roman" w:hAnsi="Times New Roman" w:eastAsia="黑体" w:cs="Times New Roman"/>
          <w:caps w:val="0"/>
          <w:snapToGrid/>
          <w:kern w:val="2"/>
          <w:sz w:val="24"/>
          <w:szCs w:val="24"/>
          <w:lang w:val="zh-CN"/>
        </w:rPr>
        <w:fldChar w:fldCharType="end"/>
      </w:r>
    </w:p>
    <w:p w14:paraId="4EBCEBF5">
      <w:pPr>
        <w:pStyle w:val="28"/>
        <w:keepNext w:val="0"/>
        <w:keepLines w:val="0"/>
        <w:pageBreakBefore w:val="0"/>
        <w:widowControl w:val="0"/>
        <w:tabs>
          <w:tab w:val="right" w:leader="dot" w:pos="8307"/>
          <w:tab w:val="clear" w:pos="8494"/>
        </w:tabs>
        <w:kinsoku/>
        <w:wordWrap/>
        <w:overflowPunct/>
        <w:topLinePunct w:val="0"/>
        <w:autoSpaceDE/>
        <w:autoSpaceDN/>
        <w:bidi w:val="0"/>
        <w:adjustRightInd w:val="0"/>
        <w:snapToGrid w:val="0"/>
        <w:spacing w:line="400" w:lineRule="exact"/>
        <w:textAlignment w:val="auto"/>
        <w:rPr>
          <w:rFonts w:hint="default" w:ascii="Times New Roman" w:hAnsi="Times New Roman" w:eastAsia="黑体" w:cs="Times New Roman"/>
          <w:sz w:val="24"/>
          <w:szCs w:val="24"/>
        </w:rPr>
      </w:pPr>
      <w:r>
        <w:rPr>
          <w:rFonts w:hint="default" w:ascii="Times New Roman" w:hAnsi="Times New Roman" w:eastAsia="黑体" w:cs="Times New Roman"/>
          <w:caps w:val="0"/>
          <w:snapToGrid/>
          <w:kern w:val="2"/>
          <w:sz w:val="24"/>
          <w:szCs w:val="24"/>
          <w:lang w:val="zh-CN"/>
        </w:rPr>
        <w:fldChar w:fldCharType="begin"/>
      </w:r>
      <w:r>
        <w:rPr>
          <w:rFonts w:hint="default" w:ascii="Times New Roman" w:hAnsi="Times New Roman" w:eastAsia="黑体" w:cs="Times New Roman"/>
          <w:caps w:val="0"/>
          <w:snapToGrid/>
          <w:kern w:val="2"/>
          <w:sz w:val="24"/>
          <w:szCs w:val="24"/>
          <w:lang w:val="zh-CN"/>
        </w:rPr>
        <w:instrText xml:space="preserve"> HYPERLINK \l _Toc377 </w:instrText>
      </w:r>
      <w:r>
        <w:rPr>
          <w:rFonts w:hint="default" w:ascii="Times New Roman" w:hAnsi="Times New Roman" w:eastAsia="黑体" w:cs="Times New Roman"/>
          <w:caps w:val="0"/>
          <w:snapToGrid/>
          <w:kern w:val="2"/>
          <w:sz w:val="24"/>
          <w:szCs w:val="24"/>
          <w:lang w:val="zh-CN"/>
        </w:rPr>
        <w:fldChar w:fldCharType="separate"/>
      </w:r>
      <w:r>
        <w:rPr>
          <w:rFonts w:hint="default" w:ascii="Times New Roman" w:hAnsi="Times New Roman" w:eastAsia="黑体" w:cs="Times New Roman"/>
          <w:snapToGrid/>
          <w:sz w:val="24"/>
          <w:szCs w:val="24"/>
          <w:lang w:val="en-US" w:eastAsia="zh-CN"/>
        </w:rPr>
        <w:t>二、发展优势</w:t>
      </w:r>
      <w:r>
        <w:rPr>
          <w:rFonts w:hint="default" w:ascii="Times New Roman" w:hAnsi="Times New Roman" w:eastAsia="黑体" w:cs="Times New Roman"/>
          <w:sz w:val="24"/>
          <w:szCs w:val="24"/>
        </w:rPr>
        <w:tab/>
      </w: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PAGEREF _Toc377 \h </w:instrText>
      </w:r>
      <w:r>
        <w:rPr>
          <w:rFonts w:hint="default" w:ascii="Times New Roman" w:hAnsi="Times New Roman" w:eastAsia="黑体" w:cs="Times New Roman"/>
          <w:sz w:val="24"/>
          <w:szCs w:val="24"/>
        </w:rPr>
        <w:fldChar w:fldCharType="separate"/>
      </w:r>
      <w:r>
        <w:rPr>
          <w:rFonts w:hint="default" w:ascii="Times New Roman" w:hAnsi="Times New Roman" w:eastAsia="黑体" w:cs="Times New Roman"/>
          <w:sz w:val="24"/>
          <w:szCs w:val="24"/>
        </w:rPr>
        <w:t>3</w:t>
      </w:r>
      <w:r>
        <w:rPr>
          <w:rFonts w:hint="default" w:ascii="Times New Roman" w:hAnsi="Times New Roman" w:eastAsia="黑体" w:cs="Times New Roman"/>
          <w:sz w:val="24"/>
          <w:szCs w:val="24"/>
        </w:rPr>
        <w:fldChar w:fldCharType="end"/>
      </w:r>
      <w:r>
        <w:rPr>
          <w:rFonts w:hint="default" w:ascii="Times New Roman" w:hAnsi="Times New Roman" w:eastAsia="黑体" w:cs="Times New Roman"/>
          <w:caps w:val="0"/>
          <w:snapToGrid/>
          <w:kern w:val="2"/>
          <w:sz w:val="24"/>
          <w:szCs w:val="24"/>
          <w:lang w:val="zh-CN"/>
        </w:rPr>
        <w:fldChar w:fldCharType="end"/>
      </w:r>
    </w:p>
    <w:p w14:paraId="576931D1">
      <w:pPr>
        <w:pStyle w:val="28"/>
        <w:keepNext w:val="0"/>
        <w:keepLines w:val="0"/>
        <w:pageBreakBefore w:val="0"/>
        <w:widowControl w:val="0"/>
        <w:tabs>
          <w:tab w:val="right" w:leader="dot" w:pos="8307"/>
          <w:tab w:val="clear" w:pos="8494"/>
        </w:tabs>
        <w:kinsoku/>
        <w:wordWrap/>
        <w:overflowPunct/>
        <w:topLinePunct w:val="0"/>
        <w:autoSpaceDE/>
        <w:autoSpaceDN/>
        <w:bidi w:val="0"/>
        <w:adjustRightInd w:val="0"/>
        <w:snapToGrid w:val="0"/>
        <w:spacing w:line="400" w:lineRule="exact"/>
        <w:textAlignment w:val="auto"/>
        <w:rPr>
          <w:rFonts w:hint="default" w:ascii="Times New Roman" w:hAnsi="Times New Roman" w:eastAsia="黑体" w:cs="Times New Roman"/>
          <w:sz w:val="24"/>
          <w:szCs w:val="24"/>
        </w:rPr>
      </w:pPr>
      <w:r>
        <w:rPr>
          <w:rFonts w:hint="default" w:ascii="Times New Roman" w:hAnsi="Times New Roman" w:eastAsia="黑体" w:cs="Times New Roman"/>
          <w:caps w:val="0"/>
          <w:snapToGrid/>
          <w:kern w:val="2"/>
          <w:sz w:val="24"/>
          <w:szCs w:val="24"/>
          <w:lang w:val="zh-CN"/>
        </w:rPr>
        <w:fldChar w:fldCharType="begin"/>
      </w:r>
      <w:r>
        <w:rPr>
          <w:rFonts w:hint="default" w:ascii="Times New Roman" w:hAnsi="Times New Roman" w:eastAsia="黑体" w:cs="Times New Roman"/>
          <w:caps w:val="0"/>
          <w:snapToGrid/>
          <w:kern w:val="2"/>
          <w:sz w:val="24"/>
          <w:szCs w:val="24"/>
          <w:lang w:val="zh-CN"/>
        </w:rPr>
        <w:instrText xml:space="preserve"> HYPERLINK \l _Toc27510 </w:instrText>
      </w:r>
      <w:r>
        <w:rPr>
          <w:rFonts w:hint="default" w:ascii="Times New Roman" w:hAnsi="Times New Roman" w:eastAsia="黑体" w:cs="Times New Roman"/>
          <w:caps w:val="0"/>
          <w:snapToGrid/>
          <w:kern w:val="2"/>
          <w:sz w:val="24"/>
          <w:szCs w:val="24"/>
          <w:lang w:val="zh-CN"/>
        </w:rPr>
        <w:fldChar w:fldCharType="separate"/>
      </w:r>
      <w:r>
        <w:rPr>
          <w:rFonts w:hint="default" w:ascii="Times New Roman" w:hAnsi="Times New Roman" w:eastAsia="黑体" w:cs="Times New Roman"/>
          <w:snapToGrid/>
          <w:sz w:val="24"/>
          <w:szCs w:val="24"/>
          <w:lang w:val="en-US" w:eastAsia="zh-CN"/>
        </w:rPr>
        <w:t>三、问题分析</w:t>
      </w:r>
      <w:r>
        <w:rPr>
          <w:rFonts w:hint="default" w:ascii="Times New Roman" w:hAnsi="Times New Roman" w:eastAsia="黑体" w:cs="Times New Roman"/>
          <w:sz w:val="24"/>
          <w:szCs w:val="24"/>
        </w:rPr>
        <w:tab/>
      </w: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PAGEREF _Toc27510 \h </w:instrText>
      </w:r>
      <w:r>
        <w:rPr>
          <w:rFonts w:hint="default" w:ascii="Times New Roman" w:hAnsi="Times New Roman" w:eastAsia="黑体" w:cs="Times New Roman"/>
          <w:sz w:val="24"/>
          <w:szCs w:val="24"/>
        </w:rPr>
        <w:fldChar w:fldCharType="separate"/>
      </w:r>
      <w:r>
        <w:rPr>
          <w:rFonts w:hint="default" w:ascii="Times New Roman" w:hAnsi="Times New Roman" w:eastAsia="黑体" w:cs="Times New Roman"/>
          <w:sz w:val="24"/>
          <w:szCs w:val="24"/>
        </w:rPr>
        <w:t>5</w:t>
      </w:r>
      <w:r>
        <w:rPr>
          <w:rFonts w:hint="default" w:ascii="Times New Roman" w:hAnsi="Times New Roman" w:eastAsia="黑体" w:cs="Times New Roman"/>
          <w:sz w:val="24"/>
          <w:szCs w:val="24"/>
        </w:rPr>
        <w:fldChar w:fldCharType="end"/>
      </w:r>
      <w:r>
        <w:rPr>
          <w:rFonts w:hint="default" w:ascii="Times New Roman" w:hAnsi="Times New Roman" w:eastAsia="黑体" w:cs="Times New Roman"/>
          <w:caps w:val="0"/>
          <w:snapToGrid/>
          <w:kern w:val="2"/>
          <w:sz w:val="24"/>
          <w:szCs w:val="24"/>
          <w:lang w:val="zh-CN"/>
        </w:rPr>
        <w:fldChar w:fldCharType="end"/>
      </w:r>
    </w:p>
    <w:p w14:paraId="25FFBC22">
      <w:pPr>
        <w:pStyle w:val="28"/>
        <w:keepNext w:val="0"/>
        <w:keepLines w:val="0"/>
        <w:pageBreakBefore w:val="0"/>
        <w:widowControl w:val="0"/>
        <w:tabs>
          <w:tab w:val="right" w:leader="dot" w:pos="8307"/>
          <w:tab w:val="clear" w:pos="8494"/>
        </w:tabs>
        <w:kinsoku/>
        <w:wordWrap/>
        <w:overflowPunct/>
        <w:topLinePunct w:val="0"/>
        <w:autoSpaceDE/>
        <w:autoSpaceDN/>
        <w:bidi w:val="0"/>
        <w:adjustRightInd w:val="0"/>
        <w:snapToGrid w:val="0"/>
        <w:spacing w:line="400" w:lineRule="exact"/>
        <w:textAlignment w:val="auto"/>
        <w:rPr>
          <w:rFonts w:hint="default" w:ascii="Times New Roman" w:hAnsi="Times New Roman" w:eastAsia="黑体" w:cs="Times New Roman"/>
          <w:sz w:val="24"/>
          <w:szCs w:val="24"/>
        </w:rPr>
      </w:pPr>
      <w:r>
        <w:rPr>
          <w:rFonts w:hint="default" w:ascii="Times New Roman" w:hAnsi="Times New Roman" w:eastAsia="黑体" w:cs="Times New Roman"/>
          <w:caps w:val="0"/>
          <w:snapToGrid/>
          <w:kern w:val="2"/>
          <w:sz w:val="24"/>
          <w:szCs w:val="24"/>
          <w:lang w:val="zh-CN"/>
        </w:rPr>
        <w:fldChar w:fldCharType="begin"/>
      </w:r>
      <w:r>
        <w:rPr>
          <w:rFonts w:hint="default" w:ascii="Times New Roman" w:hAnsi="Times New Roman" w:eastAsia="黑体" w:cs="Times New Roman"/>
          <w:caps w:val="0"/>
          <w:snapToGrid/>
          <w:kern w:val="2"/>
          <w:sz w:val="24"/>
          <w:szCs w:val="24"/>
          <w:lang w:val="zh-CN"/>
        </w:rPr>
        <w:instrText xml:space="preserve"> HYPERLINK \l _Toc4375 </w:instrText>
      </w:r>
      <w:r>
        <w:rPr>
          <w:rFonts w:hint="default" w:ascii="Times New Roman" w:hAnsi="Times New Roman" w:eastAsia="黑体" w:cs="Times New Roman"/>
          <w:caps w:val="0"/>
          <w:snapToGrid/>
          <w:kern w:val="2"/>
          <w:sz w:val="24"/>
          <w:szCs w:val="24"/>
          <w:lang w:val="zh-CN"/>
        </w:rPr>
        <w:fldChar w:fldCharType="separate"/>
      </w:r>
      <w:r>
        <w:rPr>
          <w:rFonts w:hint="default" w:ascii="Times New Roman" w:hAnsi="Times New Roman" w:eastAsia="黑体" w:cs="Times New Roman"/>
          <w:snapToGrid/>
          <w:sz w:val="24"/>
          <w:szCs w:val="24"/>
          <w:lang w:val="en-US" w:eastAsia="zh-CN"/>
        </w:rPr>
        <w:t>四</w:t>
      </w:r>
      <w:r>
        <w:rPr>
          <w:rFonts w:hint="default" w:ascii="Times New Roman" w:hAnsi="Times New Roman" w:eastAsia="黑体" w:cs="Times New Roman"/>
          <w:snapToGrid/>
          <w:sz w:val="24"/>
          <w:szCs w:val="24"/>
        </w:rPr>
        <w:t>、</w:t>
      </w:r>
      <w:r>
        <w:rPr>
          <w:rFonts w:hint="default" w:ascii="Times New Roman" w:hAnsi="Times New Roman" w:eastAsia="黑体" w:cs="Times New Roman"/>
          <w:snapToGrid/>
          <w:sz w:val="24"/>
          <w:szCs w:val="24"/>
          <w:lang w:val="en-US" w:eastAsia="zh-CN"/>
        </w:rPr>
        <w:t>市场需求</w:t>
      </w:r>
      <w:r>
        <w:rPr>
          <w:rFonts w:hint="default" w:ascii="Times New Roman" w:hAnsi="Times New Roman" w:eastAsia="黑体" w:cs="Times New Roman"/>
          <w:sz w:val="24"/>
          <w:szCs w:val="24"/>
        </w:rPr>
        <w:tab/>
      </w: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PAGEREF _Toc4375 \h </w:instrText>
      </w:r>
      <w:r>
        <w:rPr>
          <w:rFonts w:hint="default" w:ascii="Times New Roman" w:hAnsi="Times New Roman" w:eastAsia="黑体" w:cs="Times New Roman"/>
          <w:sz w:val="24"/>
          <w:szCs w:val="24"/>
        </w:rPr>
        <w:fldChar w:fldCharType="separate"/>
      </w:r>
      <w:r>
        <w:rPr>
          <w:rFonts w:hint="default" w:ascii="Times New Roman" w:hAnsi="Times New Roman" w:eastAsia="黑体" w:cs="Times New Roman"/>
          <w:sz w:val="24"/>
          <w:szCs w:val="24"/>
        </w:rPr>
        <w:t>7</w:t>
      </w:r>
      <w:r>
        <w:rPr>
          <w:rFonts w:hint="default" w:ascii="Times New Roman" w:hAnsi="Times New Roman" w:eastAsia="黑体" w:cs="Times New Roman"/>
          <w:sz w:val="24"/>
          <w:szCs w:val="24"/>
        </w:rPr>
        <w:fldChar w:fldCharType="end"/>
      </w:r>
      <w:r>
        <w:rPr>
          <w:rFonts w:hint="default" w:ascii="Times New Roman" w:hAnsi="Times New Roman" w:eastAsia="黑体" w:cs="Times New Roman"/>
          <w:caps w:val="0"/>
          <w:snapToGrid/>
          <w:kern w:val="2"/>
          <w:sz w:val="24"/>
          <w:szCs w:val="24"/>
          <w:lang w:val="zh-CN"/>
        </w:rPr>
        <w:fldChar w:fldCharType="end"/>
      </w:r>
    </w:p>
    <w:p w14:paraId="3AA83C7E">
      <w:pPr>
        <w:pStyle w:val="23"/>
        <w:keepNext w:val="0"/>
        <w:keepLines w:val="0"/>
        <w:pageBreakBefore w:val="0"/>
        <w:widowControl w:val="0"/>
        <w:tabs>
          <w:tab w:val="right" w:leader="dot" w:pos="8307"/>
          <w:tab w:val="clear" w:pos="8494"/>
        </w:tabs>
        <w:kinsoku/>
        <w:wordWrap/>
        <w:overflowPunct/>
        <w:topLinePunct w:val="0"/>
        <w:autoSpaceDE/>
        <w:autoSpaceDN/>
        <w:bidi w:val="0"/>
        <w:adjustRightInd w:val="0"/>
        <w:snapToGrid w:val="0"/>
        <w:spacing w:line="400" w:lineRule="exact"/>
        <w:textAlignment w:val="auto"/>
        <w:rPr>
          <w:rFonts w:hint="default" w:ascii="Times New Roman" w:hAnsi="Times New Roman" w:eastAsia="黑体" w:cs="Times New Roman"/>
          <w:sz w:val="24"/>
          <w:szCs w:val="24"/>
        </w:rPr>
      </w:pPr>
      <w:r>
        <w:rPr>
          <w:rFonts w:hint="default" w:ascii="Times New Roman" w:hAnsi="Times New Roman" w:eastAsia="黑体" w:cs="Times New Roman"/>
          <w:caps w:val="0"/>
          <w:snapToGrid/>
          <w:kern w:val="2"/>
          <w:sz w:val="24"/>
          <w:szCs w:val="24"/>
          <w:lang w:val="zh-CN"/>
        </w:rPr>
        <w:fldChar w:fldCharType="begin"/>
      </w:r>
      <w:r>
        <w:rPr>
          <w:rFonts w:hint="default" w:ascii="Times New Roman" w:hAnsi="Times New Roman" w:eastAsia="黑体" w:cs="Times New Roman"/>
          <w:caps w:val="0"/>
          <w:snapToGrid/>
          <w:kern w:val="2"/>
          <w:sz w:val="24"/>
          <w:szCs w:val="24"/>
          <w:lang w:val="zh-CN"/>
        </w:rPr>
        <w:instrText xml:space="preserve"> HYPERLINK \l _Toc31949 </w:instrText>
      </w:r>
      <w:r>
        <w:rPr>
          <w:rFonts w:hint="default" w:ascii="Times New Roman" w:hAnsi="Times New Roman" w:eastAsia="黑体" w:cs="Times New Roman"/>
          <w:caps w:val="0"/>
          <w:snapToGrid/>
          <w:kern w:val="2"/>
          <w:sz w:val="24"/>
          <w:szCs w:val="24"/>
          <w:lang w:val="zh-CN"/>
        </w:rPr>
        <w:fldChar w:fldCharType="separate"/>
      </w:r>
      <w:r>
        <w:rPr>
          <w:rFonts w:hint="default" w:ascii="Times New Roman" w:hAnsi="Times New Roman" w:eastAsia="黑体" w:cs="Times New Roman"/>
          <w:sz w:val="24"/>
          <w:szCs w:val="24"/>
        </w:rPr>
        <w:t>第</w:t>
      </w:r>
      <w:r>
        <w:rPr>
          <w:rFonts w:hint="default" w:ascii="Times New Roman" w:hAnsi="Times New Roman" w:eastAsia="黑体" w:cs="Times New Roman"/>
          <w:sz w:val="24"/>
          <w:szCs w:val="24"/>
          <w:lang w:val="en-US" w:eastAsia="zh-CN"/>
        </w:rPr>
        <w:t>二</w:t>
      </w:r>
      <w:r>
        <w:rPr>
          <w:rFonts w:hint="default" w:ascii="Times New Roman" w:hAnsi="Times New Roman" w:eastAsia="黑体" w:cs="Times New Roman"/>
          <w:sz w:val="24"/>
          <w:szCs w:val="24"/>
        </w:rPr>
        <w:t xml:space="preserve">章 </w:t>
      </w:r>
      <w:r>
        <w:rPr>
          <w:rFonts w:hint="default" w:ascii="Times New Roman" w:hAnsi="Times New Roman" w:eastAsia="黑体" w:cs="Times New Roman"/>
          <w:sz w:val="24"/>
          <w:szCs w:val="24"/>
          <w:lang w:val="en-US" w:eastAsia="zh-CN"/>
        </w:rPr>
        <w:t>总体思路</w:t>
      </w:r>
      <w:r>
        <w:rPr>
          <w:rFonts w:hint="default" w:ascii="Times New Roman" w:hAnsi="Times New Roman" w:eastAsia="黑体" w:cs="Times New Roman"/>
          <w:sz w:val="24"/>
          <w:szCs w:val="24"/>
        </w:rPr>
        <w:tab/>
      </w: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PAGEREF _Toc31949 \h </w:instrText>
      </w:r>
      <w:r>
        <w:rPr>
          <w:rFonts w:hint="default" w:ascii="Times New Roman" w:hAnsi="Times New Roman" w:eastAsia="黑体" w:cs="Times New Roman"/>
          <w:sz w:val="24"/>
          <w:szCs w:val="24"/>
        </w:rPr>
        <w:fldChar w:fldCharType="separate"/>
      </w:r>
      <w:r>
        <w:rPr>
          <w:rFonts w:hint="default" w:ascii="Times New Roman" w:hAnsi="Times New Roman" w:eastAsia="黑体" w:cs="Times New Roman"/>
          <w:sz w:val="24"/>
          <w:szCs w:val="24"/>
        </w:rPr>
        <w:t>9</w:t>
      </w:r>
      <w:r>
        <w:rPr>
          <w:rFonts w:hint="default" w:ascii="Times New Roman" w:hAnsi="Times New Roman" w:eastAsia="黑体" w:cs="Times New Roman"/>
          <w:sz w:val="24"/>
          <w:szCs w:val="24"/>
        </w:rPr>
        <w:fldChar w:fldCharType="end"/>
      </w:r>
      <w:r>
        <w:rPr>
          <w:rFonts w:hint="default" w:ascii="Times New Roman" w:hAnsi="Times New Roman" w:eastAsia="黑体" w:cs="Times New Roman"/>
          <w:caps w:val="0"/>
          <w:snapToGrid/>
          <w:kern w:val="2"/>
          <w:sz w:val="24"/>
          <w:szCs w:val="24"/>
          <w:lang w:val="zh-CN"/>
        </w:rPr>
        <w:fldChar w:fldCharType="end"/>
      </w:r>
    </w:p>
    <w:p w14:paraId="12780FD0">
      <w:pPr>
        <w:pStyle w:val="28"/>
        <w:keepNext w:val="0"/>
        <w:keepLines w:val="0"/>
        <w:pageBreakBefore w:val="0"/>
        <w:widowControl w:val="0"/>
        <w:tabs>
          <w:tab w:val="right" w:leader="dot" w:pos="8307"/>
          <w:tab w:val="clear" w:pos="8494"/>
        </w:tabs>
        <w:kinsoku/>
        <w:wordWrap/>
        <w:overflowPunct/>
        <w:topLinePunct w:val="0"/>
        <w:autoSpaceDE/>
        <w:autoSpaceDN/>
        <w:bidi w:val="0"/>
        <w:adjustRightInd w:val="0"/>
        <w:snapToGrid w:val="0"/>
        <w:spacing w:line="400" w:lineRule="exact"/>
        <w:textAlignment w:val="auto"/>
        <w:rPr>
          <w:rFonts w:hint="default" w:ascii="Times New Roman" w:hAnsi="Times New Roman" w:eastAsia="黑体" w:cs="Times New Roman"/>
          <w:sz w:val="24"/>
          <w:szCs w:val="24"/>
        </w:rPr>
      </w:pPr>
      <w:r>
        <w:rPr>
          <w:rFonts w:hint="default" w:ascii="Times New Roman" w:hAnsi="Times New Roman" w:eastAsia="黑体" w:cs="Times New Roman"/>
          <w:caps w:val="0"/>
          <w:snapToGrid/>
          <w:kern w:val="2"/>
          <w:sz w:val="24"/>
          <w:szCs w:val="24"/>
          <w:lang w:val="zh-CN"/>
        </w:rPr>
        <w:fldChar w:fldCharType="begin"/>
      </w:r>
      <w:r>
        <w:rPr>
          <w:rFonts w:hint="default" w:ascii="Times New Roman" w:hAnsi="Times New Roman" w:eastAsia="黑体" w:cs="Times New Roman"/>
          <w:caps w:val="0"/>
          <w:snapToGrid/>
          <w:kern w:val="2"/>
          <w:sz w:val="24"/>
          <w:szCs w:val="24"/>
          <w:lang w:val="zh-CN"/>
        </w:rPr>
        <w:instrText xml:space="preserve"> HYPERLINK \l _Toc25903 </w:instrText>
      </w:r>
      <w:r>
        <w:rPr>
          <w:rFonts w:hint="default" w:ascii="Times New Roman" w:hAnsi="Times New Roman" w:eastAsia="黑体" w:cs="Times New Roman"/>
          <w:caps w:val="0"/>
          <w:snapToGrid/>
          <w:kern w:val="2"/>
          <w:sz w:val="24"/>
          <w:szCs w:val="24"/>
          <w:lang w:val="zh-CN"/>
        </w:rPr>
        <w:fldChar w:fldCharType="separate"/>
      </w:r>
      <w:r>
        <w:rPr>
          <w:rFonts w:hint="default" w:ascii="Times New Roman" w:hAnsi="Times New Roman" w:eastAsia="黑体" w:cs="Times New Roman"/>
          <w:snapToGrid/>
          <w:sz w:val="24"/>
          <w:szCs w:val="24"/>
        </w:rPr>
        <w:t>一、</w:t>
      </w:r>
      <w:r>
        <w:rPr>
          <w:rFonts w:hint="default" w:ascii="Times New Roman" w:hAnsi="Times New Roman" w:eastAsia="黑体" w:cs="Times New Roman"/>
          <w:snapToGrid/>
          <w:sz w:val="24"/>
          <w:szCs w:val="24"/>
          <w:lang w:val="en-US" w:eastAsia="zh-CN"/>
        </w:rPr>
        <w:t>指导思想</w:t>
      </w:r>
      <w:r>
        <w:rPr>
          <w:rFonts w:hint="default" w:ascii="Times New Roman" w:hAnsi="Times New Roman" w:eastAsia="黑体" w:cs="Times New Roman"/>
          <w:sz w:val="24"/>
          <w:szCs w:val="24"/>
        </w:rPr>
        <w:tab/>
      </w: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PAGEREF _Toc25903 \h </w:instrText>
      </w:r>
      <w:r>
        <w:rPr>
          <w:rFonts w:hint="default" w:ascii="Times New Roman" w:hAnsi="Times New Roman" w:eastAsia="黑体" w:cs="Times New Roman"/>
          <w:sz w:val="24"/>
          <w:szCs w:val="24"/>
        </w:rPr>
        <w:fldChar w:fldCharType="separate"/>
      </w:r>
      <w:r>
        <w:rPr>
          <w:rFonts w:hint="default" w:ascii="Times New Roman" w:hAnsi="Times New Roman" w:eastAsia="黑体" w:cs="Times New Roman"/>
          <w:sz w:val="24"/>
          <w:szCs w:val="24"/>
        </w:rPr>
        <w:t>9</w:t>
      </w:r>
      <w:r>
        <w:rPr>
          <w:rFonts w:hint="default" w:ascii="Times New Roman" w:hAnsi="Times New Roman" w:eastAsia="黑体" w:cs="Times New Roman"/>
          <w:sz w:val="24"/>
          <w:szCs w:val="24"/>
        </w:rPr>
        <w:fldChar w:fldCharType="end"/>
      </w:r>
      <w:r>
        <w:rPr>
          <w:rFonts w:hint="default" w:ascii="Times New Roman" w:hAnsi="Times New Roman" w:eastAsia="黑体" w:cs="Times New Roman"/>
          <w:caps w:val="0"/>
          <w:snapToGrid/>
          <w:kern w:val="2"/>
          <w:sz w:val="24"/>
          <w:szCs w:val="24"/>
          <w:lang w:val="zh-CN"/>
        </w:rPr>
        <w:fldChar w:fldCharType="end"/>
      </w:r>
    </w:p>
    <w:p w14:paraId="6C18206B">
      <w:pPr>
        <w:pStyle w:val="28"/>
        <w:keepNext w:val="0"/>
        <w:keepLines w:val="0"/>
        <w:pageBreakBefore w:val="0"/>
        <w:widowControl w:val="0"/>
        <w:tabs>
          <w:tab w:val="right" w:leader="dot" w:pos="8307"/>
          <w:tab w:val="clear" w:pos="8494"/>
        </w:tabs>
        <w:kinsoku/>
        <w:wordWrap/>
        <w:overflowPunct/>
        <w:topLinePunct w:val="0"/>
        <w:autoSpaceDE/>
        <w:autoSpaceDN/>
        <w:bidi w:val="0"/>
        <w:adjustRightInd w:val="0"/>
        <w:snapToGrid w:val="0"/>
        <w:spacing w:line="400" w:lineRule="exact"/>
        <w:textAlignment w:val="auto"/>
        <w:rPr>
          <w:rFonts w:hint="default" w:ascii="Times New Roman" w:hAnsi="Times New Roman" w:eastAsia="黑体" w:cs="Times New Roman"/>
          <w:sz w:val="24"/>
          <w:szCs w:val="24"/>
        </w:rPr>
      </w:pPr>
      <w:r>
        <w:rPr>
          <w:rFonts w:hint="default" w:ascii="Times New Roman" w:hAnsi="Times New Roman" w:eastAsia="黑体" w:cs="Times New Roman"/>
          <w:caps w:val="0"/>
          <w:snapToGrid/>
          <w:kern w:val="2"/>
          <w:sz w:val="24"/>
          <w:szCs w:val="24"/>
          <w:lang w:val="zh-CN"/>
        </w:rPr>
        <w:fldChar w:fldCharType="begin"/>
      </w:r>
      <w:r>
        <w:rPr>
          <w:rFonts w:hint="default" w:ascii="Times New Roman" w:hAnsi="Times New Roman" w:eastAsia="黑体" w:cs="Times New Roman"/>
          <w:caps w:val="0"/>
          <w:snapToGrid/>
          <w:kern w:val="2"/>
          <w:sz w:val="24"/>
          <w:szCs w:val="24"/>
          <w:lang w:val="zh-CN"/>
        </w:rPr>
        <w:instrText xml:space="preserve"> HYPERLINK \l _Toc24749 </w:instrText>
      </w:r>
      <w:r>
        <w:rPr>
          <w:rFonts w:hint="default" w:ascii="Times New Roman" w:hAnsi="Times New Roman" w:eastAsia="黑体" w:cs="Times New Roman"/>
          <w:caps w:val="0"/>
          <w:snapToGrid/>
          <w:kern w:val="2"/>
          <w:sz w:val="24"/>
          <w:szCs w:val="24"/>
          <w:lang w:val="zh-CN"/>
        </w:rPr>
        <w:fldChar w:fldCharType="separate"/>
      </w:r>
      <w:r>
        <w:rPr>
          <w:rFonts w:hint="default" w:ascii="Times New Roman" w:hAnsi="Times New Roman" w:eastAsia="黑体" w:cs="Times New Roman"/>
          <w:sz w:val="24"/>
          <w:szCs w:val="24"/>
        </w:rPr>
        <w:t>二、基本原则</w:t>
      </w:r>
      <w:r>
        <w:rPr>
          <w:rFonts w:hint="default" w:ascii="Times New Roman" w:hAnsi="Times New Roman" w:eastAsia="黑体" w:cs="Times New Roman"/>
          <w:sz w:val="24"/>
          <w:szCs w:val="24"/>
        </w:rPr>
        <w:tab/>
      </w: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PAGEREF _Toc24749 \h </w:instrText>
      </w:r>
      <w:r>
        <w:rPr>
          <w:rFonts w:hint="default" w:ascii="Times New Roman" w:hAnsi="Times New Roman" w:eastAsia="黑体" w:cs="Times New Roman"/>
          <w:sz w:val="24"/>
          <w:szCs w:val="24"/>
        </w:rPr>
        <w:fldChar w:fldCharType="separate"/>
      </w:r>
      <w:r>
        <w:rPr>
          <w:rFonts w:hint="default" w:ascii="Times New Roman" w:hAnsi="Times New Roman" w:eastAsia="黑体" w:cs="Times New Roman"/>
          <w:sz w:val="24"/>
          <w:szCs w:val="24"/>
        </w:rPr>
        <w:t>9</w:t>
      </w:r>
      <w:r>
        <w:rPr>
          <w:rFonts w:hint="default" w:ascii="Times New Roman" w:hAnsi="Times New Roman" w:eastAsia="黑体" w:cs="Times New Roman"/>
          <w:sz w:val="24"/>
          <w:szCs w:val="24"/>
        </w:rPr>
        <w:fldChar w:fldCharType="end"/>
      </w:r>
      <w:r>
        <w:rPr>
          <w:rFonts w:hint="default" w:ascii="Times New Roman" w:hAnsi="Times New Roman" w:eastAsia="黑体" w:cs="Times New Roman"/>
          <w:caps w:val="0"/>
          <w:snapToGrid/>
          <w:kern w:val="2"/>
          <w:sz w:val="24"/>
          <w:szCs w:val="24"/>
          <w:lang w:val="zh-CN"/>
        </w:rPr>
        <w:fldChar w:fldCharType="end"/>
      </w:r>
    </w:p>
    <w:p w14:paraId="25263FEF">
      <w:pPr>
        <w:pStyle w:val="28"/>
        <w:keepNext w:val="0"/>
        <w:keepLines w:val="0"/>
        <w:pageBreakBefore w:val="0"/>
        <w:widowControl w:val="0"/>
        <w:tabs>
          <w:tab w:val="right" w:leader="dot" w:pos="8307"/>
          <w:tab w:val="clear" w:pos="8494"/>
        </w:tabs>
        <w:kinsoku/>
        <w:wordWrap/>
        <w:overflowPunct/>
        <w:topLinePunct w:val="0"/>
        <w:autoSpaceDE/>
        <w:autoSpaceDN/>
        <w:bidi w:val="0"/>
        <w:adjustRightInd w:val="0"/>
        <w:snapToGrid w:val="0"/>
        <w:spacing w:line="400" w:lineRule="exact"/>
        <w:textAlignment w:val="auto"/>
        <w:rPr>
          <w:rFonts w:hint="default" w:ascii="Times New Roman" w:hAnsi="Times New Roman" w:eastAsia="黑体" w:cs="Times New Roman"/>
          <w:sz w:val="24"/>
          <w:szCs w:val="24"/>
        </w:rPr>
      </w:pPr>
      <w:r>
        <w:rPr>
          <w:rFonts w:hint="default" w:ascii="Times New Roman" w:hAnsi="Times New Roman" w:eastAsia="黑体" w:cs="Times New Roman"/>
          <w:caps w:val="0"/>
          <w:snapToGrid/>
          <w:kern w:val="2"/>
          <w:sz w:val="24"/>
          <w:szCs w:val="24"/>
          <w:lang w:val="zh-CN"/>
        </w:rPr>
        <w:fldChar w:fldCharType="begin"/>
      </w:r>
      <w:r>
        <w:rPr>
          <w:rFonts w:hint="default" w:ascii="Times New Roman" w:hAnsi="Times New Roman" w:eastAsia="黑体" w:cs="Times New Roman"/>
          <w:caps w:val="0"/>
          <w:snapToGrid/>
          <w:kern w:val="2"/>
          <w:sz w:val="24"/>
          <w:szCs w:val="24"/>
          <w:lang w:val="zh-CN"/>
        </w:rPr>
        <w:instrText xml:space="preserve"> HYPERLINK \l _Toc27318 </w:instrText>
      </w:r>
      <w:r>
        <w:rPr>
          <w:rFonts w:hint="default" w:ascii="Times New Roman" w:hAnsi="Times New Roman" w:eastAsia="黑体" w:cs="Times New Roman"/>
          <w:caps w:val="0"/>
          <w:snapToGrid/>
          <w:kern w:val="2"/>
          <w:sz w:val="24"/>
          <w:szCs w:val="24"/>
          <w:lang w:val="zh-CN"/>
        </w:rPr>
        <w:fldChar w:fldCharType="separate"/>
      </w:r>
      <w:r>
        <w:rPr>
          <w:rFonts w:hint="default" w:ascii="Times New Roman" w:hAnsi="Times New Roman" w:eastAsia="黑体" w:cs="Times New Roman"/>
          <w:sz w:val="24"/>
          <w:szCs w:val="24"/>
        </w:rPr>
        <w:t>三、</w:t>
      </w:r>
      <w:r>
        <w:rPr>
          <w:rFonts w:hint="default" w:ascii="Times New Roman" w:hAnsi="Times New Roman" w:eastAsia="黑体" w:cs="Times New Roman"/>
          <w:sz w:val="24"/>
          <w:szCs w:val="24"/>
          <w:lang w:val="en-US" w:eastAsia="zh-CN"/>
        </w:rPr>
        <w:t>发展定位</w:t>
      </w:r>
      <w:r>
        <w:rPr>
          <w:rFonts w:hint="default" w:ascii="Times New Roman" w:hAnsi="Times New Roman" w:eastAsia="黑体" w:cs="Times New Roman"/>
          <w:sz w:val="24"/>
          <w:szCs w:val="24"/>
        </w:rPr>
        <w:tab/>
      </w: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PAGEREF _Toc27318 \h </w:instrText>
      </w:r>
      <w:r>
        <w:rPr>
          <w:rFonts w:hint="default" w:ascii="Times New Roman" w:hAnsi="Times New Roman" w:eastAsia="黑体" w:cs="Times New Roman"/>
          <w:sz w:val="24"/>
          <w:szCs w:val="24"/>
        </w:rPr>
        <w:fldChar w:fldCharType="separate"/>
      </w:r>
      <w:r>
        <w:rPr>
          <w:rFonts w:hint="default" w:ascii="Times New Roman" w:hAnsi="Times New Roman" w:eastAsia="黑体" w:cs="Times New Roman"/>
          <w:sz w:val="24"/>
          <w:szCs w:val="24"/>
        </w:rPr>
        <w:t>10</w:t>
      </w:r>
      <w:r>
        <w:rPr>
          <w:rFonts w:hint="default" w:ascii="Times New Roman" w:hAnsi="Times New Roman" w:eastAsia="黑体" w:cs="Times New Roman"/>
          <w:sz w:val="24"/>
          <w:szCs w:val="24"/>
        </w:rPr>
        <w:fldChar w:fldCharType="end"/>
      </w:r>
      <w:r>
        <w:rPr>
          <w:rFonts w:hint="default" w:ascii="Times New Roman" w:hAnsi="Times New Roman" w:eastAsia="黑体" w:cs="Times New Roman"/>
          <w:caps w:val="0"/>
          <w:snapToGrid/>
          <w:kern w:val="2"/>
          <w:sz w:val="24"/>
          <w:szCs w:val="24"/>
          <w:lang w:val="zh-CN"/>
        </w:rPr>
        <w:fldChar w:fldCharType="end"/>
      </w:r>
    </w:p>
    <w:p w14:paraId="04016FCD">
      <w:pPr>
        <w:pStyle w:val="28"/>
        <w:keepNext w:val="0"/>
        <w:keepLines w:val="0"/>
        <w:pageBreakBefore w:val="0"/>
        <w:widowControl w:val="0"/>
        <w:tabs>
          <w:tab w:val="right" w:leader="dot" w:pos="8307"/>
          <w:tab w:val="clear" w:pos="8494"/>
        </w:tabs>
        <w:kinsoku/>
        <w:wordWrap/>
        <w:overflowPunct/>
        <w:topLinePunct w:val="0"/>
        <w:autoSpaceDE/>
        <w:autoSpaceDN/>
        <w:bidi w:val="0"/>
        <w:adjustRightInd w:val="0"/>
        <w:snapToGrid w:val="0"/>
        <w:spacing w:line="400" w:lineRule="exact"/>
        <w:textAlignment w:val="auto"/>
        <w:rPr>
          <w:rFonts w:hint="default" w:ascii="Times New Roman" w:hAnsi="Times New Roman" w:eastAsia="黑体" w:cs="Times New Roman"/>
          <w:sz w:val="24"/>
          <w:szCs w:val="24"/>
        </w:rPr>
      </w:pPr>
      <w:r>
        <w:rPr>
          <w:rFonts w:hint="default" w:ascii="Times New Roman" w:hAnsi="Times New Roman" w:eastAsia="黑体" w:cs="Times New Roman"/>
          <w:caps w:val="0"/>
          <w:snapToGrid/>
          <w:kern w:val="2"/>
          <w:sz w:val="24"/>
          <w:szCs w:val="24"/>
          <w:lang w:val="zh-CN"/>
        </w:rPr>
        <w:fldChar w:fldCharType="begin"/>
      </w:r>
      <w:r>
        <w:rPr>
          <w:rFonts w:hint="default" w:ascii="Times New Roman" w:hAnsi="Times New Roman" w:eastAsia="黑体" w:cs="Times New Roman"/>
          <w:caps w:val="0"/>
          <w:snapToGrid/>
          <w:kern w:val="2"/>
          <w:sz w:val="24"/>
          <w:szCs w:val="24"/>
          <w:lang w:val="zh-CN"/>
        </w:rPr>
        <w:instrText xml:space="preserve"> HYPERLINK \l _Toc18367 </w:instrText>
      </w:r>
      <w:r>
        <w:rPr>
          <w:rFonts w:hint="default" w:ascii="Times New Roman" w:hAnsi="Times New Roman" w:eastAsia="黑体" w:cs="Times New Roman"/>
          <w:caps w:val="0"/>
          <w:snapToGrid/>
          <w:kern w:val="2"/>
          <w:sz w:val="24"/>
          <w:szCs w:val="24"/>
          <w:lang w:val="zh-CN"/>
        </w:rPr>
        <w:fldChar w:fldCharType="separate"/>
      </w:r>
      <w:r>
        <w:rPr>
          <w:rFonts w:hint="default" w:ascii="Times New Roman" w:hAnsi="Times New Roman" w:eastAsia="黑体" w:cs="Times New Roman"/>
          <w:sz w:val="24"/>
          <w:szCs w:val="24"/>
        </w:rPr>
        <w:t>四、</w:t>
      </w:r>
      <w:r>
        <w:rPr>
          <w:rFonts w:hint="default" w:ascii="Times New Roman" w:hAnsi="Times New Roman" w:eastAsia="黑体" w:cs="Times New Roman"/>
          <w:sz w:val="24"/>
          <w:szCs w:val="24"/>
          <w:lang w:val="en-US" w:eastAsia="zh-CN"/>
        </w:rPr>
        <w:t>发展目标</w:t>
      </w:r>
      <w:r>
        <w:rPr>
          <w:rFonts w:hint="default" w:ascii="Times New Roman" w:hAnsi="Times New Roman" w:eastAsia="黑体" w:cs="Times New Roman"/>
          <w:sz w:val="24"/>
          <w:szCs w:val="24"/>
        </w:rPr>
        <w:tab/>
      </w: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PAGEREF _Toc18367 \h </w:instrText>
      </w:r>
      <w:r>
        <w:rPr>
          <w:rFonts w:hint="default" w:ascii="Times New Roman" w:hAnsi="Times New Roman" w:eastAsia="黑体" w:cs="Times New Roman"/>
          <w:sz w:val="24"/>
          <w:szCs w:val="24"/>
        </w:rPr>
        <w:fldChar w:fldCharType="separate"/>
      </w:r>
      <w:r>
        <w:rPr>
          <w:rFonts w:hint="default" w:ascii="Times New Roman" w:hAnsi="Times New Roman" w:eastAsia="黑体" w:cs="Times New Roman"/>
          <w:sz w:val="24"/>
          <w:szCs w:val="24"/>
        </w:rPr>
        <w:t>12</w:t>
      </w:r>
      <w:r>
        <w:rPr>
          <w:rFonts w:hint="default" w:ascii="Times New Roman" w:hAnsi="Times New Roman" w:eastAsia="黑体" w:cs="Times New Roman"/>
          <w:sz w:val="24"/>
          <w:szCs w:val="24"/>
        </w:rPr>
        <w:fldChar w:fldCharType="end"/>
      </w:r>
      <w:r>
        <w:rPr>
          <w:rFonts w:hint="default" w:ascii="Times New Roman" w:hAnsi="Times New Roman" w:eastAsia="黑体" w:cs="Times New Roman"/>
          <w:caps w:val="0"/>
          <w:snapToGrid/>
          <w:kern w:val="2"/>
          <w:sz w:val="24"/>
          <w:szCs w:val="24"/>
          <w:lang w:val="zh-CN"/>
        </w:rPr>
        <w:fldChar w:fldCharType="end"/>
      </w:r>
    </w:p>
    <w:p w14:paraId="14C2EBEF">
      <w:pPr>
        <w:pStyle w:val="23"/>
        <w:keepNext w:val="0"/>
        <w:keepLines w:val="0"/>
        <w:pageBreakBefore w:val="0"/>
        <w:widowControl w:val="0"/>
        <w:tabs>
          <w:tab w:val="right" w:leader="dot" w:pos="8307"/>
          <w:tab w:val="clear" w:pos="8494"/>
        </w:tabs>
        <w:kinsoku/>
        <w:wordWrap/>
        <w:overflowPunct/>
        <w:topLinePunct w:val="0"/>
        <w:autoSpaceDE/>
        <w:autoSpaceDN/>
        <w:bidi w:val="0"/>
        <w:adjustRightInd w:val="0"/>
        <w:snapToGrid w:val="0"/>
        <w:spacing w:line="400" w:lineRule="exact"/>
        <w:textAlignment w:val="auto"/>
        <w:rPr>
          <w:rFonts w:hint="default" w:ascii="Times New Roman" w:hAnsi="Times New Roman" w:eastAsia="黑体" w:cs="Times New Roman"/>
          <w:sz w:val="24"/>
          <w:szCs w:val="24"/>
        </w:rPr>
      </w:pPr>
      <w:r>
        <w:rPr>
          <w:rFonts w:hint="default" w:ascii="Times New Roman" w:hAnsi="Times New Roman" w:eastAsia="黑体" w:cs="Times New Roman"/>
          <w:caps w:val="0"/>
          <w:snapToGrid/>
          <w:kern w:val="2"/>
          <w:sz w:val="24"/>
          <w:szCs w:val="24"/>
          <w:lang w:val="zh-CN"/>
        </w:rPr>
        <w:fldChar w:fldCharType="begin"/>
      </w:r>
      <w:r>
        <w:rPr>
          <w:rFonts w:hint="default" w:ascii="Times New Roman" w:hAnsi="Times New Roman" w:eastAsia="黑体" w:cs="Times New Roman"/>
          <w:caps w:val="0"/>
          <w:snapToGrid/>
          <w:kern w:val="2"/>
          <w:sz w:val="24"/>
          <w:szCs w:val="24"/>
          <w:lang w:val="zh-CN"/>
        </w:rPr>
        <w:instrText xml:space="preserve"> HYPERLINK \l _Toc11563 </w:instrText>
      </w:r>
      <w:r>
        <w:rPr>
          <w:rFonts w:hint="default" w:ascii="Times New Roman" w:hAnsi="Times New Roman" w:eastAsia="黑体" w:cs="Times New Roman"/>
          <w:caps w:val="0"/>
          <w:snapToGrid/>
          <w:kern w:val="2"/>
          <w:sz w:val="24"/>
          <w:szCs w:val="24"/>
          <w:lang w:val="zh-CN"/>
        </w:rPr>
        <w:fldChar w:fldCharType="separate"/>
      </w:r>
      <w:r>
        <w:rPr>
          <w:rFonts w:hint="default" w:ascii="Times New Roman" w:hAnsi="Times New Roman" w:eastAsia="黑体" w:cs="Times New Roman"/>
          <w:sz w:val="24"/>
          <w:szCs w:val="24"/>
        </w:rPr>
        <w:t>第</w:t>
      </w:r>
      <w:r>
        <w:rPr>
          <w:rFonts w:hint="default" w:ascii="Times New Roman" w:hAnsi="Times New Roman" w:eastAsia="黑体" w:cs="Times New Roman"/>
          <w:sz w:val="24"/>
          <w:szCs w:val="24"/>
          <w:lang w:val="en-US" w:eastAsia="zh-CN"/>
        </w:rPr>
        <w:t>三</w:t>
      </w:r>
      <w:r>
        <w:rPr>
          <w:rFonts w:hint="default" w:ascii="Times New Roman" w:hAnsi="Times New Roman" w:eastAsia="黑体" w:cs="Times New Roman"/>
          <w:sz w:val="24"/>
          <w:szCs w:val="24"/>
        </w:rPr>
        <w:t xml:space="preserve">章 </w:t>
      </w:r>
      <w:r>
        <w:rPr>
          <w:rFonts w:hint="default" w:ascii="Times New Roman" w:hAnsi="Times New Roman" w:eastAsia="黑体" w:cs="Times New Roman"/>
          <w:sz w:val="24"/>
          <w:szCs w:val="24"/>
          <w:lang w:val="en-US" w:eastAsia="zh-CN"/>
        </w:rPr>
        <w:t>空间布局</w:t>
      </w:r>
      <w:r>
        <w:rPr>
          <w:rFonts w:hint="default" w:ascii="Times New Roman" w:hAnsi="Times New Roman" w:eastAsia="黑体" w:cs="Times New Roman"/>
          <w:sz w:val="24"/>
          <w:szCs w:val="24"/>
        </w:rPr>
        <w:tab/>
      </w: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PAGEREF _Toc11563 \h </w:instrText>
      </w:r>
      <w:r>
        <w:rPr>
          <w:rFonts w:hint="default" w:ascii="Times New Roman" w:hAnsi="Times New Roman" w:eastAsia="黑体" w:cs="Times New Roman"/>
          <w:sz w:val="24"/>
          <w:szCs w:val="24"/>
        </w:rPr>
        <w:fldChar w:fldCharType="separate"/>
      </w:r>
      <w:r>
        <w:rPr>
          <w:rFonts w:hint="default" w:ascii="Times New Roman" w:hAnsi="Times New Roman" w:eastAsia="黑体" w:cs="Times New Roman"/>
          <w:sz w:val="24"/>
          <w:szCs w:val="24"/>
        </w:rPr>
        <w:t>14</w:t>
      </w:r>
      <w:r>
        <w:rPr>
          <w:rFonts w:hint="default" w:ascii="Times New Roman" w:hAnsi="Times New Roman" w:eastAsia="黑体" w:cs="Times New Roman"/>
          <w:sz w:val="24"/>
          <w:szCs w:val="24"/>
        </w:rPr>
        <w:fldChar w:fldCharType="end"/>
      </w:r>
      <w:r>
        <w:rPr>
          <w:rFonts w:hint="default" w:ascii="Times New Roman" w:hAnsi="Times New Roman" w:eastAsia="黑体" w:cs="Times New Roman"/>
          <w:caps w:val="0"/>
          <w:snapToGrid/>
          <w:kern w:val="2"/>
          <w:sz w:val="24"/>
          <w:szCs w:val="24"/>
          <w:lang w:val="zh-CN"/>
        </w:rPr>
        <w:fldChar w:fldCharType="end"/>
      </w:r>
    </w:p>
    <w:p w14:paraId="730472D6">
      <w:pPr>
        <w:pStyle w:val="23"/>
        <w:keepNext w:val="0"/>
        <w:keepLines w:val="0"/>
        <w:pageBreakBefore w:val="0"/>
        <w:widowControl w:val="0"/>
        <w:tabs>
          <w:tab w:val="right" w:leader="dot" w:pos="8307"/>
          <w:tab w:val="clear" w:pos="8494"/>
        </w:tabs>
        <w:kinsoku/>
        <w:wordWrap/>
        <w:overflowPunct/>
        <w:topLinePunct w:val="0"/>
        <w:autoSpaceDE/>
        <w:autoSpaceDN/>
        <w:bidi w:val="0"/>
        <w:adjustRightInd w:val="0"/>
        <w:snapToGrid w:val="0"/>
        <w:spacing w:line="400" w:lineRule="exact"/>
        <w:textAlignment w:val="auto"/>
        <w:rPr>
          <w:rFonts w:hint="default" w:ascii="Times New Roman" w:hAnsi="Times New Roman" w:eastAsia="黑体" w:cs="Times New Roman"/>
          <w:sz w:val="24"/>
          <w:szCs w:val="24"/>
        </w:rPr>
      </w:pPr>
      <w:r>
        <w:rPr>
          <w:rFonts w:hint="default" w:ascii="Times New Roman" w:hAnsi="Times New Roman" w:eastAsia="黑体" w:cs="Times New Roman"/>
          <w:caps w:val="0"/>
          <w:snapToGrid/>
          <w:kern w:val="2"/>
          <w:sz w:val="24"/>
          <w:szCs w:val="24"/>
          <w:lang w:val="zh-CN"/>
        </w:rPr>
        <w:fldChar w:fldCharType="begin"/>
      </w:r>
      <w:r>
        <w:rPr>
          <w:rFonts w:hint="default" w:ascii="Times New Roman" w:hAnsi="Times New Roman" w:eastAsia="黑体" w:cs="Times New Roman"/>
          <w:caps w:val="0"/>
          <w:snapToGrid/>
          <w:kern w:val="2"/>
          <w:sz w:val="24"/>
          <w:szCs w:val="24"/>
          <w:lang w:val="zh-CN"/>
        </w:rPr>
        <w:instrText xml:space="preserve"> HYPERLINK \l _Toc32126 </w:instrText>
      </w:r>
      <w:r>
        <w:rPr>
          <w:rFonts w:hint="default" w:ascii="Times New Roman" w:hAnsi="Times New Roman" w:eastAsia="黑体" w:cs="Times New Roman"/>
          <w:caps w:val="0"/>
          <w:snapToGrid/>
          <w:kern w:val="2"/>
          <w:sz w:val="24"/>
          <w:szCs w:val="24"/>
          <w:lang w:val="zh-CN"/>
        </w:rPr>
        <w:fldChar w:fldCharType="separate"/>
      </w:r>
      <w:r>
        <w:rPr>
          <w:rFonts w:hint="default" w:ascii="Times New Roman" w:hAnsi="Times New Roman" w:eastAsia="黑体" w:cs="Times New Roman"/>
          <w:sz w:val="24"/>
          <w:szCs w:val="24"/>
        </w:rPr>
        <w:t>第</w:t>
      </w:r>
      <w:r>
        <w:rPr>
          <w:rFonts w:hint="default" w:ascii="Times New Roman" w:hAnsi="Times New Roman" w:eastAsia="黑体" w:cs="Times New Roman"/>
          <w:sz w:val="24"/>
          <w:szCs w:val="24"/>
          <w:lang w:val="en-US" w:eastAsia="zh-CN"/>
        </w:rPr>
        <w:t>四</w:t>
      </w:r>
      <w:r>
        <w:rPr>
          <w:rFonts w:hint="default" w:ascii="Times New Roman" w:hAnsi="Times New Roman" w:eastAsia="黑体" w:cs="Times New Roman"/>
          <w:sz w:val="24"/>
          <w:szCs w:val="24"/>
        </w:rPr>
        <w:t xml:space="preserve">章 </w:t>
      </w:r>
      <w:r>
        <w:rPr>
          <w:rFonts w:hint="default" w:ascii="Times New Roman" w:hAnsi="Times New Roman" w:eastAsia="黑体" w:cs="Times New Roman"/>
          <w:sz w:val="24"/>
          <w:szCs w:val="24"/>
          <w:lang w:val="en-US" w:eastAsia="zh-CN"/>
        </w:rPr>
        <w:t>发展重点</w:t>
      </w:r>
      <w:r>
        <w:rPr>
          <w:rFonts w:hint="default" w:ascii="Times New Roman" w:hAnsi="Times New Roman" w:eastAsia="黑体" w:cs="Times New Roman"/>
          <w:sz w:val="24"/>
          <w:szCs w:val="24"/>
        </w:rPr>
        <w:tab/>
      </w: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PAGEREF _Toc32126 \h </w:instrText>
      </w:r>
      <w:r>
        <w:rPr>
          <w:rFonts w:hint="default" w:ascii="Times New Roman" w:hAnsi="Times New Roman" w:eastAsia="黑体" w:cs="Times New Roman"/>
          <w:sz w:val="24"/>
          <w:szCs w:val="24"/>
        </w:rPr>
        <w:fldChar w:fldCharType="separate"/>
      </w:r>
      <w:r>
        <w:rPr>
          <w:rFonts w:hint="default" w:ascii="Times New Roman" w:hAnsi="Times New Roman" w:eastAsia="黑体" w:cs="Times New Roman"/>
          <w:sz w:val="24"/>
          <w:szCs w:val="24"/>
        </w:rPr>
        <w:t>17</w:t>
      </w:r>
      <w:r>
        <w:rPr>
          <w:rFonts w:hint="default" w:ascii="Times New Roman" w:hAnsi="Times New Roman" w:eastAsia="黑体" w:cs="Times New Roman"/>
          <w:sz w:val="24"/>
          <w:szCs w:val="24"/>
        </w:rPr>
        <w:fldChar w:fldCharType="end"/>
      </w:r>
      <w:r>
        <w:rPr>
          <w:rFonts w:hint="default" w:ascii="Times New Roman" w:hAnsi="Times New Roman" w:eastAsia="黑体" w:cs="Times New Roman"/>
          <w:caps w:val="0"/>
          <w:snapToGrid/>
          <w:kern w:val="2"/>
          <w:sz w:val="24"/>
          <w:szCs w:val="24"/>
          <w:lang w:val="zh-CN"/>
        </w:rPr>
        <w:fldChar w:fldCharType="end"/>
      </w:r>
    </w:p>
    <w:p w14:paraId="533F5AFF">
      <w:pPr>
        <w:pStyle w:val="28"/>
        <w:keepNext w:val="0"/>
        <w:keepLines w:val="0"/>
        <w:pageBreakBefore w:val="0"/>
        <w:widowControl w:val="0"/>
        <w:tabs>
          <w:tab w:val="right" w:leader="dot" w:pos="8307"/>
          <w:tab w:val="clear" w:pos="8494"/>
        </w:tabs>
        <w:kinsoku/>
        <w:wordWrap/>
        <w:overflowPunct/>
        <w:topLinePunct w:val="0"/>
        <w:autoSpaceDE/>
        <w:autoSpaceDN/>
        <w:bidi w:val="0"/>
        <w:adjustRightInd w:val="0"/>
        <w:snapToGrid w:val="0"/>
        <w:spacing w:line="400" w:lineRule="exact"/>
        <w:textAlignment w:val="auto"/>
        <w:rPr>
          <w:rFonts w:hint="default" w:ascii="Times New Roman" w:hAnsi="Times New Roman" w:eastAsia="黑体" w:cs="Times New Roman"/>
          <w:sz w:val="24"/>
          <w:szCs w:val="24"/>
        </w:rPr>
      </w:pPr>
      <w:r>
        <w:rPr>
          <w:rFonts w:hint="default" w:ascii="Times New Roman" w:hAnsi="Times New Roman" w:eastAsia="黑体" w:cs="Times New Roman"/>
          <w:caps w:val="0"/>
          <w:snapToGrid/>
          <w:kern w:val="2"/>
          <w:sz w:val="24"/>
          <w:szCs w:val="24"/>
          <w:lang w:val="zh-CN"/>
        </w:rPr>
        <w:fldChar w:fldCharType="begin"/>
      </w:r>
      <w:r>
        <w:rPr>
          <w:rFonts w:hint="default" w:ascii="Times New Roman" w:hAnsi="Times New Roman" w:eastAsia="黑体" w:cs="Times New Roman"/>
          <w:caps w:val="0"/>
          <w:snapToGrid/>
          <w:kern w:val="2"/>
          <w:sz w:val="24"/>
          <w:szCs w:val="24"/>
          <w:lang w:val="zh-CN"/>
        </w:rPr>
        <w:instrText xml:space="preserve"> HYPERLINK \l _Toc26669 </w:instrText>
      </w:r>
      <w:r>
        <w:rPr>
          <w:rFonts w:hint="default" w:ascii="Times New Roman" w:hAnsi="Times New Roman" w:eastAsia="黑体" w:cs="Times New Roman"/>
          <w:caps w:val="0"/>
          <w:snapToGrid/>
          <w:kern w:val="2"/>
          <w:sz w:val="24"/>
          <w:szCs w:val="24"/>
          <w:lang w:val="zh-CN"/>
        </w:rPr>
        <w:fldChar w:fldCharType="separate"/>
      </w:r>
      <w:r>
        <w:rPr>
          <w:rFonts w:hint="default" w:ascii="Times New Roman" w:hAnsi="Times New Roman" w:eastAsia="黑体" w:cs="Times New Roman"/>
          <w:snapToGrid/>
          <w:sz w:val="24"/>
          <w:szCs w:val="24"/>
          <w:lang w:val="en-US" w:eastAsia="zh-CN"/>
        </w:rPr>
        <w:t>一、</w:t>
      </w:r>
      <w:r>
        <w:rPr>
          <w:rFonts w:hint="default" w:ascii="Times New Roman" w:hAnsi="Times New Roman" w:eastAsia="黑体" w:cs="Times New Roman"/>
          <w:snapToGrid/>
          <w:sz w:val="24"/>
          <w:szCs w:val="24"/>
        </w:rPr>
        <w:t>做</w:t>
      </w:r>
      <w:r>
        <w:rPr>
          <w:rFonts w:hint="default" w:ascii="Times New Roman" w:hAnsi="Times New Roman" w:eastAsia="黑体" w:cs="Times New Roman"/>
          <w:snapToGrid/>
          <w:sz w:val="24"/>
          <w:szCs w:val="24"/>
          <w:lang w:val="en-US" w:eastAsia="zh-CN"/>
        </w:rPr>
        <w:t>大</w:t>
      </w:r>
      <w:r>
        <w:rPr>
          <w:rFonts w:hint="default" w:ascii="Times New Roman" w:hAnsi="Times New Roman" w:eastAsia="黑体" w:cs="Times New Roman"/>
          <w:snapToGrid/>
          <w:sz w:val="24"/>
          <w:szCs w:val="24"/>
        </w:rPr>
        <w:t>做</w:t>
      </w:r>
      <w:r>
        <w:rPr>
          <w:rFonts w:hint="default" w:ascii="Times New Roman" w:hAnsi="Times New Roman" w:eastAsia="黑体" w:cs="Times New Roman"/>
          <w:snapToGrid/>
          <w:sz w:val="24"/>
          <w:szCs w:val="24"/>
          <w:lang w:val="en-US" w:eastAsia="zh-CN"/>
        </w:rPr>
        <w:t>强竹笋</w:t>
      </w:r>
      <w:r>
        <w:rPr>
          <w:rFonts w:hint="default" w:ascii="Times New Roman" w:hAnsi="Times New Roman" w:eastAsia="黑体" w:cs="Times New Roman"/>
          <w:snapToGrid/>
          <w:sz w:val="24"/>
          <w:szCs w:val="24"/>
        </w:rPr>
        <w:t>产业</w:t>
      </w:r>
      <w:r>
        <w:rPr>
          <w:rFonts w:hint="default" w:ascii="Times New Roman" w:hAnsi="Times New Roman" w:eastAsia="黑体" w:cs="Times New Roman"/>
          <w:sz w:val="24"/>
          <w:szCs w:val="24"/>
        </w:rPr>
        <w:tab/>
      </w: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PAGEREF _Toc26669 \h </w:instrText>
      </w:r>
      <w:r>
        <w:rPr>
          <w:rFonts w:hint="default" w:ascii="Times New Roman" w:hAnsi="Times New Roman" w:eastAsia="黑体" w:cs="Times New Roman"/>
          <w:sz w:val="24"/>
          <w:szCs w:val="24"/>
        </w:rPr>
        <w:fldChar w:fldCharType="separate"/>
      </w:r>
      <w:r>
        <w:rPr>
          <w:rFonts w:hint="default" w:ascii="Times New Roman" w:hAnsi="Times New Roman" w:eastAsia="黑体" w:cs="Times New Roman"/>
          <w:sz w:val="24"/>
          <w:szCs w:val="24"/>
        </w:rPr>
        <w:t>17</w:t>
      </w:r>
      <w:r>
        <w:rPr>
          <w:rFonts w:hint="default" w:ascii="Times New Roman" w:hAnsi="Times New Roman" w:eastAsia="黑体" w:cs="Times New Roman"/>
          <w:sz w:val="24"/>
          <w:szCs w:val="24"/>
        </w:rPr>
        <w:fldChar w:fldCharType="end"/>
      </w:r>
      <w:r>
        <w:rPr>
          <w:rFonts w:hint="default" w:ascii="Times New Roman" w:hAnsi="Times New Roman" w:eastAsia="黑体" w:cs="Times New Roman"/>
          <w:caps w:val="0"/>
          <w:snapToGrid/>
          <w:kern w:val="2"/>
          <w:sz w:val="24"/>
          <w:szCs w:val="24"/>
          <w:lang w:val="zh-CN"/>
        </w:rPr>
        <w:fldChar w:fldCharType="end"/>
      </w:r>
    </w:p>
    <w:p w14:paraId="16EA93D9">
      <w:pPr>
        <w:pStyle w:val="28"/>
        <w:keepNext w:val="0"/>
        <w:keepLines w:val="0"/>
        <w:pageBreakBefore w:val="0"/>
        <w:widowControl w:val="0"/>
        <w:tabs>
          <w:tab w:val="right" w:leader="dot" w:pos="8307"/>
          <w:tab w:val="clear" w:pos="8494"/>
        </w:tabs>
        <w:kinsoku/>
        <w:wordWrap/>
        <w:overflowPunct/>
        <w:topLinePunct w:val="0"/>
        <w:autoSpaceDE/>
        <w:autoSpaceDN/>
        <w:bidi w:val="0"/>
        <w:adjustRightInd w:val="0"/>
        <w:snapToGrid w:val="0"/>
        <w:spacing w:line="400" w:lineRule="exact"/>
        <w:textAlignment w:val="auto"/>
        <w:rPr>
          <w:rFonts w:hint="default" w:ascii="Times New Roman" w:hAnsi="Times New Roman" w:eastAsia="黑体" w:cs="Times New Roman"/>
          <w:sz w:val="24"/>
          <w:szCs w:val="24"/>
        </w:rPr>
      </w:pPr>
      <w:r>
        <w:rPr>
          <w:rFonts w:hint="default" w:ascii="Times New Roman" w:hAnsi="Times New Roman" w:eastAsia="黑体" w:cs="Times New Roman"/>
          <w:caps w:val="0"/>
          <w:snapToGrid/>
          <w:kern w:val="2"/>
          <w:sz w:val="24"/>
          <w:szCs w:val="24"/>
          <w:lang w:val="zh-CN"/>
        </w:rPr>
        <w:fldChar w:fldCharType="begin"/>
      </w:r>
      <w:r>
        <w:rPr>
          <w:rFonts w:hint="default" w:ascii="Times New Roman" w:hAnsi="Times New Roman" w:eastAsia="黑体" w:cs="Times New Roman"/>
          <w:caps w:val="0"/>
          <w:snapToGrid/>
          <w:kern w:val="2"/>
          <w:sz w:val="24"/>
          <w:szCs w:val="24"/>
          <w:lang w:val="zh-CN"/>
        </w:rPr>
        <w:instrText xml:space="preserve"> HYPERLINK \l _Toc19608 </w:instrText>
      </w:r>
      <w:r>
        <w:rPr>
          <w:rFonts w:hint="default" w:ascii="Times New Roman" w:hAnsi="Times New Roman" w:eastAsia="黑体" w:cs="Times New Roman"/>
          <w:caps w:val="0"/>
          <w:snapToGrid/>
          <w:kern w:val="2"/>
          <w:sz w:val="24"/>
          <w:szCs w:val="24"/>
          <w:lang w:val="zh-CN"/>
        </w:rPr>
        <w:fldChar w:fldCharType="separate"/>
      </w:r>
      <w:r>
        <w:rPr>
          <w:rFonts w:hint="default" w:ascii="Times New Roman" w:hAnsi="Times New Roman" w:eastAsia="黑体" w:cs="Times New Roman"/>
          <w:snapToGrid/>
          <w:sz w:val="24"/>
          <w:szCs w:val="24"/>
          <w:lang w:val="en-US" w:eastAsia="zh-CN"/>
        </w:rPr>
        <w:t>二、培育培优种养加工</w:t>
      </w:r>
      <w:r>
        <w:rPr>
          <w:rFonts w:hint="default" w:ascii="Times New Roman" w:hAnsi="Times New Roman" w:eastAsia="黑体" w:cs="Times New Roman"/>
          <w:sz w:val="24"/>
          <w:szCs w:val="24"/>
        </w:rPr>
        <w:tab/>
      </w: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PAGEREF _Toc19608 \h </w:instrText>
      </w:r>
      <w:r>
        <w:rPr>
          <w:rFonts w:hint="default" w:ascii="Times New Roman" w:hAnsi="Times New Roman" w:eastAsia="黑体" w:cs="Times New Roman"/>
          <w:sz w:val="24"/>
          <w:szCs w:val="24"/>
        </w:rPr>
        <w:fldChar w:fldCharType="separate"/>
      </w:r>
      <w:r>
        <w:rPr>
          <w:rFonts w:hint="default" w:ascii="Times New Roman" w:hAnsi="Times New Roman" w:eastAsia="黑体" w:cs="Times New Roman"/>
          <w:sz w:val="24"/>
          <w:szCs w:val="24"/>
        </w:rPr>
        <w:t>21</w:t>
      </w:r>
      <w:r>
        <w:rPr>
          <w:rFonts w:hint="default" w:ascii="Times New Roman" w:hAnsi="Times New Roman" w:eastAsia="黑体" w:cs="Times New Roman"/>
          <w:sz w:val="24"/>
          <w:szCs w:val="24"/>
        </w:rPr>
        <w:fldChar w:fldCharType="end"/>
      </w:r>
      <w:r>
        <w:rPr>
          <w:rFonts w:hint="default" w:ascii="Times New Roman" w:hAnsi="Times New Roman" w:eastAsia="黑体" w:cs="Times New Roman"/>
          <w:caps w:val="0"/>
          <w:snapToGrid/>
          <w:kern w:val="2"/>
          <w:sz w:val="24"/>
          <w:szCs w:val="24"/>
          <w:lang w:val="zh-CN"/>
        </w:rPr>
        <w:fldChar w:fldCharType="end"/>
      </w:r>
    </w:p>
    <w:p w14:paraId="0E5D72CB">
      <w:pPr>
        <w:pStyle w:val="23"/>
        <w:keepNext w:val="0"/>
        <w:keepLines w:val="0"/>
        <w:pageBreakBefore w:val="0"/>
        <w:widowControl w:val="0"/>
        <w:tabs>
          <w:tab w:val="right" w:leader="dot" w:pos="8307"/>
          <w:tab w:val="clear" w:pos="8494"/>
        </w:tabs>
        <w:kinsoku/>
        <w:wordWrap/>
        <w:overflowPunct/>
        <w:topLinePunct w:val="0"/>
        <w:autoSpaceDE/>
        <w:autoSpaceDN/>
        <w:bidi w:val="0"/>
        <w:adjustRightInd w:val="0"/>
        <w:snapToGrid w:val="0"/>
        <w:spacing w:line="400" w:lineRule="exact"/>
        <w:textAlignment w:val="auto"/>
        <w:rPr>
          <w:rFonts w:hint="default" w:ascii="Times New Roman" w:hAnsi="Times New Roman" w:eastAsia="黑体" w:cs="Times New Roman"/>
          <w:sz w:val="24"/>
          <w:szCs w:val="24"/>
        </w:rPr>
      </w:pPr>
      <w:r>
        <w:rPr>
          <w:rFonts w:hint="default" w:ascii="Times New Roman" w:hAnsi="Times New Roman" w:eastAsia="黑体" w:cs="Times New Roman"/>
          <w:caps w:val="0"/>
          <w:snapToGrid/>
          <w:kern w:val="2"/>
          <w:sz w:val="24"/>
          <w:szCs w:val="24"/>
          <w:lang w:val="zh-CN"/>
        </w:rPr>
        <w:fldChar w:fldCharType="begin"/>
      </w:r>
      <w:r>
        <w:rPr>
          <w:rFonts w:hint="default" w:ascii="Times New Roman" w:hAnsi="Times New Roman" w:eastAsia="黑体" w:cs="Times New Roman"/>
          <w:caps w:val="0"/>
          <w:snapToGrid/>
          <w:kern w:val="2"/>
          <w:sz w:val="24"/>
          <w:szCs w:val="24"/>
          <w:lang w:val="zh-CN"/>
        </w:rPr>
        <w:instrText xml:space="preserve"> HYPERLINK \l _Toc30557 </w:instrText>
      </w:r>
      <w:r>
        <w:rPr>
          <w:rFonts w:hint="default" w:ascii="Times New Roman" w:hAnsi="Times New Roman" w:eastAsia="黑体" w:cs="Times New Roman"/>
          <w:caps w:val="0"/>
          <w:snapToGrid/>
          <w:kern w:val="2"/>
          <w:sz w:val="24"/>
          <w:szCs w:val="24"/>
          <w:lang w:val="zh-CN"/>
        </w:rPr>
        <w:fldChar w:fldCharType="separate"/>
      </w:r>
      <w:r>
        <w:rPr>
          <w:rFonts w:hint="default" w:ascii="Times New Roman" w:hAnsi="Times New Roman" w:eastAsia="黑体" w:cs="Times New Roman"/>
          <w:sz w:val="24"/>
          <w:szCs w:val="24"/>
        </w:rPr>
        <w:t>第</w:t>
      </w:r>
      <w:r>
        <w:rPr>
          <w:rFonts w:hint="default" w:ascii="Times New Roman" w:hAnsi="Times New Roman" w:eastAsia="黑体" w:cs="Times New Roman"/>
          <w:sz w:val="24"/>
          <w:szCs w:val="24"/>
          <w:lang w:val="en-US" w:eastAsia="zh-CN"/>
        </w:rPr>
        <w:t>五</w:t>
      </w:r>
      <w:r>
        <w:rPr>
          <w:rFonts w:hint="default" w:ascii="Times New Roman" w:hAnsi="Times New Roman" w:eastAsia="黑体" w:cs="Times New Roman"/>
          <w:sz w:val="24"/>
          <w:szCs w:val="24"/>
        </w:rPr>
        <w:t xml:space="preserve">章 </w:t>
      </w:r>
      <w:r>
        <w:rPr>
          <w:rFonts w:hint="default" w:ascii="Times New Roman" w:hAnsi="Times New Roman" w:eastAsia="黑体" w:cs="Times New Roman"/>
          <w:sz w:val="24"/>
          <w:szCs w:val="24"/>
          <w:lang w:val="en-US" w:eastAsia="zh-CN"/>
        </w:rPr>
        <w:t>重点任务</w:t>
      </w:r>
      <w:r>
        <w:rPr>
          <w:rFonts w:hint="default" w:ascii="Times New Roman" w:hAnsi="Times New Roman" w:eastAsia="黑体" w:cs="Times New Roman"/>
          <w:sz w:val="24"/>
          <w:szCs w:val="24"/>
        </w:rPr>
        <w:tab/>
      </w: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PAGEREF _Toc30557 \h </w:instrText>
      </w:r>
      <w:r>
        <w:rPr>
          <w:rFonts w:hint="default" w:ascii="Times New Roman" w:hAnsi="Times New Roman" w:eastAsia="黑体" w:cs="Times New Roman"/>
          <w:sz w:val="24"/>
          <w:szCs w:val="24"/>
        </w:rPr>
        <w:fldChar w:fldCharType="separate"/>
      </w:r>
      <w:r>
        <w:rPr>
          <w:rFonts w:hint="default" w:ascii="Times New Roman" w:hAnsi="Times New Roman" w:eastAsia="黑体" w:cs="Times New Roman"/>
          <w:sz w:val="24"/>
          <w:szCs w:val="24"/>
        </w:rPr>
        <w:t>36</w:t>
      </w:r>
      <w:r>
        <w:rPr>
          <w:rFonts w:hint="default" w:ascii="Times New Roman" w:hAnsi="Times New Roman" w:eastAsia="黑体" w:cs="Times New Roman"/>
          <w:sz w:val="24"/>
          <w:szCs w:val="24"/>
        </w:rPr>
        <w:fldChar w:fldCharType="end"/>
      </w:r>
      <w:r>
        <w:rPr>
          <w:rFonts w:hint="default" w:ascii="Times New Roman" w:hAnsi="Times New Roman" w:eastAsia="黑体" w:cs="Times New Roman"/>
          <w:caps w:val="0"/>
          <w:snapToGrid/>
          <w:kern w:val="2"/>
          <w:sz w:val="24"/>
          <w:szCs w:val="24"/>
          <w:lang w:val="zh-CN"/>
        </w:rPr>
        <w:fldChar w:fldCharType="end"/>
      </w:r>
    </w:p>
    <w:p w14:paraId="27A0E84A">
      <w:pPr>
        <w:pStyle w:val="28"/>
        <w:keepNext w:val="0"/>
        <w:keepLines w:val="0"/>
        <w:pageBreakBefore w:val="0"/>
        <w:widowControl w:val="0"/>
        <w:tabs>
          <w:tab w:val="right" w:leader="dot" w:pos="8307"/>
          <w:tab w:val="clear" w:pos="8494"/>
        </w:tabs>
        <w:kinsoku/>
        <w:wordWrap/>
        <w:overflowPunct/>
        <w:topLinePunct w:val="0"/>
        <w:autoSpaceDE/>
        <w:autoSpaceDN/>
        <w:bidi w:val="0"/>
        <w:adjustRightInd w:val="0"/>
        <w:snapToGrid w:val="0"/>
        <w:spacing w:line="400" w:lineRule="exact"/>
        <w:textAlignment w:val="auto"/>
        <w:rPr>
          <w:rFonts w:hint="default" w:ascii="Times New Roman" w:hAnsi="Times New Roman" w:eastAsia="黑体" w:cs="Times New Roman"/>
          <w:sz w:val="24"/>
          <w:szCs w:val="24"/>
        </w:rPr>
      </w:pPr>
      <w:r>
        <w:rPr>
          <w:rFonts w:hint="default" w:ascii="Times New Roman" w:hAnsi="Times New Roman" w:eastAsia="黑体" w:cs="Times New Roman"/>
          <w:caps w:val="0"/>
          <w:snapToGrid/>
          <w:kern w:val="2"/>
          <w:sz w:val="24"/>
          <w:szCs w:val="24"/>
          <w:lang w:val="zh-CN"/>
        </w:rPr>
        <w:fldChar w:fldCharType="begin"/>
      </w:r>
      <w:r>
        <w:rPr>
          <w:rFonts w:hint="default" w:ascii="Times New Roman" w:hAnsi="Times New Roman" w:eastAsia="黑体" w:cs="Times New Roman"/>
          <w:caps w:val="0"/>
          <w:snapToGrid/>
          <w:kern w:val="2"/>
          <w:sz w:val="24"/>
          <w:szCs w:val="24"/>
          <w:lang w:val="zh-CN"/>
        </w:rPr>
        <w:instrText xml:space="preserve"> HYPERLINK \l _Toc15028 </w:instrText>
      </w:r>
      <w:r>
        <w:rPr>
          <w:rFonts w:hint="default" w:ascii="Times New Roman" w:hAnsi="Times New Roman" w:eastAsia="黑体" w:cs="Times New Roman"/>
          <w:caps w:val="0"/>
          <w:snapToGrid/>
          <w:kern w:val="2"/>
          <w:sz w:val="24"/>
          <w:szCs w:val="24"/>
          <w:lang w:val="zh-CN"/>
        </w:rPr>
        <w:fldChar w:fldCharType="separate"/>
      </w:r>
      <w:r>
        <w:rPr>
          <w:rFonts w:hint="default" w:ascii="Times New Roman" w:hAnsi="Times New Roman" w:eastAsia="黑体" w:cs="Times New Roman"/>
          <w:snapToGrid/>
          <w:sz w:val="24"/>
          <w:szCs w:val="24"/>
          <w:lang w:val="en-US" w:eastAsia="zh-CN"/>
        </w:rPr>
        <w:t>一、领军主体培育工程</w:t>
      </w:r>
      <w:r>
        <w:rPr>
          <w:rFonts w:hint="default" w:ascii="Times New Roman" w:hAnsi="Times New Roman" w:eastAsia="黑体" w:cs="Times New Roman"/>
          <w:sz w:val="24"/>
          <w:szCs w:val="24"/>
        </w:rPr>
        <w:tab/>
      </w: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PAGEREF _Toc15028 \h </w:instrText>
      </w:r>
      <w:r>
        <w:rPr>
          <w:rFonts w:hint="default" w:ascii="Times New Roman" w:hAnsi="Times New Roman" w:eastAsia="黑体" w:cs="Times New Roman"/>
          <w:sz w:val="24"/>
          <w:szCs w:val="24"/>
        </w:rPr>
        <w:fldChar w:fldCharType="separate"/>
      </w:r>
      <w:r>
        <w:rPr>
          <w:rFonts w:hint="default" w:ascii="Times New Roman" w:hAnsi="Times New Roman" w:eastAsia="黑体" w:cs="Times New Roman"/>
          <w:sz w:val="24"/>
          <w:szCs w:val="24"/>
        </w:rPr>
        <w:t>36</w:t>
      </w:r>
      <w:r>
        <w:rPr>
          <w:rFonts w:hint="default" w:ascii="Times New Roman" w:hAnsi="Times New Roman" w:eastAsia="黑体" w:cs="Times New Roman"/>
          <w:sz w:val="24"/>
          <w:szCs w:val="24"/>
        </w:rPr>
        <w:fldChar w:fldCharType="end"/>
      </w:r>
      <w:r>
        <w:rPr>
          <w:rFonts w:hint="default" w:ascii="Times New Roman" w:hAnsi="Times New Roman" w:eastAsia="黑体" w:cs="Times New Roman"/>
          <w:caps w:val="0"/>
          <w:snapToGrid/>
          <w:kern w:val="2"/>
          <w:sz w:val="24"/>
          <w:szCs w:val="24"/>
          <w:lang w:val="zh-CN"/>
        </w:rPr>
        <w:fldChar w:fldCharType="end"/>
      </w:r>
    </w:p>
    <w:p w14:paraId="04F60595">
      <w:pPr>
        <w:pStyle w:val="28"/>
        <w:keepNext w:val="0"/>
        <w:keepLines w:val="0"/>
        <w:pageBreakBefore w:val="0"/>
        <w:widowControl w:val="0"/>
        <w:tabs>
          <w:tab w:val="right" w:leader="dot" w:pos="8307"/>
          <w:tab w:val="clear" w:pos="8494"/>
        </w:tabs>
        <w:kinsoku/>
        <w:wordWrap/>
        <w:overflowPunct/>
        <w:topLinePunct w:val="0"/>
        <w:autoSpaceDE/>
        <w:autoSpaceDN/>
        <w:bidi w:val="0"/>
        <w:adjustRightInd w:val="0"/>
        <w:snapToGrid w:val="0"/>
        <w:spacing w:line="400" w:lineRule="exact"/>
        <w:textAlignment w:val="auto"/>
        <w:rPr>
          <w:rFonts w:hint="default" w:ascii="Times New Roman" w:hAnsi="Times New Roman" w:eastAsia="黑体" w:cs="Times New Roman"/>
          <w:sz w:val="24"/>
          <w:szCs w:val="24"/>
        </w:rPr>
      </w:pPr>
      <w:r>
        <w:rPr>
          <w:rFonts w:hint="default" w:ascii="Times New Roman" w:hAnsi="Times New Roman" w:eastAsia="黑体" w:cs="Times New Roman"/>
          <w:caps w:val="0"/>
          <w:snapToGrid/>
          <w:kern w:val="2"/>
          <w:sz w:val="24"/>
          <w:szCs w:val="24"/>
          <w:lang w:val="zh-CN"/>
        </w:rPr>
        <w:fldChar w:fldCharType="begin"/>
      </w:r>
      <w:r>
        <w:rPr>
          <w:rFonts w:hint="default" w:ascii="Times New Roman" w:hAnsi="Times New Roman" w:eastAsia="黑体" w:cs="Times New Roman"/>
          <w:caps w:val="0"/>
          <w:snapToGrid/>
          <w:kern w:val="2"/>
          <w:sz w:val="24"/>
          <w:szCs w:val="24"/>
          <w:lang w:val="zh-CN"/>
        </w:rPr>
        <w:instrText xml:space="preserve"> HYPERLINK \l _Toc27536 </w:instrText>
      </w:r>
      <w:r>
        <w:rPr>
          <w:rFonts w:hint="default" w:ascii="Times New Roman" w:hAnsi="Times New Roman" w:eastAsia="黑体" w:cs="Times New Roman"/>
          <w:caps w:val="0"/>
          <w:snapToGrid/>
          <w:kern w:val="2"/>
          <w:sz w:val="24"/>
          <w:szCs w:val="24"/>
          <w:lang w:val="zh-CN"/>
        </w:rPr>
        <w:fldChar w:fldCharType="separate"/>
      </w:r>
      <w:r>
        <w:rPr>
          <w:rFonts w:hint="default" w:ascii="Times New Roman" w:hAnsi="Times New Roman" w:eastAsia="黑体" w:cs="Times New Roman"/>
          <w:snapToGrid/>
          <w:sz w:val="24"/>
          <w:szCs w:val="24"/>
          <w:lang w:val="en-US" w:eastAsia="zh-CN"/>
        </w:rPr>
        <w:t>二、绿色基地提质工程</w:t>
      </w:r>
      <w:r>
        <w:rPr>
          <w:rFonts w:hint="default" w:ascii="Times New Roman" w:hAnsi="Times New Roman" w:eastAsia="黑体" w:cs="Times New Roman"/>
          <w:sz w:val="24"/>
          <w:szCs w:val="24"/>
        </w:rPr>
        <w:tab/>
      </w: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PAGEREF _Toc27536 \h </w:instrText>
      </w:r>
      <w:r>
        <w:rPr>
          <w:rFonts w:hint="default" w:ascii="Times New Roman" w:hAnsi="Times New Roman" w:eastAsia="黑体" w:cs="Times New Roman"/>
          <w:sz w:val="24"/>
          <w:szCs w:val="24"/>
        </w:rPr>
        <w:fldChar w:fldCharType="separate"/>
      </w:r>
      <w:r>
        <w:rPr>
          <w:rFonts w:hint="default" w:ascii="Times New Roman" w:hAnsi="Times New Roman" w:eastAsia="黑体" w:cs="Times New Roman"/>
          <w:sz w:val="24"/>
          <w:szCs w:val="24"/>
        </w:rPr>
        <w:t>38</w:t>
      </w:r>
      <w:r>
        <w:rPr>
          <w:rFonts w:hint="default" w:ascii="Times New Roman" w:hAnsi="Times New Roman" w:eastAsia="黑体" w:cs="Times New Roman"/>
          <w:sz w:val="24"/>
          <w:szCs w:val="24"/>
        </w:rPr>
        <w:fldChar w:fldCharType="end"/>
      </w:r>
      <w:r>
        <w:rPr>
          <w:rFonts w:hint="default" w:ascii="Times New Roman" w:hAnsi="Times New Roman" w:eastAsia="黑体" w:cs="Times New Roman"/>
          <w:caps w:val="0"/>
          <w:snapToGrid/>
          <w:kern w:val="2"/>
          <w:sz w:val="24"/>
          <w:szCs w:val="24"/>
          <w:lang w:val="zh-CN"/>
        </w:rPr>
        <w:fldChar w:fldCharType="end"/>
      </w:r>
    </w:p>
    <w:p w14:paraId="065B4F93">
      <w:pPr>
        <w:pStyle w:val="28"/>
        <w:keepNext w:val="0"/>
        <w:keepLines w:val="0"/>
        <w:pageBreakBefore w:val="0"/>
        <w:widowControl w:val="0"/>
        <w:tabs>
          <w:tab w:val="right" w:leader="dot" w:pos="8307"/>
          <w:tab w:val="clear" w:pos="8494"/>
        </w:tabs>
        <w:kinsoku/>
        <w:wordWrap/>
        <w:overflowPunct/>
        <w:topLinePunct w:val="0"/>
        <w:autoSpaceDE/>
        <w:autoSpaceDN/>
        <w:bidi w:val="0"/>
        <w:adjustRightInd w:val="0"/>
        <w:snapToGrid w:val="0"/>
        <w:spacing w:line="400" w:lineRule="exact"/>
        <w:textAlignment w:val="auto"/>
        <w:rPr>
          <w:rFonts w:hint="default" w:ascii="Times New Roman" w:hAnsi="Times New Roman" w:eastAsia="黑体" w:cs="Times New Roman"/>
          <w:sz w:val="24"/>
          <w:szCs w:val="24"/>
        </w:rPr>
      </w:pPr>
      <w:r>
        <w:rPr>
          <w:rFonts w:hint="default" w:ascii="Times New Roman" w:hAnsi="Times New Roman" w:eastAsia="黑体" w:cs="Times New Roman"/>
          <w:caps w:val="0"/>
          <w:snapToGrid/>
          <w:kern w:val="2"/>
          <w:sz w:val="24"/>
          <w:szCs w:val="24"/>
          <w:lang w:val="zh-CN"/>
        </w:rPr>
        <w:fldChar w:fldCharType="begin"/>
      </w:r>
      <w:r>
        <w:rPr>
          <w:rFonts w:hint="default" w:ascii="Times New Roman" w:hAnsi="Times New Roman" w:eastAsia="黑体" w:cs="Times New Roman"/>
          <w:caps w:val="0"/>
          <w:snapToGrid/>
          <w:kern w:val="2"/>
          <w:sz w:val="24"/>
          <w:szCs w:val="24"/>
          <w:lang w:val="zh-CN"/>
        </w:rPr>
        <w:instrText xml:space="preserve"> HYPERLINK \l _Toc14732 </w:instrText>
      </w:r>
      <w:r>
        <w:rPr>
          <w:rFonts w:hint="default" w:ascii="Times New Roman" w:hAnsi="Times New Roman" w:eastAsia="黑体" w:cs="Times New Roman"/>
          <w:caps w:val="0"/>
          <w:snapToGrid/>
          <w:kern w:val="2"/>
          <w:sz w:val="24"/>
          <w:szCs w:val="24"/>
          <w:lang w:val="zh-CN"/>
        </w:rPr>
        <w:fldChar w:fldCharType="separate"/>
      </w:r>
      <w:r>
        <w:rPr>
          <w:rFonts w:hint="default" w:ascii="Times New Roman" w:hAnsi="Times New Roman" w:eastAsia="黑体" w:cs="Times New Roman"/>
          <w:snapToGrid/>
          <w:sz w:val="24"/>
          <w:szCs w:val="24"/>
          <w:lang w:val="en-US" w:eastAsia="zh-CN"/>
        </w:rPr>
        <w:t>三、产品加工升级工程</w:t>
      </w:r>
      <w:r>
        <w:rPr>
          <w:rFonts w:hint="default" w:ascii="Times New Roman" w:hAnsi="Times New Roman" w:eastAsia="黑体" w:cs="Times New Roman"/>
          <w:sz w:val="24"/>
          <w:szCs w:val="24"/>
        </w:rPr>
        <w:tab/>
      </w: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PAGEREF _Toc14732 \h </w:instrText>
      </w:r>
      <w:r>
        <w:rPr>
          <w:rFonts w:hint="default" w:ascii="Times New Roman" w:hAnsi="Times New Roman" w:eastAsia="黑体" w:cs="Times New Roman"/>
          <w:sz w:val="24"/>
          <w:szCs w:val="24"/>
        </w:rPr>
        <w:fldChar w:fldCharType="separate"/>
      </w:r>
      <w:r>
        <w:rPr>
          <w:rFonts w:hint="default" w:ascii="Times New Roman" w:hAnsi="Times New Roman" w:eastAsia="黑体" w:cs="Times New Roman"/>
          <w:sz w:val="24"/>
          <w:szCs w:val="24"/>
        </w:rPr>
        <w:t>40</w:t>
      </w:r>
      <w:r>
        <w:rPr>
          <w:rFonts w:hint="default" w:ascii="Times New Roman" w:hAnsi="Times New Roman" w:eastAsia="黑体" w:cs="Times New Roman"/>
          <w:sz w:val="24"/>
          <w:szCs w:val="24"/>
        </w:rPr>
        <w:fldChar w:fldCharType="end"/>
      </w:r>
      <w:r>
        <w:rPr>
          <w:rFonts w:hint="default" w:ascii="Times New Roman" w:hAnsi="Times New Roman" w:eastAsia="黑体" w:cs="Times New Roman"/>
          <w:caps w:val="0"/>
          <w:snapToGrid/>
          <w:kern w:val="2"/>
          <w:sz w:val="24"/>
          <w:szCs w:val="24"/>
          <w:lang w:val="zh-CN"/>
        </w:rPr>
        <w:fldChar w:fldCharType="end"/>
      </w:r>
    </w:p>
    <w:p w14:paraId="304D5407">
      <w:pPr>
        <w:pStyle w:val="28"/>
        <w:keepNext w:val="0"/>
        <w:keepLines w:val="0"/>
        <w:pageBreakBefore w:val="0"/>
        <w:widowControl w:val="0"/>
        <w:tabs>
          <w:tab w:val="right" w:leader="dot" w:pos="8307"/>
          <w:tab w:val="clear" w:pos="8494"/>
        </w:tabs>
        <w:kinsoku/>
        <w:wordWrap/>
        <w:overflowPunct/>
        <w:topLinePunct w:val="0"/>
        <w:autoSpaceDE/>
        <w:autoSpaceDN/>
        <w:bidi w:val="0"/>
        <w:adjustRightInd w:val="0"/>
        <w:snapToGrid w:val="0"/>
        <w:spacing w:line="400" w:lineRule="exact"/>
        <w:textAlignment w:val="auto"/>
        <w:rPr>
          <w:rFonts w:hint="default" w:ascii="Times New Roman" w:hAnsi="Times New Roman" w:eastAsia="黑体" w:cs="Times New Roman"/>
          <w:sz w:val="24"/>
          <w:szCs w:val="24"/>
        </w:rPr>
      </w:pPr>
      <w:r>
        <w:rPr>
          <w:rFonts w:hint="default" w:ascii="Times New Roman" w:hAnsi="Times New Roman" w:eastAsia="黑体" w:cs="Times New Roman"/>
          <w:caps w:val="0"/>
          <w:snapToGrid/>
          <w:kern w:val="2"/>
          <w:sz w:val="24"/>
          <w:szCs w:val="24"/>
          <w:lang w:val="zh-CN"/>
        </w:rPr>
        <w:fldChar w:fldCharType="begin"/>
      </w:r>
      <w:r>
        <w:rPr>
          <w:rFonts w:hint="default" w:ascii="Times New Roman" w:hAnsi="Times New Roman" w:eastAsia="黑体" w:cs="Times New Roman"/>
          <w:caps w:val="0"/>
          <w:snapToGrid/>
          <w:kern w:val="2"/>
          <w:sz w:val="24"/>
          <w:szCs w:val="24"/>
          <w:lang w:val="zh-CN"/>
        </w:rPr>
        <w:instrText xml:space="preserve"> HYPERLINK \l _Toc15222 </w:instrText>
      </w:r>
      <w:r>
        <w:rPr>
          <w:rFonts w:hint="default" w:ascii="Times New Roman" w:hAnsi="Times New Roman" w:eastAsia="黑体" w:cs="Times New Roman"/>
          <w:caps w:val="0"/>
          <w:snapToGrid/>
          <w:kern w:val="2"/>
          <w:sz w:val="24"/>
          <w:szCs w:val="24"/>
          <w:lang w:val="zh-CN"/>
        </w:rPr>
        <w:fldChar w:fldCharType="separate"/>
      </w:r>
      <w:r>
        <w:rPr>
          <w:rFonts w:hint="default" w:ascii="Times New Roman" w:hAnsi="Times New Roman" w:eastAsia="黑体" w:cs="Times New Roman"/>
          <w:snapToGrid/>
          <w:sz w:val="24"/>
          <w:szCs w:val="24"/>
          <w:lang w:val="en-US" w:eastAsia="zh-CN"/>
        </w:rPr>
        <w:t>四、品牌体系打造工程</w:t>
      </w:r>
      <w:r>
        <w:rPr>
          <w:rFonts w:hint="default" w:ascii="Times New Roman" w:hAnsi="Times New Roman" w:eastAsia="黑体" w:cs="Times New Roman"/>
          <w:sz w:val="24"/>
          <w:szCs w:val="24"/>
        </w:rPr>
        <w:tab/>
      </w: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PAGEREF _Toc15222 \h </w:instrText>
      </w:r>
      <w:r>
        <w:rPr>
          <w:rFonts w:hint="default" w:ascii="Times New Roman" w:hAnsi="Times New Roman" w:eastAsia="黑体" w:cs="Times New Roman"/>
          <w:sz w:val="24"/>
          <w:szCs w:val="24"/>
        </w:rPr>
        <w:fldChar w:fldCharType="separate"/>
      </w:r>
      <w:r>
        <w:rPr>
          <w:rFonts w:hint="default" w:ascii="Times New Roman" w:hAnsi="Times New Roman" w:eastAsia="黑体" w:cs="Times New Roman"/>
          <w:sz w:val="24"/>
          <w:szCs w:val="24"/>
        </w:rPr>
        <w:t>41</w:t>
      </w:r>
      <w:r>
        <w:rPr>
          <w:rFonts w:hint="default" w:ascii="Times New Roman" w:hAnsi="Times New Roman" w:eastAsia="黑体" w:cs="Times New Roman"/>
          <w:sz w:val="24"/>
          <w:szCs w:val="24"/>
        </w:rPr>
        <w:fldChar w:fldCharType="end"/>
      </w:r>
      <w:r>
        <w:rPr>
          <w:rFonts w:hint="default" w:ascii="Times New Roman" w:hAnsi="Times New Roman" w:eastAsia="黑体" w:cs="Times New Roman"/>
          <w:caps w:val="0"/>
          <w:snapToGrid/>
          <w:kern w:val="2"/>
          <w:sz w:val="24"/>
          <w:szCs w:val="24"/>
          <w:lang w:val="zh-CN"/>
        </w:rPr>
        <w:fldChar w:fldCharType="end"/>
      </w:r>
    </w:p>
    <w:p w14:paraId="1FFA1668">
      <w:pPr>
        <w:pStyle w:val="28"/>
        <w:keepNext w:val="0"/>
        <w:keepLines w:val="0"/>
        <w:pageBreakBefore w:val="0"/>
        <w:widowControl w:val="0"/>
        <w:tabs>
          <w:tab w:val="right" w:leader="dot" w:pos="8307"/>
          <w:tab w:val="clear" w:pos="8494"/>
        </w:tabs>
        <w:kinsoku/>
        <w:wordWrap/>
        <w:overflowPunct/>
        <w:topLinePunct w:val="0"/>
        <w:autoSpaceDE/>
        <w:autoSpaceDN/>
        <w:bidi w:val="0"/>
        <w:adjustRightInd w:val="0"/>
        <w:snapToGrid w:val="0"/>
        <w:spacing w:line="400" w:lineRule="exact"/>
        <w:textAlignment w:val="auto"/>
        <w:rPr>
          <w:rFonts w:hint="default" w:ascii="Times New Roman" w:hAnsi="Times New Roman" w:eastAsia="黑体" w:cs="Times New Roman"/>
          <w:sz w:val="24"/>
          <w:szCs w:val="24"/>
        </w:rPr>
      </w:pPr>
      <w:r>
        <w:rPr>
          <w:rFonts w:hint="default" w:ascii="Times New Roman" w:hAnsi="Times New Roman" w:eastAsia="黑体" w:cs="Times New Roman"/>
          <w:caps w:val="0"/>
          <w:snapToGrid/>
          <w:kern w:val="2"/>
          <w:sz w:val="24"/>
          <w:szCs w:val="24"/>
          <w:lang w:val="zh-CN"/>
        </w:rPr>
        <w:fldChar w:fldCharType="begin"/>
      </w:r>
      <w:r>
        <w:rPr>
          <w:rFonts w:hint="default" w:ascii="Times New Roman" w:hAnsi="Times New Roman" w:eastAsia="黑体" w:cs="Times New Roman"/>
          <w:caps w:val="0"/>
          <w:snapToGrid/>
          <w:kern w:val="2"/>
          <w:sz w:val="24"/>
          <w:szCs w:val="24"/>
          <w:lang w:val="zh-CN"/>
        </w:rPr>
        <w:instrText xml:space="preserve"> HYPERLINK \l _Toc1776 </w:instrText>
      </w:r>
      <w:r>
        <w:rPr>
          <w:rFonts w:hint="default" w:ascii="Times New Roman" w:hAnsi="Times New Roman" w:eastAsia="黑体" w:cs="Times New Roman"/>
          <w:caps w:val="0"/>
          <w:snapToGrid/>
          <w:kern w:val="2"/>
          <w:sz w:val="24"/>
          <w:szCs w:val="24"/>
          <w:lang w:val="zh-CN"/>
        </w:rPr>
        <w:fldChar w:fldCharType="separate"/>
      </w:r>
      <w:r>
        <w:rPr>
          <w:rFonts w:hint="default" w:ascii="Times New Roman" w:hAnsi="Times New Roman" w:eastAsia="黑体" w:cs="Times New Roman"/>
          <w:snapToGrid/>
          <w:sz w:val="24"/>
          <w:szCs w:val="24"/>
          <w:lang w:val="en-US" w:eastAsia="zh-CN"/>
        </w:rPr>
        <w:t>五、</w:t>
      </w:r>
      <w:r>
        <w:rPr>
          <w:rFonts w:hint="default" w:ascii="Times New Roman" w:hAnsi="Times New Roman" w:eastAsia="黑体" w:cs="Times New Roman"/>
          <w:snapToGrid/>
          <w:sz w:val="24"/>
          <w:szCs w:val="24"/>
        </w:rPr>
        <w:t>市场</w:t>
      </w:r>
      <w:r>
        <w:rPr>
          <w:rFonts w:hint="default" w:ascii="Times New Roman" w:hAnsi="Times New Roman" w:eastAsia="黑体" w:cs="Times New Roman"/>
          <w:snapToGrid/>
          <w:sz w:val="24"/>
          <w:szCs w:val="24"/>
          <w:lang w:val="en-US" w:eastAsia="zh-CN"/>
        </w:rPr>
        <w:t>渠道</w:t>
      </w:r>
      <w:r>
        <w:rPr>
          <w:rFonts w:hint="default" w:ascii="Times New Roman" w:hAnsi="Times New Roman" w:eastAsia="黑体" w:cs="Times New Roman"/>
          <w:snapToGrid/>
          <w:sz w:val="24"/>
          <w:szCs w:val="24"/>
        </w:rPr>
        <w:t>拓展</w:t>
      </w:r>
      <w:r>
        <w:rPr>
          <w:rFonts w:hint="default" w:ascii="Times New Roman" w:hAnsi="Times New Roman" w:eastAsia="黑体" w:cs="Times New Roman"/>
          <w:snapToGrid/>
          <w:sz w:val="24"/>
          <w:szCs w:val="24"/>
          <w:lang w:val="en-US" w:eastAsia="zh-CN"/>
        </w:rPr>
        <w:t>工程</w:t>
      </w:r>
      <w:r>
        <w:rPr>
          <w:rFonts w:hint="default" w:ascii="Times New Roman" w:hAnsi="Times New Roman" w:eastAsia="黑体" w:cs="Times New Roman"/>
          <w:sz w:val="24"/>
          <w:szCs w:val="24"/>
        </w:rPr>
        <w:tab/>
      </w: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PAGEREF _Toc1776 \h </w:instrText>
      </w:r>
      <w:r>
        <w:rPr>
          <w:rFonts w:hint="default" w:ascii="Times New Roman" w:hAnsi="Times New Roman" w:eastAsia="黑体" w:cs="Times New Roman"/>
          <w:sz w:val="24"/>
          <w:szCs w:val="24"/>
        </w:rPr>
        <w:fldChar w:fldCharType="separate"/>
      </w:r>
      <w:r>
        <w:rPr>
          <w:rFonts w:hint="default" w:ascii="Times New Roman" w:hAnsi="Times New Roman" w:eastAsia="黑体" w:cs="Times New Roman"/>
          <w:sz w:val="24"/>
          <w:szCs w:val="24"/>
        </w:rPr>
        <w:t>43</w:t>
      </w:r>
      <w:r>
        <w:rPr>
          <w:rFonts w:hint="default" w:ascii="Times New Roman" w:hAnsi="Times New Roman" w:eastAsia="黑体" w:cs="Times New Roman"/>
          <w:sz w:val="24"/>
          <w:szCs w:val="24"/>
        </w:rPr>
        <w:fldChar w:fldCharType="end"/>
      </w:r>
      <w:r>
        <w:rPr>
          <w:rFonts w:hint="default" w:ascii="Times New Roman" w:hAnsi="Times New Roman" w:eastAsia="黑体" w:cs="Times New Roman"/>
          <w:caps w:val="0"/>
          <w:snapToGrid/>
          <w:kern w:val="2"/>
          <w:sz w:val="24"/>
          <w:szCs w:val="24"/>
          <w:lang w:val="zh-CN"/>
        </w:rPr>
        <w:fldChar w:fldCharType="end"/>
      </w:r>
    </w:p>
    <w:p w14:paraId="7E7C502B">
      <w:pPr>
        <w:pStyle w:val="28"/>
        <w:keepNext w:val="0"/>
        <w:keepLines w:val="0"/>
        <w:pageBreakBefore w:val="0"/>
        <w:widowControl w:val="0"/>
        <w:tabs>
          <w:tab w:val="right" w:leader="dot" w:pos="8307"/>
          <w:tab w:val="clear" w:pos="8494"/>
        </w:tabs>
        <w:kinsoku/>
        <w:wordWrap/>
        <w:overflowPunct/>
        <w:topLinePunct w:val="0"/>
        <w:autoSpaceDE/>
        <w:autoSpaceDN/>
        <w:bidi w:val="0"/>
        <w:adjustRightInd w:val="0"/>
        <w:snapToGrid w:val="0"/>
        <w:spacing w:line="400" w:lineRule="exact"/>
        <w:textAlignment w:val="auto"/>
        <w:rPr>
          <w:rFonts w:hint="default" w:ascii="Times New Roman" w:hAnsi="Times New Roman" w:eastAsia="黑体" w:cs="Times New Roman"/>
          <w:sz w:val="24"/>
          <w:szCs w:val="24"/>
        </w:rPr>
      </w:pPr>
      <w:r>
        <w:rPr>
          <w:rFonts w:hint="default" w:ascii="Times New Roman" w:hAnsi="Times New Roman" w:eastAsia="黑体" w:cs="Times New Roman"/>
          <w:caps w:val="0"/>
          <w:snapToGrid/>
          <w:kern w:val="2"/>
          <w:sz w:val="24"/>
          <w:szCs w:val="24"/>
          <w:lang w:val="zh-CN"/>
        </w:rPr>
        <w:fldChar w:fldCharType="begin"/>
      </w:r>
      <w:r>
        <w:rPr>
          <w:rFonts w:hint="default" w:ascii="Times New Roman" w:hAnsi="Times New Roman" w:eastAsia="黑体" w:cs="Times New Roman"/>
          <w:caps w:val="0"/>
          <w:snapToGrid/>
          <w:kern w:val="2"/>
          <w:sz w:val="24"/>
          <w:szCs w:val="24"/>
          <w:lang w:val="zh-CN"/>
        </w:rPr>
        <w:instrText xml:space="preserve"> HYPERLINK \l _Toc1986 </w:instrText>
      </w:r>
      <w:r>
        <w:rPr>
          <w:rFonts w:hint="default" w:ascii="Times New Roman" w:hAnsi="Times New Roman" w:eastAsia="黑体" w:cs="Times New Roman"/>
          <w:caps w:val="0"/>
          <w:snapToGrid/>
          <w:kern w:val="2"/>
          <w:sz w:val="24"/>
          <w:szCs w:val="24"/>
          <w:lang w:val="zh-CN"/>
        </w:rPr>
        <w:fldChar w:fldCharType="separate"/>
      </w:r>
      <w:r>
        <w:rPr>
          <w:rFonts w:hint="default" w:ascii="Times New Roman" w:hAnsi="Times New Roman" w:eastAsia="黑体" w:cs="Times New Roman"/>
          <w:snapToGrid/>
          <w:sz w:val="24"/>
          <w:szCs w:val="24"/>
          <w:lang w:val="en-US" w:eastAsia="zh-CN"/>
        </w:rPr>
        <w:t>六、科技创新赋能工程</w:t>
      </w:r>
      <w:r>
        <w:rPr>
          <w:rFonts w:hint="default" w:ascii="Times New Roman" w:hAnsi="Times New Roman" w:eastAsia="黑体" w:cs="Times New Roman"/>
          <w:sz w:val="24"/>
          <w:szCs w:val="24"/>
        </w:rPr>
        <w:tab/>
      </w: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PAGEREF _Toc1986 \h </w:instrText>
      </w:r>
      <w:r>
        <w:rPr>
          <w:rFonts w:hint="default" w:ascii="Times New Roman" w:hAnsi="Times New Roman" w:eastAsia="黑体" w:cs="Times New Roman"/>
          <w:sz w:val="24"/>
          <w:szCs w:val="24"/>
        </w:rPr>
        <w:fldChar w:fldCharType="separate"/>
      </w:r>
      <w:r>
        <w:rPr>
          <w:rFonts w:hint="default" w:ascii="Times New Roman" w:hAnsi="Times New Roman" w:eastAsia="黑体" w:cs="Times New Roman"/>
          <w:sz w:val="24"/>
          <w:szCs w:val="24"/>
        </w:rPr>
        <w:t>45</w:t>
      </w:r>
      <w:r>
        <w:rPr>
          <w:rFonts w:hint="default" w:ascii="Times New Roman" w:hAnsi="Times New Roman" w:eastAsia="黑体" w:cs="Times New Roman"/>
          <w:sz w:val="24"/>
          <w:szCs w:val="24"/>
        </w:rPr>
        <w:fldChar w:fldCharType="end"/>
      </w:r>
      <w:r>
        <w:rPr>
          <w:rFonts w:hint="default" w:ascii="Times New Roman" w:hAnsi="Times New Roman" w:eastAsia="黑体" w:cs="Times New Roman"/>
          <w:caps w:val="0"/>
          <w:snapToGrid/>
          <w:kern w:val="2"/>
          <w:sz w:val="24"/>
          <w:szCs w:val="24"/>
          <w:lang w:val="zh-CN"/>
        </w:rPr>
        <w:fldChar w:fldCharType="end"/>
      </w:r>
    </w:p>
    <w:p w14:paraId="7A206E2D">
      <w:pPr>
        <w:pStyle w:val="23"/>
        <w:keepNext w:val="0"/>
        <w:keepLines w:val="0"/>
        <w:pageBreakBefore w:val="0"/>
        <w:widowControl w:val="0"/>
        <w:tabs>
          <w:tab w:val="right" w:leader="dot" w:pos="8307"/>
          <w:tab w:val="clear" w:pos="8494"/>
        </w:tabs>
        <w:kinsoku/>
        <w:wordWrap/>
        <w:overflowPunct/>
        <w:topLinePunct w:val="0"/>
        <w:autoSpaceDE/>
        <w:autoSpaceDN/>
        <w:bidi w:val="0"/>
        <w:adjustRightInd w:val="0"/>
        <w:snapToGrid w:val="0"/>
        <w:spacing w:line="400" w:lineRule="exact"/>
        <w:textAlignment w:val="auto"/>
        <w:rPr>
          <w:rFonts w:hint="default" w:ascii="Times New Roman" w:hAnsi="Times New Roman" w:eastAsia="黑体" w:cs="Times New Roman"/>
          <w:sz w:val="24"/>
          <w:szCs w:val="24"/>
        </w:rPr>
      </w:pPr>
      <w:r>
        <w:rPr>
          <w:rFonts w:hint="default" w:ascii="Times New Roman" w:hAnsi="Times New Roman" w:eastAsia="黑体" w:cs="Times New Roman"/>
          <w:caps w:val="0"/>
          <w:snapToGrid/>
          <w:kern w:val="2"/>
          <w:sz w:val="24"/>
          <w:szCs w:val="24"/>
          <w:lang w:val="zh-CN"/>
        </w:rPr>
        <w:fldChar w:fldCharType="begin"/>
      </w:r>
      <w:r>
        <w:rPr>
          <w:rFonts w:hint="default" w:ascii="Times New Roman" w:hAnsi="Times New Roman" w:eastAsia="黑体" w:cs="Times New Roman"/>
          <w:caps w:val="0"/>
          <w:snapToGrid/>
          <w:kern w:val="2"/>
          <w:sz w:val="24"/>
          <w:szCs w:val="24"/>
          <w:lang w:val="zh-CN"/>
        </w:rPr>
        <w:instrText xml:space="preserve"> HYPERLINK \l _Toc31515 </w:instrText>
      </w:r>
      <w:r>
        <w:rPr>
          <w:rFonts w:hint="default" w:ascii="Times New Roman" w:hAnsi="Times New Roman" w:eastAsia="黑体" w:cs="Times New Roman"/>
          <w:caps w:val="0"/>
          <w:snapToGrid/>
          <w:kern w:val="2"/>
          <w:sz w:val="24"/>
          <w:szCs w:val="24"/>
          <w:lang w:val="zh-CN"/>
        </w:rPr>
        <w:fldChar w:fldCharType="separate"/>
      </w:r>
      <w:r>
        <w:rPr>
          <w:rFonts w:hint="default" w:ascii="Times New Roman" w:hAnsi="Times New Roman" w:eastAsia="黑体" w:cs="Times New Roman"/>
          <w:sz w:val="24"/>
          <w:szCs w:val="24"/>
        </w:rPr>
        <w:t>第</w:t>
      </w:r>
      <w:r>
        <w:rPr>
          <w:rFonts w:hint="default" w:ascii="Times New Roman" w:hAnsi="Times New Roman" w:eastAsia="黑体" w:cs="Times New Roman"/>
          <w:sz w:val="24"/>
          <w:szCs w:val="24"/>
          <w:lang w:val="en-US" w:eastAsia="zh-CN"/>
        </w:rPr>
        <w:t>六</w:t>
      </w:r>
      <w:r>
        <w:rPr>
          <w:rFonts w:hint="default" w:ascii="Times New Roman" w:hAnsi="Times New Roman" w:eastAsia="黑体" w:cs="Times New Roman"/>
          <w:sz w:val="24"/>
          <w:szCs w:val="24"/>
        </w:rPr>
        <w:t xml:space="preserve">章 </w:t>
      </w:r>
      <w:r>
        <w:rPr>
          <w:rFonts w:hint="default" w:ascii="Times New Roman" w:hAnsi="Times New Roman" w:eastAsia="黑体" w:cs="Times New Roman"/>
          <w:sz w:val="24"/>
          <w:szCs w:val="24"/>
          <w:lang w:val="en-US" w:eastAsia="zh-CN"/>
        </w:rPr>
        <w:t>保障措施</w:t>
      </w:r>
      <w:r>
        <w:rPr>
          <w:rFonts w:hint="default" w:ascii="Times New Roman" w:hAnsi="Times New Roman" w:eastAsia="黑体" w:cs="Times New Roman"/>
          <w:sz w:val="24"/>
          <w:szCs w:val="24"/>
        </w:rPr>
        <w:tab/>
      </w: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PAGEREF _Toc31515 \h </w:instrText>
      </w:r>
      <w:r>
        <w:rPr>
          <w:rFonts w:hint="default" w:ascii="Times New Roman" w:hAnsi="Times New Roman" w:eastAsia="黑体" w:cs="Times New Roman"/>
          <w:sz w:val="24"/>
          <w:szCs w:val="24"/>
        </w:rPr>
        <w:fldChar w:fldCharType="separate"/>
      </w:r>
      <w:r>
        <w:rPr>
          <w:rFonts w:hint="default" w:ascii="Times New Roman" w:hAnsi="Times New Roman" w:eastAsia="黑体" w:cs="Times New Roman"/>
          <w:sz w:val="24"/>
          <w:szCs w:val="24"/>
        </w:rPr>
        <w:t>48</w:t>
      </w:r>
      <w:r>
        <w:rPr>
          <w:rFonts w:hint="default" w:ascii="Times New Roman" w:hAnsi="Times New Roman" w:eastAsia="黑体" w:cs="Times New Roman"/>
          <w:sz w:val="24"/>
          <w:szCs w:val="24"/>
        </w:rPr>
        <w:fldChar w:fldCharType="end"/>
      </w:r>
      <w:r>
        <w:rPr>
          <w:rFonts w:hint="default" w:ascii="Times New Roman" w:hAnsi="Times New Roman" w:eastAsia="黑体" w:cs="Times New Roman"/>
          <w:caps w:val="0"/>
          <w:snapToGrid/>
          <w:kern w:val="2"/>
          <w:sz w:val="24"/>
          <w:szCs w:val="24"/>
          <w:lang w:val="zh-CN"/>
        </w:rPr>
        <w:fldChar w:fldCharType="end"/>
      </w:r>
    </w:p>
    <w:p w14:paraId="48C7E94E">
      <w:pPr>
        <w:pStyle w:val="28"/>
        <w:keepNext w:val="0"/>
        <w:keepLines w:val="0"/>
        <w:pageBreakBefore w:val="0"/>
        <w:widowControl w:val="0"/>
        <w:tabs>
          <w:tab w:val="right" w:leader="dot" w:pos="8307"/>
          <w:tab w:val="clear" w:pos="8494"/>
        </w:tabs>
        <w:kinsoku/>
        <w:wordWrap/>
        <w:overflowPunct/>
        <w:topLinePunct w:val="0"/>
        <w:autoSpaceDE/>
        <w:autoSpaceDN/>
        <w:bidi w:val="0"/>
        <w:adjustRightInd w:val="0"/>
        <w:snapToGrid w:val="0"/>
        <w:spacing w:line="400" w:lineRule="exact"/>
        <w:textAlignment w:val="auto"/>
        <w:rPr>
          <w:rFonts w:hint="default" w:ascii="Times New Roman" w:hAnsi="Times New Roman" w:eastAsia="黑体" w:cs="Times New Roman"/>
          <w:sz w:val="24"/>
          <w:szCs w:val="24"/>
        </w:rPr>
      </w:pPr>
      <w:r>
        <w:rPr>
          <w:rFonts w:hint="default" w:ascii="Times New Roman" w:hAnsi="Times New Roman" w:eastAsia="黑体" w:cs="Times New Roman"/>
          <w:caps w:val="0"/>
          <w:snapToGrid/>
          <w:kern w:val="2"/>
          <w:sz w:val="24"/>
          <w:szCs w:val="24"/>
          <w:lang w:val="zh-CN"/>
        </w:rPr>
        <w:fldChar w:fldCharType="begin"/>
      </w:r>
      <w:r>
        <w:rPr>
          <w:rFonts w:hint="default" w:ascii="Times New Roman" w:hAnsi="Times New Roman" w:eastAsia="黑体" w:cs="Times New Roman"/>
          <w:caps w:val="0"/>
          <w:snapToGrid/>
          <w:kern w:val="2"/>
          <w:sz w:val="24"/>
          <w:szCs w:val="24"/>
          <w:lang w:val="zh-CN"/>
        </w:rPr>
        <w:instrText xml:space="preserve"> HYPERLINK \l _Toc31743 </w:instrText>
      </w:r>
      <w:r>
        <w:rPr>
          <w:rFonts w:hint="default" w:ascii="Times New Roman" w:hAnsi="Times New Roman" w:eastAsia="黑体" w:cs="Times New Roman"/>
          <w:caps w:val="0"/>
          <w:snapToGrid/>
          <w:kern w:val="2"/>
          <w:sz w:val="24"/>
          <w:szCs w:val="24"/>
          <w:lang w:val="zh-CN"/>
        </w:rPr>
        <w:fldChar w:fldCharType="separate"/>
      </w:r>
      <w:r>
        <w:rPr>
          <w:rFonts w:hint="default" w:ascii="Times New Roman" w:hAnsi="Times New Roman" w:eastAsia="黑体" w:cs="Times New Roman"/>
          <w:snapToGrid/>
          <w:sz w:val="24"/>
          <w:szCs w:val="24"/>
        </w:rPr>
        <w:t>一、</w:t>
      </w:r>
      <w:r>
        <w:rPr>
          <w:rFonts w:hint="default" w:ascii="Times New Roman" w:hAnsi="Times New Roman" w:eastAsia="黑体" w:cs="Times New Roman"/>
          <w:snapToGrid/>
          <w:sz w:val="24"/>
          <w:szCs w:val="24"/>
          <w:lang w:val="en-US" w:eastAsia="zh-CN"/>
        </w:rPr>
        <w:t>强化组织领导</w:t>
      </w:r>
      <w:r>
        <w:rPr>
          <w:rFonts w:hint="default" w:ascii="Times New Roman" w:hAnsi="Times New Roman" w:eastAsia="黑体" w:cs="Times New Roman"/>
          <w:sz w:val="24"/>
          <w:szCs w:val="24"/>
        </w:rPr>
        <w:tab/>
      </w: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PAGEREF _Toc31743 \h </w:instrText>
      </w:r>
      <w:r>
        <w:rPr>
          <w:rFonts w:hint="default" w:ascii="Times New Roman" w:hAnsi="Times New Roman" w:eastAsia="黑体" w:cs="Times New Roman"/>
          <w:sz w:val="24"/>
          <w:szCs w:val="24"/>
        </w:rPr>
        <w:fldChar w:fldCharType="separate"/>
      </w:r>
      <w:r>
        <w:rPr>
          <w:rFonts w:hint="default" w:ascii="Times New Roman" w:hAnsi="Times New Roman" w:eastAsia="黑体" w:cs="Times New Roman"/>
          <w:sz w:val="24"/>
          <w:szCs w:val="24"/>
        </w:rPr>
        <w:t>48</w:t>
      </w:r>
      <w:r>
        <w:rPr>
          <w:rFonts w:hint="default" w:ascii="Times New Roman" w:hAnsi="Times New Roman" w:eastAsia="黑体" w:cs="Times New Roman"/>
          <w:sz w:val="24"/>
          <w:szCs w:val="24"/>
        </w:rPr>
        <w:fldChar w:fldCharType="end"/>
      </w:r>
      <w:r>
        <w:rPr>
          <w:rFonts w:hint="default" w:ascii="Times New Roman" w:hAnsi="Times New Roman" w:eastAsia="黑体" w:cs="Times New Roman"/>
          <w:caps w:val="0"/>
          <w:snapToGrid/>
          <w:kern w:val="2"/>
          <w:sz w:val="24"/>
          <w:szCs w:val="24"/>
          <w:lang w:val="zh-CN"/>
        </w:rPr>
        <w:fldChar w:fldCharType="end"/>
      </w:r>
    </w:p>
    <w:p w14:paraId="34609E15">
      <w:pPr>
        <w:pStyle w:val="28"/>
        <w:keepNext w:val="0"/>
        <w:keepLines w:val="0"/>
        <w:pageBreakBefore w:val="0"/>
        <w:widowControl w:val="0"/>
        <w:tabs>
          <w:tab w:val="right" w:leader="dot" w:pos="8307"/>
          <w:tab w:val="clear" w:pos="8494"/>
        </w:tabs>
        <w:kinsoku/>
        <w:wordWrap/>
        <w:overflowPunct/>
        <w:topLinePunct w:val="0"/>
        <w:autoSpaceDE/>
        <w:autoSpaceDN/>
        <w:bidi w:val="0"/>
        <w:adjustRightInd w:val="0"/>
        <w:snapToGrid w:val="0"/>
        <w:spacing w:line="400" w:lineRule="exact"/>
        <w:textAlignment w:val="auto"/>
        <w:rPr>
          <w:rFonts w:hint="default" w:ascii="Times New Roman" w:hAnsi="Times New Roman" w:eastAsia="黑体" w:cs="Times New Roman"/>
          <w:sz w:val="24"/>
          <w:szCs w:val="24"/>
        </w:rPr>
      </w:pPr>
      <w:r>
        <w:rPr>
          <w:rFonts w:hint="default" w:ascii="Times New Roman" w:hAnsi="Times New Roman" w:eastAsia="黑体" w:cs="Times New Roman"/>
          <w:caps w:val="0"/>
          <w:snapToGrid/>
          <w:kern w:val="2"/>
          <w:sz w:val="24"/>
          <w:szCs w:val="24"/>
          <w:lang w:val="zh-CN"/>
        </w:rPr>
        <w:fldChar w:fldCharType="begin"/>
      </w:r>
      <w:r>
        <w:rPr>
          <w:rFonts w:hint="default" w:ascii="Times New Roman" w:hAnsi="Times New Roman" w:eastAsia="黑体" w:cs="Times New Roman"/>
          <w:caps w:val="0"/>
          <w:snapToGrid/>
          <w:kern w:val="2"/>
          <w:sz w:val="24"/>
          <w:szCs w:val="24"/>
          <w:lang w:val="zh-CN"/>
        </w:rPr>
        <w:instrText xml:space="preserve"> HYPERLINK \l _Toc8878 </w:instrText>
      </w:r>
      <w:r>
        <w:rPr>
          <w:rFonts w:hint="default" w:ascii="Times New Roman" w:hAnsi="Times New Roman" w:eastAsia="黑体" w:cs="Times New Roman"/>
          <w:caps w:val="0"/>
          <w:snapToGrid/>
          <w:kern w:val="2"/>
          <w:sz w:val="24"/>
          <w:szCs w:val="24"/>
          <w:lang w:val="zh-CN"/>
        </w:rPr>
        <w:fldChar w:fldCharType="separate"/>
      </w:r>
      <w:r>
        <w:rPr>
          <w:rFonts w:hint="default" w:ascii="Times New Roman" w:hAnsi="Times New Roman" w:eastAsia="黑体" w:cs="Times New Roman"/>
          <w:snapToGrid/>
          <w:sz w:val="24"/>
          <w:szCs w:val="24"/>
          <w:lang w:val="en-US" w:eastAsia="zh-CN"/>
        </w:rPr>
        <w:t>二</w:t>
      </w:r>
      <w:r>
        <w:rPr>
          <w:rFonts w:hint="default" w:ascii="Times New Roman" w:hAnsi="Times New Roman" w:eastAsia="黑体" w:cs="Times New Roman"/>
          <w:snapToGrid/>
          <w:sz w:val="24"/>
          <w:szCs w:val="24"/>
        </w:rPr>
        <w:t>、</w:t>
      </w:r>
      <w:r>
        <w:rPr>
          <w:rFonts w:hint="default" w:ascii="Times New Roman" w:hAnsi="Times New Roman" w:eastAsia="黑体" w:cs="Times New Roman"/>
          <w:snapToGrid/>
          <w:sz w:val="24"/>
          <w:szCs w:val="24"/>
          <w:lang w:val="en-US" w:eastAsia="zh-CN"/>
        </w:rPr>
        <w:t>强化要素保障</w:t>
      </w:r>
      <w:r>
        <w:rPr>
          <w:rFonts w:hint="default" w:ascii="Times New Roman" w:hAnsi="Times New Roman" w:eastAsia="黑体" w:cs="Times New Roman"/>
          <w:sz w:val="24"/>
          <w:szCs w:val="24"/>
        </w:rPr>
        <w:tab/>
      </w: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PAGEREF _Toc8878 \h </w:instrText>
      </w:r>
      <w:r>
        <w:rPr>
          <w:rFonts w:hint="default" w:ascii="Times New Roman" w:hAnsi="Times New Roman" w:eastAsia="黑体" w:cs="Times New Roman"/>
          <w:sz w:val="24"/>
          <w:szCs w:val="24"/>
        </w:rPr>
        <w:fldChar w:fldCharType="separate"/>
      </w:r>
      <w:r>
        <w:rPr>
          <w:rFonts w:hint="default" w:ascii="Times New Roman" w:hAnsi="Times New Roman" w:eastAsia="黑体" w:cs="Times New Roman"/>
          <w:sz w:val="24"/>
          <w:szCs w:val="24"/>
        </w:rPr>
        <w:t>48</w:t>
      </w:r>
      <w:r>
        <w:rPr>
          <w:rFonts w:hint="default" w:ascii="Times New Roman" w:hAnsi="Times New Roman" w:eastAsia="黑体" w:cs="Times New Roman"/>
          <w:sz w:val="24"/>
          <w:szCs w:val="24"/>
        </w:rPr>
        <w:fldChar w:fldCharType="end"/>
      </w:r>
      <w:r>
        <w:rPr>
          <w:rFonts w:hint="default" w:ascii="Times New Roman" w:hAnsi="Times New Roman" w:eastAsia="黑体" w:cs="Times New Roman"/>
          <w:caps w:val="0"/>
          <w:snapToGrid/>
          <w:kern w:val="2"/>
          <w:sz w:val="24"/>
          <w:szCs w:val="24"/>
          <w:lang w:val="zh-CN"/>
        </w:rPr>
        <w:fldChar w:fldCharType="end"/>
      </w:r>
    </w:p>
    <w:p w14:paraId="237C135B">
      <w:pPr>
        <w:pStyle w:val="28"/>
        <w:keepNext w:val="0"/>
        <w:keepLines w:val="0"/>
        <w:pageBreakBefore w:val="0"/>
        <w:widowControl w:val="0"/>
        <w:tabs>
          <w:tab w:val="right" w:leader="dot" w:pos="8307"/>
          <w:tab w:val="clear" w:pos="8494"/>
        </w:tabs>
        <w:kinsoku/>
        <w:wordWrap/>
        <w:overflowPunct/>
        <w:topLinePunct w:val="0"/>
        <w:autoSpaceDE/>
        <w:autoSpaceDN/>
        <w:bidi w:val="0"/>
        <w:adjustRightInd w:val="0"/>
        <w:snapToGrid w:val="0"/>
        <w:spacing w:line="400" w:lineRule="exact"/>
        <w:textAlignment w:val="auto"/>
        <w:rPr>
          <w:rFonts w:hint="default" w:ascii="Times New Roman" w:hAnsi="Times New Roman" w:eastAsia="黑体" w:cs="Times New Roman"/>
          <w:sz w:val="24"/>
          <w:szCs w:val="24"/>
        </w:rPr>
      </w:pPr>
      <w:r>
        <w:rPr>
          <w:rFonts w:hint="default" w:ascii="Times New Roman" w:hAnsi="Times New Roman" w:eastAsia="黑体" w:cs="Times New Roman"/>
          <w:caps w:val="0"/>
          <w:snapToGrid/>
          <w:kern w:val="2"/>
          <w:sz w:val="24"/>
          <w:szCs w:val="24"/>
          <w:lang w:val="zh-CN"/>
        </w:rPr>
        <w:fldChar w:fldCharType="begin"/>
      </w:r>
      <w:r>
        <w:rPr>
          <w:rFonts w:hint="default" w:ascii="Times New Roman" w:hAnsi="Times New Roman" w:eastAsia="黑体" w:cs="Times New Roman"/>
          <w:caps w:val="0"/>
          <w:snapToGrid/>
          <w:kern w:val="2"/>
          <w:sz w:val="24"/>
          <w:szCs w:val="24"/>
          <w:lang w:val="zh-CN"/>
        </w:rPr>
        <w:instrText xml:space="preserve"> HYPERLINK \l _Toc24194 </w:instrText>
      </w:r>
      <w:r>
        <w:rPr>
          <w:rFonts w:hint="default" w:ascii="Times New Roman" w:hAnsi="Times New Roman" w:eastAsia="黑体" w:cs="Times New Roman"/>
          <w:caps w:val="0"/>
          <w:snapToGrid/>
          <w:kern w:val="2"/>
          <w:sz w:val="24"/>
          <w:szCs w:val="24"/>
          <w:lang w:val="zh-CN"/>
        </w:rPr>
        <w:fldChar w:fldCharType="separate"/>
      </w:r>
      <w:r>
        <w:rPr>
          <w:rFonts w:hint="default" w:ascii="Times New Roman" w:hAnsi="Times New Roman" w:eastAsia="黑体" w:cs="Times New Roman"/>
          <w:snapToGrid/>
          <w:sz w:val="24"/>
          <w:szCs w:val="24"/>
          <w:lang w:val="en-US" w:eastAsia="zh-CN"/>
        </w:rPr>
        <w:t>三</w:t>
      </w:r>
      <w:r>
        <w:rPr>
          <w:rFonts w:hint="default" w:ascii="Times New Roman" w:hAnsi="Times New Roman" w:eastAsia="黑体" w:cs="Times New Roman"/>
          <w:snapToGrid/>
          <w:sz w:val="24"/>
          <w:szCs w:val="24"/>
        </w:rPr>
        <w:t>、</w:t>
      </w:r>
      <w:r>
        <w:rPr>
          <w:rFonts w:hint="default" w:ascii="Times New Roman" w:hAnsi="Times New Roman" w:eastAsia="黑体" w:cs="Times New Roman"/>
          <w:snapToGrid/>
          <w:sz w:val="24"/>
          <w:szCs w:val="24"/>
          <w:lang w:val="en-US" w:eastAsia="zh-CN"/>
        </w:rPr>
        <w:t>强化项目管理</w:t>
      </w:r>
      <w:r>
        <w:rPr>
          <w:rFonts w:hint="default" w:ascii="Times New Roman" w:hAnsi="Times New Roman" w:eastAsia="黑体" w:cs="Times New Roman"/>
          <w:sz w:val="24"/>
          <w:szCs w:val="24"/>
        </w:rPr>
        <w:tab/>
      </w: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PAGEREF _Toc24194 \h </w:instrText>
      </w:r>
      <w:r>
        <w:rPr>
          <w:rFonts w:hint="default" w:ascii="Times New Roman" w:hAnsi="Times New Roman" w:eastAsia="黑体" w:cs="Times New Roman"/>
          <w:sz w:val="24"/>
          <w:szCs w:val="24"/>
        </w:rPr>
        <w:fldChar w:fldCharType="separate"/>
      </w:r>
      <w:r>
        <w:rPr>
          <w:rFonts w:hint="default" w:ascii="Times New Roman" w:hAnsi="Times New Roman" w:eastAsia="黑体" w:cs="Times New Roman"/>
          <w:sz w:val="24"/>
          <w:szCs w:val="24"/>
        </w:rPr>
        <w:t>49</w:t>
      </w:r>
      <w:r>
        <w:rPr>
          <w:rFonts w:hint="default" w:ascii="Times New Roman" w:hAnsi="Times New Roman" w:eastAsia="黑体" w:cs="Times New Roman"/>
          <w:sz w:val="24"/>
          <w:szCs w:val="24"/>
        </w:rPr>
        <w:fldChar w:fldCharType="end"/>
      </w:r>
      <w:r>
        <w:rPr>
          <w:rFonts w:hint="default" w:ascii="Times New Roman" w:hAnsi="Times New Roman" w:eastAsia="黑体" w:cs="Times New Roman"/>
          <w:caps w:val="0"/>
          <w:snapToGrid/>
          <w:kern w:val="2"/>
          <w:sz w:val="24"/>
          <w:szCs w:val="24"/>
          <w:lang w:val="zh-CN"/>
        </w:rPr>
        <w:fldChar w:fldCharType="end"/>
      </w:r>
    </w:p>
    <w:p w14:paraId="5E76C903">
      <w:pPr>
        <w:pStyle w:val="28"/>
        <w:keepNext w:val="0"/>
        <w:keepLines w:val="0"/>
        <w:pageBreakBefore w:val="0"/>
        <w:widowControl w:val="0"/>
        <w:tabs>
          <w:tab w:val="right" w:leader="dot" w:pos="8307"/>
          <w:tab w:val="clear" w:pos="8494"/>
        </w:tabs>
        <w:kinsoku/>
        <w:wordWrap/>
        <w:overflowPunct/>
        <w:topLinePunct w:val="0"/>
        <w:autoSpaceDE/>
        <w:autoSpaceDN/>
        <w:bidi w:val="0"/>
        <w:adjustRightInd w:val="0"/>
        <w:snapToGrid w:val="0"/>
        <w:spacing w:line="400" w:lineRule="exact"/>
        <w:textAlignment w:val="auto"/>
        <w:rPr>
          <w:bCs w:val="0"/>
        </w:rPr>
        <w:sectPr>
          <w:footerReference r:id="rId7" w:type="default"/>
          <w:pgSz w:w="11907" w:h="16839"/>
          <w:pgMar w:top="1440" w:right="1800" w:bottom="1440" w:left="1800" w:header="850" w:footer="853" w:gutter="0"/>
          <w:pgNumType w:fmt="upperRoman" w:start="1"/>
          <w:cols w:space="720" w:num="1"/>
          <w:docGrid w:type="linesAndChars" w:linePitch="381" w:charSpace="0"/>
        </w:sectPr>
      </w:pPr>
      <w:r>
        <w:rPr>
          <w:rFonts w:hint="default" w:ascii="Times New Roman" w:hAnsi="Times New Roman" w:eastAsia="黑体" w:cs="Times New Roman"/>
          <w:caps w:val="0"/>
          <w:snapToGrid/>
          <w:kern w:val="2"/>
          <w:sz w:val="24"/>
          <w:szCs w:val="24"/>
          <w:lang w:val="zh-CN"/>
        </w:rPr>
        <w:fldChar w:fldCharType="begin"/>
      </w:r>
      <w:r>
        <w:rPr>
          <w:rFonts w:hint="default" w:ascii="Times New Roman" w:hAnsi="Times New Roman" w:eastAsia="黑体" w:cs="Times New Roman"/>
          <w:caps w:val="0"/>
          <w:snapToGrid/>
          <w:kern w:val="2"/>
          <w:sz w:val="24"/>
          <w:szCs w:val="24"/>
          <w:lang w:val="zh-CN"/>
        </w:rPr>
        <w:instrText xml:space="preserve"> HYPERLINK \l _Toc22418 </w:instrText>
      </w:r>
      <w:r>
        <w:rPr>
          <w:rFonts w:hint="default" w:ascii="Times New Roman" w:hAnsi="Times New Roman" w:eastAsia="黑体" w:cs="Times New Roman"/>
          <w:caps w:val="0"/>
          <w:snapToGrid/>
          <w:kern w:val="2"/>
          <w:sz w:val="24"/>
          <w:szCs w:val="24"/>
          <w:lang w:val="zh-CN"/>
        </w:rPr>
        <w:fldChar w:fldCharType="separate"/>
      </w:r>
      <w:r>
        <w:rPr>
          <w:rFonts w:hint="default" w:ascii="Times New Roman" w:hAnsi="Times New Roman" w:eastAsia="黑体" w:cs="Times New Roman"/>
          <w:snapToGrid/>
          <w:sz w:val="24"/>
          <w:szCs w:val="24"/>
          <w:lang w:val="en-US" w:eastAsia="zh-CN"/>
        </w:rPr>
        <w:t>四</w:t>
      </w:r>
      <w:r>
        <w:rPr>
          <w:rFonts w:hint="default" w:ascii="Times New Roman" w:hAnsi="Times New Roman" w:eastAsia="黑体" w:cs="Times New Roman"/>
          <w:snapToGrid/>
          <w:sz w:val="24"/>
          <w:szCs w:val="24"/>
        </w:rPr>
        <w:t>、</w:t>
      </w:r>
      <w:r>
        <w:rPr>
          <w:rFonts w:hint="default" w:ascii="Times New Roman" w:hAnsi="Times New Roman" w:eastAsia="黑体" w:cs="Times New Roman"/>
          <w:snapToGrid/>
          <w:sz w:val="24"/>
          <w:szCs w:val="24"/>
          <w:lang w:val="en-US" w:eastAsia="zh-CN"/>
        </w:rPr>
        <w:t>强化市场驱动</w:t>
      </w:r>
      <w:r>
        <w:rPr>
          <w:rFonts w:hint="default" w:ascii="Times New Roman" w:hAnsi="Times New Roman" w:eastAsia="黑体" w:cs="Times New Roman"/>
          <w:sz w:val="24"/>
          <w:szCs w:val="24"/>
        </w:rPr>
        <w:tab/>
      </w: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PAGEREF _Toc22418 \h </w:instrText>
      </w:r>
      <w:r>
        <w:rPr>
          <w:rFonts w:hint="default" w:ascii="Times New Roman" w:hAnsi="Times New Roman" w:eastAsia="黑体" w:cs="Times New Roman"/>
          <w:sz w:val="24"/>
          <w:szCs w:val="24"/>
        </w:rPr>
        <w:fldChar w:fldCharType="separate"/>
      </w:r>
      <w:r>
        <w:rPr>
          <w:rFonts w:hint="default" w:ascii="Times New Roman" w:hAnsi="Times New Roman" w:eastAsia="黑体" w:cs="Times New Roman"/>
          <w:sz w:val="24"/>
          <w:szCs w:val="24"/>
        </w:rPr>
        <w:t>50</w:t>
      </w:r>
      <w:r>
        <w:rPr>
          <w:rFonts w:hint="default" w:ascii="Times New Roman" w:hAnsi="Times New Roman" w:eastAsia="黑体" w:cs="Times New Roman"/>
          <w:sz w:val="24"/>
          <w:szCs w:val="24"/>
        </w:rPr>
        <w:fldChar w:fldCharType="end"/>
      </w:r>
      <w:r>
        <w:rPr>
          <w:rFonts w:hint="default" w:ascii="Times New Roman" w:hAnsi="Times New Roman" w:eastAsia="黑体" w:cs="Times New Roman"/>
          <w:caps w:val="0"/>
          <w:snapToGrid/>
          <w:kern w:val="2"/>
          <w:sz w:val="24"/>
          <w:szCs w:val="24"/>
          <w:lang w:val="zh-CN"/>
        </w:rPr>
        <w:fldChar w:fldCharType="end"/>
      </w:r>
      <w:r>
        <w:rPr>
          <w:rFonts w:hint="default" w:ascii="Times New Roman" w:hAnsi="Times New Roman" w:eastAsia="黑体" w:cs="Times New Roman"/>
          <w:caps w:val="0"/>
          <w:snapToGrid/>
          <w:kern w:val="2"/>
          <w:szCs w:val="24"/>
          <w:lang w:val="zh-CN"/>
        </w:rPr>
        <w:fldChar w:fldCharType="end"/>
      </w:r>
      <w:bookmarkStart w:id="0" w:name="_Toc12283216"/>
      <w:bookmarkStart w:id="1" w:name="_Toc5663"/>
      <w:bookmarkStart w:id="2" w:name="_Toc27238"/>
    </w:p>
    <w:bookmarkEnd w:id="0"/>
    <w:bookmarkEnd w:id="1"/>
    <w:bookmarkEnd w:id="2"/>
    <w:p w14:paraId="3ADD613E">
      <w:pPr>
        <w:pStyle w:val="2"/>
        <w:keepNext/>
        <w:keepLines/>
        <w:pageBreakBefore/>
        <w:widowControl w:val="0"/>
        <w:kinsoku/>
        <w:wordWrap/>
        <w:overflowPunct/>
        <w:topLinePunct w:val="0"/>
        <w:autoSpaceDE/>
        <w:autoSpaceDN/>
        <w:bidi w:val="0"/>
        <w:adjustRightInd/>
        <w:snapToGrid/>
        <w:textAlignment w:val="auto"/>
        <w:rPr>
          <w:rFonts w:hint="default" w:ascii="Times New Roman" w:hAnsi="Times New Roman"/>
          <w:lang w:val="en-US" w:eastAsia="zh-CN"/>
        </w:rPr>
      </w:pPr>
      <w:bookmarkStart w:id="3" w:name="_Toc13926"/>
      <w:r>
        <w:rPr>
          <w:rFonts w:hint="eastAsia" w:ascii="Times New Roman" w:hAnsi="Times New Roman"/>
          <w:lang w:val="en-US" w:eastAsia="zh-CN"/>
        </w:rPr>
        <w:t>第一章 产业基础与发展形势</w:t>
      </w:r>
      <w:bookmarkEnd w:id="3"/>
    </w:p>
    <w:p w14:paraId="245D5F64">
      <w:pPr>
        <w:pStyle w:val="3"/>
        <w:rPr>
          <w:rFonts w:hint="default" w:ascii="Times New Roman" w:hAnsi="Times New Roman" w:eastAsia="黑体"/>
          <w:snapToGrid/>
          <w:lang w:val="en-US" w:eastAsia="zh-CN"/>
        </w:rPr>
      </w:pPr>
      <w:bookmarkStart w:id="4" w:name="_Toc32705"/>
      <w:bookmarkStart w:id="5" w:name="_Toc13170"/>
      <w:bookmarkStart w:id="6" w:name="_Toc16306"/>
      <w:bookmarkStart w:id="7" w:name="_Toc26355"/>
      <w:bookmarkStart w:id="8" w:name="_Toc9272"/>
      <w:r>
        <w:rPr>
          <w:rFonts w:hint="eastAsia" w:ascii="Times New Roman" w:hAnsi="Times New Roman"/>
          <w:snapToGrid/>
          <w:lang w:val="en-US" w:eastAsia="zh-CN"/>
        </w:rPr>
        <w:t>一</w:t>
      </w:r>
      <w:r>
        <w:rPr>
          <w:rFonts w:ascii="Times New Roman" w:hAnsi="Times New Roman"/>
          <w:snapToGrid/>
        </w:rPr>
        <w:t>、</w:t>
      </w:r>
      <w:r>
        <w:rPr>
          <w:rFonts w:hint="eastAsia" w:ascii="Times New Roman" w:hAnsi="Times New Roman"/>
          <w:snapToGrid/>
          <w:lang w:val="en-US" w:eastAsia="zh-CN"/>
        </w:rPr>
        <w:t>产业基础</w:t>
      </w:r>
      <w:bookmarkEnd w:id="4"/>
    </w:p>
    <w:p w14:paraId="51811F1D">
      <w:pPr>
        <w:pStyle w:val="183"/>
        <w:rPr>
          <w:rFonts w:hint="default" w:eastAsia="黑体"/>
          <w:lang w:val="en-US" w:eastAsia="zh-CN"/>
        </w:rPr>
      </w:pPr>
      <w:bookmarkStart w:id="9" w:name="_Toc11289"/>
      <w:bookmarkStart w:id="10" w:name="_Toc10114"/>
      <w:bookmarkStart w:id="11" w:name="_Toc2303"/>
      <w:r>
        <w:rPr>
          <w:rFonts w:ascii="Times New Roman" w:hAnsi="Times New Roman"/>
          <w:snapToGrid/>
        </w:rPr>
        <w:t>（一）</w:t>
      </w:r>
      <w:r>
        <w:rPr>
          <w:rFonts w:hint="eastAsia"/>
          <w:lang w:val="en-US" w:eastAsia="zh-CN"/>
        </w:rPr>
        <w:t>产业实力不断增强</w:t>
      </w:r>
      <w:bookmarkEnd w:id="5"/>
      <w:bookmarkEnd w:id="6"/>
      <w:bookmarkEnd w:id="7"/>
      <w:bookmarkEnd w:id="8"/>
      <w:bookmarkEnd w:id="9"/>
      <w:bookmarkEnd w:id="10"/>
      <w:bookmarkEnd w:id="11"/>
    </w:p>
    <w:p w14:paraId="1E538737">
      <w:pPr>
        <w:ind w:firstLine="600"/>
        <w:rPr>
          <w:rFonts w:hint="eastAsia" w:ascii="Times New Roman" w:hAnsi="Times New Roman"/>
          <w:snapToGrid/>
          <w:lang w:eastAsia="zh-CN"/>
        </w:rPr>
      </w:pPr>
      <w:r>
        <w:rPr>
          <w:rFonts w:hint="eastAsia" w:ascii="Times New Roman" w:hAnsi="Times New Roman"/>
          <w:snapToGrid/>
          <w:lang w:val="en-US" w:eastAsia="zh-CN"/>
        </w:rPr>
        <w:t>桃江县</w:t>
      </w:r>
      <w:r>
        <w:rPr>
          <w:rFonts w:hint="eastAsia" w:ascii="Times New Roman" w:hAnsi="Times New Roman"/>
          <w:snapToGrid/>
          <w:lang w:eastAsia="zh-CN"/>
        </w:rPr>
        <w:t>以绿色</w:t>
      </w:r>
      <w:r>
        <w:rPr>
          <w:rFonts w:hint="eastAsia" w:ascii="Times New Roman" w:hAnsi="Times New Roman"/>
          <w:snapToGrid/>
          <w:lang w:val="en-US" w:eastAsia="zh-CN"/>
        </w:rPr>
        <w:t>发展</w:t>
      </w:r>
      <w:r>
        <w:rPr>
          <w:rFonts w:hint="eastAsia" w:ascii="Times New Roman" w:hAnsi="Times New Roman"/>
          <w:snapToGrid/>
          <w:lang w:eastAsia="zh-CN"/>
        </w:rPr>
        <w:t>为导向，聚力实施绿色食品</w:t>
      </w:r>
      <w:bookmarkStart w:id="195" w:name="_GoBack"/>
      <w:bookmarkEnd w:id="195"/>
      <w:r>
        <w:rPr>
          <w:rFonts w:hint="eastAsia" w:ascii="Times New Roman" w:hAnsi="Times New Roman"/>
          <w:snapToGrid/>
          <w:lang w:eastAsia="zh-CN"/>
        </w:rPr>
        <w:t>产业链工程，以竹笋、茶叶、</w:t>
      </w:r>
      <w:r>
        <w:rPr>
          <w:rFonts w:hint="eastAsia" w:ascii="Times New Roman" w:hAnsi="Times New Roman"/>
          <w:snapToGrid/>
          <w:lang w:val="en-US" w:eastAsia="zh-CN"/>
        </w:rPr>
        <w:t>蔬菜、面条、</w:t>
      </w:r>
      <w:r>
        <w:rPr>
          <w:rFonts w:hint="eastAsia" w:ascii="Times New Roman" w:hAnsi="Times New Roman"/>
          <w:snapToGrid/>
          <w:lang w:eastAsia="zh-CN"/>
        </w:rPr>
        <w:t>桃江擂茶、</w:t>
      </w:r>
      <w:r>
        <w:rPr>
          <w:rFonts w:hint="eastAsia" w:ascii="Times New Roman" w:hAnsi="Times New Roman"/>
          <w:snapToGrid/>
          <w:lang w:val="en-US" w:eastAsia="zh-CN"/>
        </w:rPr>
        <w:t>藏香猪、鲊埠牛肉、龙虾、鳗鱼等</w:t>
      </w:r>
      <w:r>
        <w:rPr>
          <w:rFonts w:hint="eastAsia" w:ascii="Times New Roman" w:hAnsi="Times New Roman"/>
          <w:snapToGrid/>
          <w:lang w:eastAsia="zh-CN"/>
        </w:rPr>
        <w:t>地方特色产业为基础，大力发展竹笋、</w:t>
      </w:r>
      <w:r>
        <w:rPr>
          <w:rFonts w:hint="eastAsia" w:ascii="Times New Roman" w:hAnsi="Times New Roman"/>
          <w:snapToGrid/>
          <w:lang w:val="en-US" w:eastAsia="zh-CN"/>
        </w:rPr>
        <w:t>茶叶</w:t>
      </w:r>
      <w:r>
        <w:rPr>
          <w:rFonts w:hint="eastAsia" w:ascii="Times New Roman" w:hAnsi="Times New Roman"/>
          <w:snapToGrid/>
          <w:lang w:eastAsia="zh-CN"/>
        </w:rPr>
        <w:t>、</w:t>
      </w:r>
      <w:r>
        <w:rPr>
          <w:rFonts w:hint="eastAsia" w:ascii="Times New Roman" w:hAnsi="Times New Roman"/>
          <w:snapToGrid/>
          <w:lang w:val="en-US" w:eastAsia="zh-CN"/>
        </w:rPr>
        <w:t>蔬菜、</w:t>
      </w:r>
      <w:r>
        <w:rPr>
          <w:rFonts w:hint="eastAsia" w:ascii="Times New Roman" w:hAnsi="Times New Roman"/>
          <w:snapToGrid/>
          <w:lang w:eastAsia="zh-CN"/>
        </w:rPr>
        <w:t>修山面、</w:t>
      </w:r>
      <w:r>
        <w:rPr>
          <w:rFonts w:hint="eastAsia" w:ascii="Times New Roman" w:hAnsi="Times New Roman"/>
          <w:snapToGrid/>
          <w:lang w:val="en-US" w:eastAsia="zh-CN"/>
        </w:rPr>
        <w:t>竹泉米、生态养殖</w:t>
      </w:r>
      <w:r>
        <w:rPr>
          <w:rFonts w:hint="eastAsia" w:ascii="Times New Roman" w:hAnsi="Times New Roman"/>
          <w:snapToGrid/>
          <w:lang w:eastAsia="zh-CN"/>
        </w:rPr>
        <w:t>等优势产业，初步形成了功能齐全、布局合理的绿色发展格局。</w:t>
      </w:r>
      <w:r>
        <w:rPr>
          <w:rFonts w:hint="eastAsia" w:ascii="Times New Roman" w:hAnsi="Times New Roman"/>
          <w:snapToGrid/>
          <w:lang w:val="en-US" w:eastAsia="zh-CN"/>
        </w:rPr>
        <w:t>截至2023年底，桃江县农业产业化龙头企业已有国家级1家、省级10家、市级43家，农业产业化联合体有省级11家、市级17家，绿色食品产业产值超过60亿元</w:t>
      </w:r>
      <w:r>
        <w:rPr>
          <w:rFonts w:hint="eastAsia" w:ascii="Times New Roman" w:hAnsi="Times New Roman"/>
          <w:snapToGrid/>
          <w:lang w:eastAsia="zh-CN"/>
        </w:rPr>
        <w:t>。全县现有农业绿色先行区（基地）40家，桃江县现代农业核心示范区带动投资超20亿元，以该示范区为核心，竹笋、</w:t>
      </w:r>
      <w:r>
        <w:rPr>
          <w:rFonts w:hint="eastAsia" w:ascii="Times New Roman" w:hAnsi="Times New Roman"/>
          <w:snapToGrid/>
          <w:lang w:val="en-US" w:eastAsia="zh-CN"/>
        </w:rPr>
        <w:t>蔬菜、茶叶等</w:t>
      </w:r>
      <w:r>
        <w:rPr>
          <w:rFonts w:hint="eastAsia" w:ascii="Times New Roman" w:hAnsi="Times New Roman"/>
          <w:snapToGrid/>
          <w:lang w:eastAsia="zh-CN"/>
        </w:rPr>
        <w:t>产业</w:t>
      </w:r>
      <w:r>
        <w:rPr>
          <w:rFonts w:hint="eastAsia" w:ascii="Times New Roman" w:hAnsi="Times New Roman"/>
          <w:snapToGrid/>
          <w:lang w:val="en-US" w:eastAsia="zh-CN"/>
        </w:rPr>
        <w:t>不断发展壮大</w:t>
      </w:r>
      <w:r>
        <w:rPr>
          <w:rFonts w:hint="eastAsia" w:ascii="Times New Roman" w:hAnsi="Times New Roman"/>
          <w:snapToGrid/>
          <w:lang w:eastAsia="zh-CN"/>
        </w:rPr>
        <w:t>。</w:t>
      </w:r>
      <w:r>
        <w:rPr>
          <w:rFonts w:hint="eastAsia" w:ascii="Times New Roman" w:hAnsi="Times New Roman"/>
          <w:snapToGrid/>
          <w:lang w:val="en-US" w:eastAsia="zh-CN"/>
        </w:rPr>
        <w:t>截至2023年底，桃江有高产笋竹两用林12.4万亩，</w:t>
      </w:r>
      <w:r>
        <w:rPr>
          <w:rFonts w:hint="eastAsia" w:ascii="Times New Roman" w:hAnsi="Times New Roman"/>
          <w:snapToGrid/>
          <w:lang w:eastAsia="zh-CN"/>
        </w:rPr>
        <w:t>年产鲜笋5760万公斤、复水笋、清水笋约1920万公斤。</w:t>
      </w:r>
      <w:r>
        <w:rPr>
          <w:rFonts w:hint="eastAsia" w:ascii="Times New Roman" w:hAnsi="Times New Roman"/>
          <w:snapToGrid/>
          <w:kern w:val="2"/>
          <w:szCs w:val="28"/>
          <w:lang w:val="en-US" w:eastAsia="zh-CN"/>
        </w:rPr>
        <w:t>蔬菜播种面积30.7万亩，产量72.7万吨。茶园总面积8.09万亩，产量52071吨。</w:t>
      </w:r>
    </w:p>
    <w:p w14:paraId="6AD84837">
      <w:pPr>
        <w:pStyle w:val="183"/>
        <w:rPr>
          <w:rFonts w:hint="default" w:eastAsia="黑体"/>
          <w:lang w:val="en-US" w:eastAsia="zh-CN"/>
        </w:rPr>
      </w:pPr>
      <w:bookmarkStart w:id="12" w:name="_Toc14682"/>
      <w:bookmarkStart w:id="13" w:name="_Toc9750"/>
      <w:bookmarkStart w:id="14" w:name="_Toc8006"/>
      <w:bookmarkStart w:id="15" w:name="_Toc5230"/>
      <w:bookmarkStart w:id="16" w:name="_Toc905"/>
      <w:bookmarkStart w:id="17" w:name="_Toc7232"/>
      <w:bookmarkStart w:id="18" w:name="_Toc21947"/>
      <w:r>
        <w:rPr>
          <w:rFonts w:ascii="Times New Roman" w:hAnsi="Times New Roman"/>
          <w:snapToGrid/>
        </w:rPr>
        <w:t>（</w:t>
      </w:r>
      <w:r>
        <w:rPr>
          <w:rFonts w:hint="eastAsia"/>
          <w:snapToGrid/>
          <w:lang w:val="en-US" w:eastAsia="zh-CN"/>
        </w:rPr>
        <w:t>二</w:t>
      </w:r>
      <w:r>
        <w:rPr>
          <w:rFonts w:ascii="Times New Roman" w:hAnsi="Times New Roman"/>
          <w:snapToGrid/>
        </w:rPr>
        <w:t>）</w:t>
      </w:r>
      <w:r>
        <w:rPr>
          <w:rFonts w:hint="eastAsia"/>
          <w:lang w:val="en-US" w:eastAsia="zh-CN"/>
        </w:rPr>
        <w:t>产品品牌效应初显</w:t>
      </w:r>
      <w:bookmarkEnd w:id="12"/>
      <w:bookmarkEnd w:id="13"/>
      <w:bookmarkEnd w:id="14"/>
      <w:bookmarkEnd w:id="15"/>
      <w:bookmarkEnd w:id="16"/>
      <w:bookmarkEnd w:id="17"/>
      <w:bookmarkEnd w:id="18"/>
    </w:p>
    <w:p w14:paraId="0B3D1371">
      <w:pPr>
        <w:ind w:firstLine="600"/>
        <w:rPr>
          <w:rFonts w:hint="eastAsia" w:ascii="Times New Roman" w:hAnsi="Times New Roman"/>
          <w:b/>
          <w:bCs/>
          <w:snapToGrid/>
          <w:lang w:val="en-US" w:eastAsia="zh-CN"/>
        </w:rPr>
      </w:pPr>
      <w:r>
        <w:rPr>
          <w:rFonts w:hint="eastAsia" w:ascii="Times New Roman" w:hAnsi="Times New Roman"/>
          <w:snapToGrid/>
          <w:lang w:val="en-US" w:eastAsia="zh-CN"/>
        </w:rPr>
        <w:t>近年来，桃江</w:t>
      </w:r>
      <w:r>
        <w:rPr>
          <w:rFonts w:hint="eastAsia" w:ascii="Times New Roman" w:hAnsi="Times New Roman"/>
          <w:snapToGrid/>
          <w:lang w:eastAsia="zh-CN"/>
        </w:rPr>
        <w:t>不断健全绿色农产品标准体系，推广运用农产品追溯体系，提高市场认可度。</w:t>
      </w:r>
      <w:r>
        <w:rPr>
          <w:rFonts w:hint="eastAsia" w:ascii="Times New Roman" w:hAnsi="Times New Roman"/>
          <w:snapToGrid/>
          <w:lang w:val="en-US" w:eastAsia="zh-CN"/>
        </w:rPr>
        <w:t>截</w:t>
      </w:r>
      <w:r>
        <w:rPr>
          <w:rFonts w:hint="eastAsia" w:ascii="Times New Roman" w:hAnsi="Times New Roman"/>
          <w:snapToGrid/>
          <w:lang w:eastAsia="zh-CN"/>
        </w:rPr>
        <w:t>至202</w:t>
      </w:r>
      <w:r>
        <w:rPr>
          <w:rFonts w:hint="eastAsia" w:ascii="Times New Roman" w:hAnsi="Times New Roman"/>
          <w:snapToGrid/>
          <w:lang w:val="en-US" w:eastAsia="zh-CN"/>
        </w:rPr>
        <w:t>3</w:t>
      </w:r>
      <w:r>
        <w:rPr>
          <w:rFonts w:hint="eastAsia" w:ascii="Times New Roman" w:hAnsi="Times New Roman"/>
          <w:snapToGrid/>
          <w:lang w:eastAsia="zh-CN"/>
        </w:rPr>
        <w:t>年底，</w:t>
      </w:r>
      <w:r>
        <w:rPr>
          <w:rFonts w:hint="eastAsia" w:ascii="Times New Roman" w:hAnsi="Times New Roman"/>
          <w:snapToGrid/>
          <w:lang w:val="en-US" w:eastAsia="zh-CN"/>
        </w:rPr>
        <w:t>全县</w:t>
      </w:r>
      <w:r>
        <w:rPr>
          <w:rFonts w:hint="eastAsia" w:ascii="Times New Roman" w:hAnsi="Times New Roman"/>
          <w:snapToGrid/>
          <w:lang w:eastAsia="zh-CN"/>
        </w:rPr>
        <w:t>打造国家农产品区域公用品牌4个，绿色食品认证企业达20家，68个产品获证，认证总产量达25.05万吨。品种培优有序实施，产品品质稳定提高，品牌建设初见成效。突出抓好竹笋、茶叶、蔬菜“一特两辅”产业的“</w:t>
      </w:r>
      <w:r>
        <w:rPr>
          <w:rFonts w:hint="eastAsia" w:ascii="Times New Roman" w:hAnsi="Times New Roman"/>
          <w:snapToGrid/>
          <w:lang w:val="en-US" w:eastAsia="zh-CN"/>
        </w:rPr>
        <w:t>二</w:t>
      </w:r>
      <w:r>
        <w:rPr>
          <w:rFonts w:hint="eastAsia" w:ascii="Times New Roman" w:hAnsi="Times New Roman"/>
          <w:snapToGrid/>
          <w:lang w:eastAsia="zh-CN"/>
        </w:rPr>
        <w:t>品一标”“</w:t>
      </w:r>
      <w:r>
        <w:rPr>
          <w:rFonts w:hint="eastAsia" w:ascii="Times New Roman" w:hAnsi="Times New Roman"/>
          <w:snapToGrid/>
          <w:lang w:val="en-US" w:eastAsia="zh-CN"/>
        </w:rPr>
        <w:t>三品一标</w:t>
      </w:r>
      <w:r>
        <w:rPr>
          <w:rFonts w:hint="eastAsia" w:ascii="Times New Roman" w:hAnsi="Times New Roman"/>
          <w:snapToGrid/>
          <w:lang w:eastAsia="zh-CN"/>
        </w:rPr>
        <w:t>”（</w:t>
      </w:r>
      <w:r>
        <w:rPr>
          <w:rFonts w:hint="eastAsia" w:ascii="Times New Roman" w:hAnsi="Times New Roman"/>
          <w:snapToGrid/>
          <w:lang w:val="en-US" w:eastAsia="zh-CN"/>
        </w:rPr>
        <w:t>品质、品牌、品种、标准化生产</w:t>
      </w:r>
      <w:r>
        <w:rPr>
          <w:rFonts w:hint="eastAsia" w:ascii="Times New Roman" w:hAnsi="Times New Roman"/>
          <w:snapToGrid/>
          <w:lang w:eastAsia="zh-CN"/>
        </w:rPr>
        <w:t>）建设，“桃江竹笋”先后获评国家地理标志证明商标、国家农产品地理标志</w:t>
      </w:r>
      <w:r>
        <w:rPr>
          <w:rFonts w:hint="eastAsia" w:ascii="Times New Roman" w:hAnsi="Times New Roman"/>
          <w:snapToGrid/>
          <w:lang w:val="en-US" w:eastAsia="zh-CN"/>
        </w:rPr>
        <w:t>登记</w:t>
      </w:r>
      <w:r>
        <w:rPr>
          <w:rFonts w:hint="eastAsia" w:ascii="Times New Roman" w:hAnsi="Times New Roman"/>
          <w:snapToGrid/>
          <w:lang w:eastAsia="zh-CN"/>
        </w:rPr>
        <w:t>产品。“</w:t>
      </w:r>
      <w:r>
        <w:rPr>
          <w:rFonts w:hint="eastAsia" w:ascii="Times New Roman" w:hAnsi="Times New Roman"/>
          <w:snapToGrid/>
          <w:lang w:val="en-US" w:eastAsia="zh-CN"/>
        </w:rPr>
        <w:t>桃江绿茶</w:t>
      </w:r>
      <w:r>
        <w:rPr>
          <w:rFonts w:hint="eastAsia" w:ascii="Times New Roman" w:hAnsi="Times New Roman"/>
          <w:snapToGrid/>
          <w:lang w:eastAsia="zh-CN"/>
        </w:rPr>
        <w:t>”获评国家地理标志证明商标，“桃江</w:t>
      </w:r>
      <w:r>
        <w:rPr>
          <w:rFonts w:hint="eastAsia" w:ascii="Times New Roman" w:hAnsi="Times New Roman"/>
          <w:snapToGrid/>
          <w:lang w:val="en-US" w:eastAsia="zh-CN"/>
        </w:rPr>
        <w:t>竹叶</w:t>
      </w:r>
      <w:r>
        <w:rPr>
          <w:rFonts w:hint="eastAsia" w:ascii="Times New Roman" w:hAnsi="Times New Roman"/>
          <w:snapToGrid/>
          <w:lang w:eastAsia="zh-CN"/>
        </w:rPr>
        <w:t>”</w:t>
      </w:r>
      <w:r>
        <w:rPr>
          <w:rFonts w:hint="eastAsia" w:ascii="Times New Roman" w:hAnsi="Times New Roman"/>
          <w:snapToGrid/>
          <w:lang w:val="en-US" w:eastAsia="zh-CN"/>
        </w:rPr>
        <w:t>获评</w:t>
      </w:r>
      <w:r>
        <w:rPr>
          <w:rFonts w:hint="eastAsia" w:ascii="Times New Roman" w:hAnsi="Times New Roman"/>
          <w:snapToGrid/>
          <w:lang w:eastAsia="zh-CN"/>
        </w:rPr>
        <w:t>国家农产品地理标志</w:t>
      </w:r>
      <w:r>
        <w:rPr>
          <w:rFonts w:hint="eastAsia" w:ascii="Times New Roman" w:hAnsi="Times New Roman"/>
          <w:snapToGrid/>
          <w:lang w:val="en-US" w:eastAsia="zh-CN"/>
        </w:rPr>
        <w:t>登记</w:t>
      </w:r>
      <w:r>
        <w:rPr>
          <w:rFonts w:hint="eastAsia" w:ascii="Times New Roman" w:hAnsi="Times New Roman"/>
          <w:snapToGrid/>
          <w:lang w:eastAsia="zh-CN"/>
        </w:rPr>
        <w:t>产品。大力开展全产业链标准化试点建设，192家企业纳入食用农产品合格证管理，主要农产品监测合格率稳定在99%以上。标准化生产稳步推进，通过开展关键环节标准制度修订，建设现代农业全产业链标准化基地，带动了农业大规模标准化生产。</w:t>
      </w:r>
    </w:p>
    <w:p w14:paraId="4E4FCBFA">
      <w:pPr>
        <w:ind w:firstLine="0" w:firstLineChars="0"/>
        <w:jc w:val="center"/>
        <w:rPr>
          <w:rFonts w:hint="eastAsia" w:ascii="Times New Roman" w:hAnsi="Times New Roman" w:eastAsia="黑体"/>
          <w:snapToGrid/>
          <w:lang w:val="en-US" w:eastAsia="zh-CN"/>
        </w:rPr>
      </w:pPr>
      <w:r>
        <w:rPr>
          <w:rFonts w:ascii="Times New Roman" w:hAnsi="Times New Roman" w:eastAsia="黑体" w:cs="Times New Roman"/>
          <w:color w:val="000000" w:themeColor="text1"/>
          <w:sz w:val="24"/>
          <w14:textFill>
            <w14:solidFill>
              <w14:schemeClr w14:val="tx1"/>
            </w14:solidFill>
          </w14:textFill>
        </w:rPr>
        <w:t>表</w:t>
      </w:r>
      <w:r>
        <w:rPr>
          <w:rFonts w:hint="eastAsia" w:ascii="Times New Roman" w:hAnsi="Times New Roman" w:eastAsia="黑体" w:cs="Times New Roman"/>
          <w:color w:val="000000" w:themeColor="text1"/>
          <w:sz w:val="24"/>
          <w:lang w:val="en-US" w:eastAsia="zh-CN"/>
          <w14:textFill>
            <w14:solidFill>
              <w14:schemeClr w14:val="tx1"/>
            </w14:solidFill>
          </w14:textFill>
        </w:rPr>
        <w:t>1</w:t>
      </w:r>
      <w:r>
        <w:rPr>
          <w:rFonts w:ascii="Times New Roman" w:hAnsi="Times New Roman" w:eastAsia="黑体" w:cs="Times New Roman"/>
          <w:color w:val="000000" w:themeColor="text1"/>
          <w:sz w:val="24"/>
          <w14:textFill>
            <w14:solidFill>
              <w14:schemeClr w14:val="tx1"/>
            </w14:solidFill>
          </w14:textFill>
        </w:rPr>
        <w:t>.</w:t>
      </w:r>
      <w:r>
        <w:rPr>
          <w:rFonts w:hint="eastAsia" w:ascii="Times New Roman" w:hAnsi="Times New Roman" w:eastAsia="黑体" w:cs="Times New Roman"/>
          <w:color w:val="000000" w:themeColor="text1"/>
          <w:sz w:val="24"/>
          <w:lang w:val="en-US" w:eastAsia="zh-CN"/>
          <w14:textFill>
            <w14:solidFill>
              <w14:schemeClr w14:val="tx1"/>
            </w14:solidFill>
          </w14:textFill>
        </w:rPr>
        <w:t>1</w:t>
      </w:r>
      <w:r>
        <w:rPr>
          <w:rFonts w:ascii="Times New Roman" w:hAnsi="Times New Roman" w:eastAsia="黑体" w:cs="Times New Roman"/>
          <w:color w:val="000000" w:themeColor="text1"/>
          <w:sz w:val="24"/>
          <w14:textFill>
            <w14:solidFill>
              <w14:schemeClr w14:val="tx1"/>
            </w14:solidFill>
          </w14:textFill>
        </w:rPr>
        <w:t xml:space="preserve">-1 </w:t>
      </w:r>
      <w:r>
        <w:rPr>
          <w:rFonts w:hint="eastAsia" w:ascii="Times New Roman" w:hAnsi="Times New Roman" w:eastAsia="黑体" w:cs="Times New Roman"/>
          <w:color w:val="000000" w:themeColor="text1"/>
          <w:sz w:val="24"/>
          <w:lang w:val="en-US" w:eastAsia="zh-CN"/>
          <w14:textFill>
            <w14:solidFill>
              <w14:schemeClr w14:val="tx1"/>
            </w14:solidFill>
          </w14:textFill>
        </w:rPr>
        <w:t>桃江县食品生产企业获绿色食品认证名单</w:t>
      </w:r>
    </w:p>
    <w:tbl>
      <w:tblPr>
        <w:tblStyle w:val="34"/>
        <w:tblW w:w="99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31"/>
        <w:gridCol w:w="3404"/>
        <w:gridCol w:w="862"/>
        <w:gridCol w:w="638"/>
        <w:gridCol w:w="1200"/>
        <w:gridCol w:w="1143"/>
        <w:gridCol w:w="713"/>
        <w:gridCol w:w="675"/>
        <w:gridCol w:w="914"/>
      </w:tblGrid>
      <w:tr w14:paraId="63C5A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blHeader/>
          <w:jc w:val="center"/>
        </w:trPr>
        <w:tc>
          <w:tcPr>
            <w:tcW w:w="431" w:type="dxa"/>
            <w:tcBorders>
              <w:top w:val="single" w:color="000000" w:sz="4" w:space="0"/>
              <w:left w:val="single" w:color="000000" w:sz="4" w:space="0"/>
              <w:bottom w:val="single" w:color="000000" w:sz="4" w:space="0"/>
              <w:right w:val="single" w:color="000000" w:sz="4" w:space="0"/>
            </w:tcBorders>
            <w:shd w:val="clear" w:color="auto" w:fill="95B3D7" w:themeFill="accent1" w:themeFillTint="99"/>
            <w:vAlign w:val="center"/>
          </w:tcPr>
          <w:p w14:paraId="5C8361C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snapToGrid w:val="0"/>
                <w:color w:val="000000"/>
                <w:kern w:val="0"/>
                <w:sz w:val="21"/>
                <w:szCs w:val="21"/>
                <w:u w:val="none"/>
                <w:lang w:val="en-US" w:eastAsia="zh-CN" w:bidi="ar"/>
              </w:rPr>
              <w:t>序号</w:t>
            </w:r>
          </w:p>
        </w:tc>
        <w:tc>
          <w:tcPr>
            <w:tcW w:w="3404" w:type="dxa"/>
            <w:tcBorders>
              <w:top w:val="single" w:color="000000" w:sz="4" w:space="0"/>
              <w:left w:val="single" w:color="000000" w:sz="4" w:space="0"/>
              <w:bottom w:val="single" w:color="000000" w:sz="4" w:space="0"/>
              <w:right w:val="single" w:color="000000" w:sz="4" w:space="0"/>
            </w:tcBorders>
            <w:shd w:val="clear" w:color="auto" w:fill="95B3D7" w:themeFill="accent1" w:themeFillTint="99"/>
            <w:vAlign w:val="center"/>
          </w:tcPr>
          <w:p w14:paraId="37ADC92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snapToGrid w:val="0"/>
                <w:color w:val="000000"/>
                <w:kern w:val="0"/>
                <w:sz w:val="21"/>
                <w:szCs w:val="21"/>
                <w:u w:val="none"/>
                <w:lang w:val="en-US" w:eastAsia="zh-CN" w:bidi="ar"/>
              </w:rPr>
              <w:t>申请单位名称</w:t>
            </w:r>
          </w:p>
        </w:tc>
        <w:tc>
          <w:tcPr>
            <w:tcW w:w="862" w:type="dxa"/>
            <w:tcBorders>
              <w:top w:val="single" w:color="000000" w:sz="4" w:space="0"/>
              <w:left w:val="single" w:color="000000" w:sz="4" w:space="0"/>
              <w:bottom w:val="single" w:color="000000" w:sz="4" w:space="0"/>
              <w:right w:val="single" w:color="000000" w:sz="4" w:space="0"/>
            </w:tcBorders>
            <w:shd w:val="clear" w:color="auto" w:fill="95B3D7" w:themeFill="accent1" w:themeFillTint="99"/>
            <w:vAlign w:val="center"/>
          </w:tcPr>
          <w:p w14:paraId="01089BD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b/>
                <w:bCs/>
                <w:i w:val="0"/>
                <w:iCs w:val="0"/>
                <w:snapToGrid w:val="0"/>
                <w:color w:val="000000"/>
                <w:kern w:val="0"/>
                <w:sz w:val="21"/>
                <w:szCs w:val="21"/>
                <w:u w:val="none"/>
                <w:lang w:val="en-US" w:eastAsia="zh-CN" w:bidi="ar"/>
              </w:rPr>
            </w:pPr>
            <w:r>
              <w:rPr>
                <w:rFonts w:hint="default" w:ascii="Times New Roman" w:hAnsi="Times New Roman" w:eastAsia="仿宋" w:cs="Times New Roman"/>
                <w:b/>
                <w:bCs/>
                <w:i w:val="0"/>
                <w:iCs w:val="0"/>
                <w:snapToGrid w:val="0"/>
                <w:color w:val="000000"/>
                <w:kern w:val="0"/>
                <w:sz w:val="21"/>
                <w:szCs w:val="21"/>
                <w:u w:val="none"/>
                <w:lang w:val="en-US" w:eastAsia="zh-CN" w:bidi="ar"/>
              </w:rPr>
              <w:t>认证</w:t>
            </w:r>
          </w:p>
          <w:p w14:paraId="5ABFCE1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snapToGrid w:val="0"/>
                <w:color w:val="000000"/>
                <w:kern w:val="0"/>
                <w:sz w:val="21"/>
                <w:szCs w:val="21"/>
                <w:u w:val="none"/>
                <w:lang w:val="en-US" w:eastAsia="zh-CN" w:bidi="ar"/>
              </w:rPr>
              <w:t>产品</w:t>
            </w:r>
          </w:p>
        </w:tc>
        <w:tc>
          <w:tcPr>
            <w:tcW w:w="638" w:type="dxa"/>
            <w:tcBorders>
              <w:top w:val="single" w:color="000000" w:sz="4" w:space="0"/>
              <w:left w:val="single" w:color="000000" w:sz="4" w:space="0"/>
              <w:bottom w:val="single" w:color="000000" w:sz="4" w:space="0"/>
              <w:right w:val="single" w:color="000000" w:sz="4" w:space="0"/>
            </w:tcBorders>
            <w:shd w:val="clear" w:color="auto" w:fill="95B3D7" w:themeFill="accent1" w:themeFillTint="99"/>
            <w:vAlign w:val="center"/>
          </w:tcPr>
          <w:p w14:paraId="465DF2B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snapToGrid w:val="0"/>
                <w:color w:val="000000"/>
                <w:kern w:val="0"/>
                <w:sz w:val="21"/>
                <w:szCs w:val="21"/>
                <w:u w:val="none"/>
                <w:lang w:val="en-US" w:eastAsia="zh-CN" w:bidi="ar"/>
              </w:rPr>
              <w:t>产品数</w:t>
            </w:r>
          </w:p>
        </w:tc>
        <w:tc>
          <w:tcPr>
            <w:tcW w:w="1200" w:type="dxa"/>
            <w:tcBorders>
              <w:top w:val="single" w:color="000000" w:sz="4" w:space="0"/>
              <w:left w:val="single" w:color="000000" w:sz="4" w:space="0"/>
              <w:bottom w:val="single" w:color="000000" w:sz="4" w:space="0"/>
              <w:right w:val="single" w:color="000000" w:sz="4" w:space="0"/>
            </w:tcBorders>
            <w:shd w:val="clear" w:color="auto" w:fill="95B3D7" w:themeFill="accent1" w:themeFillTint="99"/>
            <w:vAlign w:val="center"/>
          </w:tcPr>
          <w:p w14:paraId="526F7DF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snapToGrid w:val="0"/>
                <w:color w:val="000000"/>
                <w:kern w:val="0"/>
                <w:sz w:val="21"/>
                <w:szCs w:val="21"/>
                <w:u w:val="none"/>
                <w:lang w:val="en-US" w:eastAsia="zh-CN" w:bidi="ar"/>
              </w:rPr>
              <w:t>认证产量（吨）</w:t>
            </w:r>
          </w:p>
        </w:tc>
        <w:tc>
          <w:tcPr>
            <w:tcW w:w="1143" w:type="dxa"/>
            <w:tcBorders>
              <w:top w:val="single" w:color="000000" w:sz="4" w:space="0"/>
              <w:left w:val="single" w:color="000000" w:sz="4" w:space="0"/>
              <w:bottom w:val="single" w:color="000000" w:sz="4" w:space="0"/>
              <w:right w:val="single" w:color="000000" w:sz="4" w:space="0"/>
            </w:tcBorders>
            <w:shd w:val="clear" w:color="auto" w:fill="95B3D7" w:themeFill="accent1" w:themeFillTint="99"/>
            <w:vAlign w:val="center"/>
          </w:tcPr>
          <w:p w14:paraId="7EE6326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snapToGrid w:val="0"/>
                <w:color w:val="000000"/>
                <w:kern w:val="0"/>
                <w:sz w:val="21"/>
                <w:szCs w:val="21"/>
                <w:u w:val="none"/>
                <w:lang w:val="en-US" w:eastAsia="zh-CN" w:bidi="ar"/>
              </w:rPr>
              <w:t>认证面积（亩）</w:t>
            </w:r>
          </w:p>
        </w:tc>
        <w:tc>
          <w:tcPr>
            <w:tcW w:w="713" w:type="dxa"/>
            <w:tcBorders>
              <w:top w:val="single" w:color="000000" w:sz="4" w:space="0"/>
              <w:left w:val="single" w:color="000000" w:sz="4" w:space="0"/>
              <w:bottom w:val="single" w:color="000000" w:sz="4" w:space="0"/>
              <w:right w:val="single" w:color="000000" w:sz="4" w:space="0"/>
            </w:tcBorders>
            <w:shd w:val="clear" w:color="auto" w:fill="95B3D7" w:themeFill="accent1" w:themeFillTint="99"/>
            <w:vAlign w:val="center"/>
          </w:tcPr>
          <w:p w14:paraId="3D2BC5B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b/>
                <w:bCs/>
                <w:i w:val="0"/>
                <w:iCs w:val="0"/>
                <w:snapToGrid w:val="0"/>
                <w:color w:val="000000"/>
                <w:kern w:val="0"/>
                <w:sz w:val="21"/>
                <w:szCs w:val="21"/>
                <w:u w:val="none"/>
                <w:lang w:val="en-US" w:eastAsia="zh-CN" w:bidi="ar"/>
              </w:rPr>
            </w:pPr>
            <w:r>
              <w:rPr>
                <w:rFonts w:hint="default" w:ascii="Times New Roman" w:hAnsi="Times New Roman" w:eastAsia="仿宋" w:cs="Times New Roman"/>
                <w:b/>
                <w:bCs/>
                <w:i w:val="0"/>
                <w:iCs w:val="0"/>
                <w:snapToGrid w:val="0"/>
                <w:color w:val="000000"/>
                <w:kern w:val="0"/>
                <w:sz w:val="21"/>
                <w:szCs w:val="21"/>
                <w:u w:val="none"/>
                <w:lang w:val="en-US" w:eastAsia="zh-CN" w:bidi="ar"/>
              </w:rPr>
              <w:t>认证</w:t>
            </w:r>
          </w:p>
          <w:p w14:paraId="3A31A6B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snapToGrid w:val="0"/>
                <w:color w:val="000000"/>
                <w:kern w:val="0"/>
                <w:sz w:val="21"/>
                <w:szCs w:val="21"/>
                <w:u w:val="none"/>
                <w:lang w:val="en-US" w:eastAsia="zh-CN" w:bidi="ar"/>
              </w:rPr>
              <w:t>类别</w:t>
            </w:r>
          </w:p>
        </w:tc>
        <w:tc>
          <w:tcPr>
            <w:tcW w:w="675" w:type="dxa"/>
            <w:tcBorders>
              <w:top w:val="single" w:color="000000" w:sz="4" w:space="0"/>
              <w:left w:val="single" w:color="000000" w:sz="4" w:space="0"/>
              <w:bottom w:val="single" w:color="000000" w:sz="4" w:space="0"/>
              <w:right w:val="single" w:color="000000" w:sz="4" w:space="0"/>
            </w:tcBorders>
            <w:shd w:val="clear" w:color="auto" w:fill="95B3D7" w:themeFill="accent1" w:themeFillTint="99"/>
            <w:vAlign w:val="center"/>
          </w:tcPr>
          <w:p w14:paraId="06A73E7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b/>
                <w:bCs/>
                <w:i w:val="0"/>
                <w:iCs w:val="0"/>
                <w:snapToGrid w:val="0"/>
                <w:color w:val="000000"/>
                <w:kern w:val="0"/>
                <w:sz w:val="21"/>
                <w:szCs w:val="21"/>
                <w:u w:val="none"/>
                <w:lang w:val="en-US" w:eastAsia="zh-CN" w:bidi="ar"/>
              </w:rPr>
            </w:pPr>
            <w:r>
              <w:rPr>
                <w:rFonts w:hint="default" w:ascii="Times New Roman" w:hAnsi="Times New Roman" w:eastAsia="仿宋" w:cs="Times New Roman"/>
                <w:b/>
                <w:bCs/>
                <w:i w:val="0"/>
                <w:iCs w:val="0"/>
                <w:snapToGrid w:val="0"/>
                <w:color w:val="000000"/>
                <w:kern w:val="0"/>
                <w:sz w:val="21"/>
                <w:szCs w:val="21"/>
                <w:u w:val="none"/>
                <w:lang w:val="en-US" w:eastAsia="zh-CN" w:bidi="ar"/>
              </w:rPr>
              <w:t>获证</w:t>
            </w:r>
          </w:p>
          <w:p w14:paraId="0A85824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snapToGrid w:val="0"/>
                <w:color w:val="000000"/>
                <w:kern w:val="0"/>
                <w:sz w:val="21"/>
                <w:szCs w:val="21"/>
                <w:u w:val="none"/>
                <w:lang w:val="en-US" w:eastAsia="zh-CN" w:bidi="ar"/>
              </w:rPr>
              <w:t>时间</w:t>
            </w:r>
          </w:p>
        </w:tc>
        <w:tc>
          <w:tcPr>
            <w:tcW w:w="914" w:type="dxa"/>
            <w:tcBorders>
              <w:top w:val="single" w:color="000000" w:sz="4" w:space="0"/>
              <w:left w:val="single" w:color="000000" w:sz="4" w:space="0"/>
              <w:bottom w:val="single" w:color="000000" w:sz="4" w:space="0"/>
              <w:right w:val="single" w:color="000000" w:sz="4" w:space="0"/>
            </w:tcBorders>
            <w:shd w:val="clear" w:color="auto" w:fill="95B3D7" w:themeFill="accent1" w:themeFillTint="99"/>
            <w:vAlign w:val="center"/>
          </w:tcPr>
          <w:p w14:paraId="255BA61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snapToGrid w:val="0"/>
                <w:color w:val="000000"/>
                <w:kern w:val="0"/>
                <w:sz w:val="21"/>
                <w:szCs w:val="21"/>
                <w:u w:val="none"/>
                <w:lang w:val="en-US" w:eastAsia="zh-CN" w:bidi="ar"/>
              </w:rPr>
              <w:t>备注</w:t>
            </w:r>
          </w:p>
        </w:tc>
      </w:tr>
      <w:tr w14:paraId="54F03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257C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cs="Times New Roman"/>
                <w:i w:val="0"/>
                <w:iCs w:val="0"/>
                <w:snapToGrid w:val="0"/>
                <w:color w:val="000000"/>
                <w:kern w:val="0"/>
                <w:sz w:val="21"/>
                <w:szCs w:val="21"/>
                <w:u w:val="none"/>
                <w:lang w:val="en-US" w:eastAsia="zh-CN" w:bidi="ar"/>
              </w:rPr>
              <w:t>1</w:t>
            </w:r>
          </w:p>
        </w:tc>
        <w:tc>
          <w:tcPr>
            <w:tcW w:w="3404" w:type="dxa"/>
            <w:tcBorders>
              <w:top w:val="single" w:color="000000" w:sz="4" w:space="0"/>
              <w:left w:val="single" w:color="000000" w:sz="4" w:space="0"/>
              <w:bottom w:val="single" w:color="000000" w:sz="4" w:space="0"/>
              <w:right w:val="nil"/>
            </w:tcBorders>
            <w:shd w:val="clear" w:color="auto" w:fill="auto"/>
            <w:noWrap/>
            <w:vAlign w:val="center"/>
          </w:tcPr>
          <w:p w14:paraId="7547CE2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桃江县竹缘林科开发有限公司</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BF74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竹笋</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AA49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3</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F74A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141000</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7399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80856</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F648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绿色</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BCF9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2017</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04D9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已获证</w:t>
            </w:r>
          </w:p>
        </w:tc>
      </w:tr>
      <w:tr w14:paraId="48846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C087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2</w:t>
            </w:r>
          </w:p>
        </w:tc>
        <w:tc>
          <w:tcPr>
            <w:tcW w:w="3404" w:type="dxa"/>
            <w:tcBorders>
              <w:top w:val="single" w:color="000000" w:sz="4" w:space="0"/>
              <w:left w:val="single" w:color="000000" w:sz="4" w:space="0"/>
              <w:bottom w:val="single" w:color="000000" w:sz="4" w:space="0"/>
              <w:right w:val="nil"/>
            </w:tcBorders>
            <w:shd w:val="clear" w:color="auto" w:fill="auto"/>
            <w:noWrap/>
            <w:vAlign w:val="center"/>
          </w:tcPr>
          <w:p w14:paraId="5820E46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桃江县裕林家庭农场有限公司</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4D74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竹笋</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FBFA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3</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826F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37006</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1F87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24270</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920A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绿色</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8BF7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2018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FFE2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已获证</w:t>
            </w:r>
          </w:p>
        </w:tc>
      </w:tr>
      <w:tr w14:paraId="131A1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1362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3</w:t>
            </w:r>
          </w:p>
        </w:tc>
        <w:tc>
          <w:tcPr>
            <w:tcW w:w="3404" w:type="dxa"/>
            <w:tcBorders>
              <w:top w:val="nil"/>
              <w:left w:val="nil"/>
              <w:bottom w:val="nil"/>
              <w:right w:val="nil"/>
            </w:tcBorders>
            <w:shd w:val="clear" w:color="auto" w:fill="auto"/>
            <w:noWrap/>
            <w:vAlign w:val="center"/>
          </w:tcPr>
          <w:p w14:paraId="515251B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桃江县诚信米业有限公司</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1802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大米</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426C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4</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E177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12110</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FD5D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3000</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0607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绿色</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5D47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2018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1F0D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已获证</w:t>
            </w:r>
          </w:p>
        </w:tc>
      </w:tr>
      <w:tr w14:paraId="2BCFF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1140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4</w:t>
            </w:r>
          </w:p>
        </w:tc>
        <w:tc>
          <w:tcPr>
            <w:tcW w:w="3404" w:type="dxa"/>
            <w:tcBorders>
              <w:top w:val="single" w:color="000000" w:sz="4" w:space="0"/>
              <w:left w:val="single" w:color="000000" w:sz="4" w:space="0"/>
              <w:bottom w:val="single" w:color="000000" w:sz="4" w:space="0"/>
              <w:right w:val="nil"/>
            </w:tcBorders>
            <w:shd w:val="clear" w:color="auto" w:fill="auto"/>
            <w:noWrap/>
            <w:vAlign w:val="center"/>
          </w:tcPr>
          <w:p w14:paraId="514AC9D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桃江县三农米业有限公司</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C651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大米</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BE59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4</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D7D7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5958</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FEF2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24051</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1F71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绿色</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BBC3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2019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64F0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已获证</w:t>
            </w:r>
          </w:p>
        </w:tc>
      </w:tr>
      <w:tr w14:paraId="1A9BA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1BDB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5</w:t>
            </w:r>
          </w:p>
        </w:tc>
        <w:tc>
          <w:tcPr>
            <w:tcW w:w="3404" w:type="dxa"/>
            <w:tcBorders>
              <w:top w:val="single" w:color="000000" w:sz="4" w:space="0"/>
              <w:left w:val="single" w:color="000000" w:sz="4" w:space="0"/>
              <w:bottom w:val="single" w:color="000000" w:sz="4" w:space="0"/>
              <w:right w:val="nil"/>
            </w:tcBorders>
            <w:shd w:val="clear" w:color="auto" w:fill="auto"/>
            <w:noWrap/>
            <w:vAlign w:val="center"/>
          </w:tcPr>
          <w:p w14:paraId="36C8A59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桃江县圣恩茶业有限公司</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391A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茶叶</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5B21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3</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8A6A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287</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675C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1530</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60B7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绿色</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A64F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2019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7C30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已获证</w:t>
            </w:r>
          </w:p>
        </w:tc>
      </w:tr>
      <w:tr w14:paraId="0E293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7011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6</w:t>
            </w:r>
          </w:p>
        </w:tc>
        <w:tc>
          <w:tcPr>
            <w:tcW w:w="3404" w:type="dxa"/>
            <w:tcBorders>
              <w:top w:val="nil"/>
              <w:left w:val="nil"/>
              <w:bottom w:val="nil"/>
              <w:right w:val="nil"/>
            </w:tcBorders>
            <w:shd w:val="clear" w:color="auto" w:fill="auto"/>
            <w:noWrap/>
            <w:vAlign w:val="center"/>
          </w:tcPr>
          <w:p w14:paraId="26B6939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桃江县先田智慧生态农业有限公司</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95C3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蔬菜</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3CDE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8</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0E69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1515</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F0CD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500</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A499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绿色</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9A55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2020</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93AA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已获证</w:t>
            </w:r>
          </w:p>
        </w:tc>
      </w:tr>
      <w:tr w14:paraId="68A1E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D948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7</w:t>
            </w:r>
          </w:p>
        </w:tc>
        <w:tc>
          <w:tcPr>
            <w:tcW w:w="3404" w:type="dxa"/>
            <w:tcBorders>
              <w:top w:val="single" w:color="000000" w:sz="4" w:space="0"/>
              <w:left w:val="single" w:color="000000" w:sz="4" w:space="0"/>
              <w:bottom w:val="single" w:color="000000" w:sz="4" w:space="0"/>
              <w:right w:val="nil"/>
            </w:tcBorders>
            <w:shd w:val="clear" w:color="auto" w:fill="auto"/>
            <w:noWrap/>
            <w:vAlign w:val="center"/>
          </w:tcPr>
          <w:p w14:paraId="3145D3F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桃江县憨哥竹笋专业合作社</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AEAE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竹笋</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AC74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49FD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564</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FF6D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1054</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81FC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绿色</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3471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2021</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242B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已获证</w:t>
            </w:r>
          </w:p>
        </w:tc>
      </w:tr>
      <w:tr w14:paraId="4267D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A398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8</w:t>
            </w:r>
          </w:p>
        </w:tc>
        <w:tc>
          <w:tcPr>
            <w:tcW w:w="3404" w:type="dxa"/>
            <w:tcBorders>
              <w:top w:val="single" w:color="000000" w:sz="4" w:space="0"/>
              <w:left w:val="single" w:color="000000" w:sz="4" w:space="0"/>
              <w:bottom w:val="single" w:color="000000" w:sz="4" w:space="0"/>
              <w:right w:val="nil"/>
            </w:tcBorders>
            <w:shd w:val="clear" w:color="auto" w:fill="auto"/>
            <w:noWrap/>
            <w:vAlign w:val="center"/>
          </w:tcPr>
          <w:p w14:paraId="58B39D7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湖南国泰农业开发有限公司</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8568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竹笋</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92A0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4</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2920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11200</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5BFD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8800</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149A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绿色</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7560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2021</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F306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已获证</w:t>
            </w:r>
          </w:p>
        </w:tc>
      </w:tr>
      <w:tr w14:paraId="44DA0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F130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9</w:t>
            </w:r>
          </w:p>
        </w:tc>
        <w:tc>
          <w:tcPr>
            <w:tcW w:w="3404" w:type="dxa"/>
            <w:tcBorders>
              <w:top w:val="nil"/>
              <w:left w:val="nil"/>
              <w:bottom w:val="nil"/>
              <w:right w:val="nil"/>
            </w:tcBorders>
            <w:shd w:val="clear" w:color="auto" w:fill="auto"/>
            <w:noWrap/>
            <w:vAlign w:val="center"/>
          </w:tcPr>
          <w:p w14:paraId="1EDD43E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桃江极野食品有限公司</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3B97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竹笋</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6E84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5</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7405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24100</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FD41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20100</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6949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绿色</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8E2D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2021</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DFCB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已获证</w:t>
            </w:r>
          </w:p>
        </w:tc>
      </w:tr>
      <w:tr w14:paraId="76981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E232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10</w:t>
            </w:r>
          </w:p>
        </w:tc>
        <w:tc>
          <w:tcPr>
            <w:tcW w:w="3404" w:type="dxa"/>
            <w:tcBorders>
              <w:top w:val="single" w:color="000000" w:sz="4" w:space="0"/>
              <w:left w:val="single" w:color="000000" w:sz="4" w:space="0"/>
              <w:bottom w:val="single" w:color="000000" w:sz="4" w:space="0"/>
              <w:right w:val="nil"/>
            </w:tcBorders>
            <w:shd w:val="clear" w:color="auto" w:fill="auto"/>
            <w:noWrap/>
            <w:vAlign w:val="center"/>
          </w:tcPr>
          <w:p w14:paraId="6BA3B36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桃江县佛座坳蔬菜种植专业合作社</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F07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蔬菜</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75D6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5</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D7C9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1496.75</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76D0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430.5</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5A0F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绿色</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EDAC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2021</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FBD3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已获证</w:t>
            </w:r>
          </w:p>
        </w:tc>
      </w:tr>
      <w:tr w14:paraId="534EC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42B8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11</w:t>
            </w:r>
          </w:p>
        </w:tc>
        <w:tc>
          <w:tcPr>
            <w:tcW w:w="3404" w:type="dxa"/>
            <w:tcBorders>
              <w:top w:val="single" w:color="000000" w:sz="4" w:space="0"/>
              <w:left w:val="single" w:color="000000" w:sz="4" w:space="0"/>
              <w:bottom w:val="single" w:color="auto" w:sz="4" w:space="0"/>
              <w:right w:val="nil"/>
            </w:tcBorders>
            <w:shd w:val="clear" w:color="auto" w:fill="auto"/>
            <w:noWrap/>
            <w:vAlign w:val="center"/>
          </w:tcPr>
          <w:p w14:paraId="3CA23B7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湖南乡里红食品开发有限公司</w:t>
            </w:r>
          </w:p>
        </w:tc>
        <w:tc>
          <w:tcPr>
            <w:tcW w:w="862"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1D9B6A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红薯粉</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CA89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3</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0C92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1312</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B90E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2625</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F956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绿色</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5725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2021</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D7A2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已获证</w:t>
            </w:r>
          </w:p>
        </w:tc>
      </w:tr>
      <w:tr w14:paraId="72349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31" w:type="dxa"/>
            <w:tcBorders>
              <w:top w:val="single" w:color="000000" w:sz="4" w:space="0"/>
              <w:left w:val="single" w:color="000000" w:sz="4" w:space="0"/>
              <w:bottom w:val="single" w:color="000000" w:sz="4" w:space="0"/>
              <w:right w:val="single" w:color="auto" w:sz="4" w:space="0"/>
            </w:tcBorders>
            <w:shd w:val="clear" w:color="auto" w:fill="auto"/>
            <w:vAlign w:val="center"/>
          </w:tcPr>
          <w:p w14:paraId="59E4FFD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12</w:t>
            </w:r>
          </w:p>
        </w:tc>
        <w:tc>
          <w:tcPr>
            <w:tcW w:w="3404" w:type="dxa"/>
            <w:tcBorders>
              <w:top w:val="single" w:color="auto" w:sz="4" w:space="0"/>
              <w:left w:val="single" w:color="auto" w:sz="4" w:space="0"/>
              <w:bottom w:val="single" w:color="auto" w:sz="4" w:space="0"/>
              <w:right w:val="nil"/>
            </w:tcBorders>
            <w:shd w:val="clear" w:color="auto" w:fill="auto"/>
            <w:noWrap/>
            <w:vAlign w:val="center"/>
          </w:tcPr>
          <w:p w14:paraId="3CF887A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桃江县亿阳仑生态食品有限公司</w:t>
            </w:r>
          </w:p>
        </w:tc>
        <w:tc>
          <w:tcPr>
            <w:tcW w:w="862" w:type="dxa"/>
            <w:tcBorders>
              <w:top w:val="single" w:color="auto" w:sz="4" w:space="0"/>
              <w:left w:val="single" w:color="000000" w:sz="4" w:space="0"/>
              <w:bottom w:val="single" w:color="auto" w:sz="4" w:space="0"/>
              <w:right w:val="single" w:color="auto" w:sz="4" w:space="0"/>
            </w:tcBorders>
            <w:shd w:val="clear" w:color="auto" w:fill="auto"/>
            <w:noWrap/>
            <w:vAlign w:val="center"/>
          </w:tcPr>
          <w:p w14:paraId="5A99123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竹笋</w:t>
            </w:r>
          </w:p>
        </w:tc>
        <w:tc>
          <w:tcPr>
            <w:tcW w:w="638"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48BD71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B006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7200</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6574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12600</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09EA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绿色</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E9FC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2021</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48E9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已获证</w:t>
            </w:r>
          </w:p>
        </w:tc>
      </w:tr>
      <w:tr w14:paraId="1424E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E315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13</w:t>
            </w:r>
          </w:p>
        </w:tc>
        <w:tc>
          <w:tcPr>
            <w:tcW w:w="3404" w:type="dxa"/>
            <w:tcBorders>
              <w:top w:val="single" w:color="auto" w:sz="4" w:space="0"/>
              <w:left w:val="single" w:color="000000" w:sz="4" w:space="0"/>
              <w:bottom w:val="single" w:color="000000" w:sz="4" w:space="0"/>
              <w:right w:val="nil"/>
            </w:tcBorders>
            <w:shd w:val="clear" w:color="auto" w:fill="auto"/>
            <w:noWrap/>
            <w:vAlign w:val="center"/>
          </w:tcPr>
          <w:p w14:paraId="4E54F5C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桃江县甘泉山茶叶专业合作社</w:t>
            </w:r>
          </w:p>
        </w:tc>
        <w:tc>
          <w:tcPr>
            <w:tcW w:w="862" w:type="dxa"/>
            <w:tcBorders>
              <w:top w:val="single" w:color="auto" w:sz="4" w:space="0"/>
              <w:left w:val="single" w:color="000000" w:sz="4" w:space="0"/>
              <w:bottom w:val="single" w:color="000000" w:sz="4" w:space="0"/>
              <w:right w:val="nil"/>
            </w:tcBorders>
            <w:shd w:val="clear" w:color="auto" w:fill="auto"/>
            <w:noWrap/>
            <w:vAlign w:val="center"/>
          </w:tcPr>
          <w:p w14:paraId="4911998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茶叶</w:t>
            </w:r>
          </w:p>
        </w:tc>
        <w:tc>
          <w:tcPr>
            <w:tcW w:w="638" w:type="dxa"/>
            <w:tcBorders>
              <w:top w:val="single" w:color="000000" w:sz="4" w:space="0"/>
              <w:left w:val="single" w:color="000000" w:sz="4" w:space="0"/>
              <w:bottom w:val="single" w:color="000000" w:sz="4" w:space="0"/>
              <w:right w:val="nil"/>
            </w:tcBorders>
            <w:shd w:val="clear" w:color="auto" w:fill="auto"/>
            <w:noWrap/>
            <w:vAlign w:val="center"/>
          </w:tcPr>
          <w:p w14:paraId="6C2261A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4</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C28D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226</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EEC0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1070</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ECCE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绿色</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741A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2022</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C46C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已获证</w:t>
            </w:r>
          </w:p>
        </w:tc>
      </w:tr>
      <w:tr w14:paraId="0904E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4C7E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14</w:t>
            </w:r>
          </w:p>
        </w:tc>
        <w:tc>
          <w:tcPr>
            <w:tcW w:w="3404" w:type="dxa"/>
            <w:tcBorders>
              <w:top w:val="single" w:color="000000" w:sz="4" w:space="0"/>
              <w:left w:val="single" w:color="000000" w:sz="4" w:space="0"/>
              <w:bottom w:val="single" w:color="000000" w:sz="4" w:space="0"/>
              <w:right w:val="nil"/>
            </w:tcBorders>
            <w:shd w:val="clear" w:color="auto" w:fill="auto"/>
            <w:noWrap/>
            <w:vAlign w:val="center"/>
          </w:tcPr>
          <w:p w14:paraId="2DE2572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桃江县鑫山立体种养专业合作社</w:t>
            </w:r>
          </w:p>
        </w:tc>
        <w:tc>
          <w:tcPr>
            <w:tcW w:w="862" w:type="dxa"/>
            <w:tcBorders>
              <w:top w:val="single" w:color="000000" w:sz="4" w:space="0"/>
              <w:left w:val="single" w:color="000000" w:sz="4" w:space="0"/>
              <w:bottom w:val="single" w:color="000000" w:sz="4" w:space="0"/>
              <w:right w:val="nil"/>
            </w:tcBorders>
            <w:shd w:val="clear" w:color="auto" w:fill="auto"/>
            <w:noWrap/>
            <w:vAlign w:val="center"/>
          </w:tcPr>
          <w:p w14:paraId="0869838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水果</w:t>
            </w:r>
          </w:p>
        </w:tc>
        <w:tc>
          <w:tcPr>
            <w:tcW w:w="638" w:type="dxa"/>
            <w:tcBorders>
              <w:top w:val="single" w:color="000000" w:sz="4" w:space="0"/>
              <w:left w:val="single" w:color="000000" w:sz="4" w:space="0"/>
              <w:bottom w:val="single" w:color="000000" w:sz="4" w:space="0"/>
              <w:right w:val="nil"/>
            </w:tcBorders>
            <w:shd w:val="clear" w:color="auto" w:fill="auto"/>
            <w:noWrap/>
            <w:vAlign w:val="center"/>
          </w:tcPr>
          <w:p w14:paraId="52F0EA3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C398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732</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1AD9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488</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4BFE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绿色</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6AB8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2022</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97C1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已获证</w:t>
            </w:r>
          </w:p>
        </w:tc>
      </w:tr>
      <w:tr w14:paraId="13E49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A931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15</w:t>
            </w:r>
          </w:p>
        </w:tc>
        <w:tc>
          <w:tcPr>
            <w:tcW w:w="3404" w:type="dxa"/>
            <w:tcBorders>
              <w:top w:val="single" w:color="000000" w:sz="4" w:space="0"/>
              <w:left w:val="single" w:color="000000" w:sz="4" w:space="0"/>
              <w:bottom w:val="single" w:color="000000" w:sz="4" w:space="0"/>
              <w:right w:val="nil"/>
            </w:tcBorders>
            <w:shd w:val="clear" w:color="auto" w:fill="auto"/>
            <w:noWrap/>
            <w:vAlign w:val="center"/>
          </w:tcPr>
          <w:p w14:paraId="17CEC26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桃江县民食竹笋有限公司</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D38E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竹笋</w:t>
            </w:r>
          </w:p>
        </w:tc>
        <w:tc>
          <w:tcPr>
            <w:tcW w:w="638" w:type="dxa"/>
            <w:tcBorders>
              <w:top w:val="single" w:color="000000" w:sz="4" w:space="0"/>
              <w:left w:val="single" w:color="000000" w:sz="4" w:space="0"/>
              <w:bottom w:val="single" w:color="000000" w:sz="4" w:space="0"/>
              <w:right w:val="nil"/>
            </w:tcBorders>
            <w:shd w:val="clear" w:color="auto" w:fill="auto"/>
            <w:noWrap/>
            <w:vAlign w:val="center"/>
          </w:tcPr>
          <w:p w14:paraId="289C683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FED9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1060</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2291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3313</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87D2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绿色</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4035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2022</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F380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已获证</w:t>
            </w:r>
          </w:p>
        </w:tc>
      </w:tr>
      <w:tr w14:paraId="711DA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6083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16</w:t>
            </w:r>
          </w:p>
        </w:tc>
        <w:tc>
          <w:tcPr>
            <w:tcW w:w="3404" w:type="dxa"/>
            <w:tcBorders>
              <w:top w:val="single" w:color="000000" w:sz="4" w:space="0"/>
              <w:left w:val="single" w:color="000000" w:sz="4" w:space="0"/>
              <w:bottom w:val="single" w:color="000000" w:sz="4" w:space="0"/>
              <w:right w:val="nil"/>
            </w:tcBorders>
            <w:shd w:val="clear" w:color="auto" w:fill="auto"/>
            <w:noWrap/>
            <w:vAlign w:val="center"/>
          </w:tcPr>
          <w:p w14:paraId="5D469FA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桃江县德天晟农业发展有限公司</w:t>
            </w:r>
          </w:p>
        </w:tc>
        <w:tc>
          <w:tcPr>
            <w:tcW w:w="862" w:type="dxa"/>
            <w:tcBorders>
              <w:top w:val="single" w:color="000000" w:sz="4" w:space="0"/>
              <w:left w:val="single" w:color="000000" w:sz="4" w:space="0"/>
              <w:bottom w:val="single" w:color="000000" w:sz="4" w:space="0"/>
              <w:right w:val="nil"/>
            </w:tcBorders>
            <w:shd w:val="clear" w:color="auto" w:fill="auto"/>
            <w:noWrap/>
            <w:vAlign w:val="center"/>
          </w:tcPr>
          <w:p w14:paraId="2FDC507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水果</w:t>
            </w:r>
          </w:p>
        </w:tc>
        <w:tc>
          <w:tcPr>
            <w:tcW w:w="638" w:type="dxa"/>
            <w:tcBorders>
              <w:top w:val="single" w:color="000000" w:sz="4" w:space="0"/>
              <w:left w:val="single" w:color="000000" w:sz="4" w:space="0"/>
              <w:bottom w:val="single" w:color="000000" w:sz="4" w:space="0"/>
              <w:right w:val="nil"/>
            </w:tcBorders>
            <w:shd w:val="clear" w:color="auto" w:fill="auto"/>
            <w:noWrap/>
            <w:vAlign w:val="center"/>
          </w:tcPr>
          <w:p w14:paraId="675B5B1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3</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A3B2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777</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F67A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518</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4130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绿色</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94A4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2022</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7810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已获证</w:t>
            </w:r>
          </w:p>
        </w:tc>
      </w:tr>
      <w:tr w14:paraId="72658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5F3F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17</w:t>
            </w:r>
          </w:p>
        </w:tc>
        <w:tc>
          <w:tcPr>
            <w:tcW w:w="3404" w:type="dxa"/>
            <w:tcBorders>
              <w:top w:val="single" w:color="000000" w:sz="4" w:space="0"/>
              <w:left w:val="single" w:color="000000" w:sz="4" w:space="0"/>
              <w:bottom w:val="single" w:color="000000" w:sz="4" w:space="0"/>
              <w:right w:val="nil"/>
            </w:tcBorders>
            <w:shd w:val="clear" w:color="auto" w:fill="auto"/>
            <w:noWrap/>
            <w:vAlign w:val="center"/>
          </w:tcPr>
          <w:p w14:paraId="085B491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桃江县裕华农产品有限公司</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C9FD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竹笋</w:t>
            </w:r>
          </w:p>
        </w:tc>
        <w:tc>
          <w:tcPr>
            <w:tcW w:w="638" w:type="dxa"/>
            <w:tcBorders>
              <w:top w:val="single" w:color="000000" w:sz="4" w:space="0"/>
              <w:left w:val="single" w:color="000000" w:sz="4" w:space="0"/>
              <w:bottom w:val="single" w:color="000000" w:sz="4" w:space="0"/>
              <w:right w:val="nil"/>
            </w:tcBorders>
            <w:shd w:val="clear" w:color="auto" w:fill="auto"/>
            <w:noWrap/>
            <w:vAlign w:val="center"/>
          </w:tcPr>
          <w:p w14:paraId="30E3E05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706E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1324</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CCA3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2000</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F11E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绿色</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0095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2023</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3276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已获证</w:t>
            </w:r>
          </w:p>
        </w:tc>
      </w:tr>
      <w:tr w14:paraId="3EFAC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DF0A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18</w:t>
            </w:r>
          </w:p>
        </w:tc>
        <w:tc>
          <w:tcPr>
            <w:tcW w:w="34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0A63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桃江县八方食品加工有限公司</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8E34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竹笋</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38C9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4</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5CDD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1350</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D3EE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4227.9</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1C87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绿色</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48D0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2023</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E40F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已获证</w:t>
            </w:r>
          </w:p>
        </w:tc>
      </w:tr>
      <w:tr w14:paraId="2ABF7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BBF3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19</w:t>
            </w:r>
          </w:p>
        </w:tc>
        <w:tc>
          <w:tcPr>
            <w:tcW w:w="34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6FA6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湖南盛通油业有限公司</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0831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菜籽油</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8DB8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7FC4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67.2</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7986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1280</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BAB9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绿色</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E810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2023</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3F81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已获证</w:t>
            </w:r>
          </w:p>
        </w:tc>
      </w:tr>
      <w:tr w14:paraId="4318F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EE67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20</w:t>
            </w:r>
          </w:p>
        </w:tc>
        <w:tc>
          <w:tcPr>
            <w:tcW w:w="34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05A6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桃江县万洲红蔬菜专业合作社</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3880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蔬菜</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C8A7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4</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EC5C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1220</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062B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308</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9586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绿色</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CE53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2023</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0A54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已获证</w:t>
            </w:r>
          </w:p>
        </w:tc>
      </w:tr>
      <w:tr w14:paraId="1195E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8C379">
            <w:pPr>
              <w:keepNext w:val="0"/>
              <w:keepLines w:val="0"/>
              <w:pageBreakBefore w:val="0"/>
              <w:widowControl/>
              <w:kinsoku/>
              <w:wordWrap/>
              <w:overflowPunct/>
              <w:topLinePunct w:val="0"/>
              <w:autoSpaceDE/>
              <w:autoSpaceDN/>
              <w:bidi w:val="0"/>
              <w:spacing w:line="240" w:lineRule="auto"/>
              <w:ind w:firstLine="0" w:firstLineChars="0"/>
              <w:rPr>
                <w:rFonts w:hint="default" w:ascii="Times New Roman" w:hAnsi="Times New Roman" w:eastAsia="仿宋" w:cs="Times New Roman"/>
                <w:i w:val="0"/>
                <w:iCs w:val="0"/>
                <w:color w:val="000000"/>
                <w:sz w:val="21"/>
                <w:szCs w:val="21"/>
                <w:u w:val="none"/>
              </w:rPr>
            </w:pPr>
          </w:p>
        </w:tc>
        <w:tc>
          <w:tcPr>
            <w:tcW w:w="34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FED5E">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仿宋" w:cs="Times New Roman"/>
                <w:i w:val="0"/>
                <w:iCs w:val="0"/>
                <w:color w:val="000000"/>
                <w:sz w:val="21"/>
                <w:szCs w:val="21"/>
                <w:u w:val="none"/>
                <w:lang w:val="en-US" w:eastAsia="zh-CN"/>
              </w:rPr>
            </w:pPr>
            <w:r>
              <w:rPr>
                <w:rFonts w:hint="default" w:ascii="Times New Roman" w:hAnsi="Times New Roman" w:eastAsia="仿宋" w:cs="Times New Roman"/>
                <w:i w:val="0"/>
                <w:iCs w:val="0"/>
                <w:color w:val="000000"/>
                <w:sz w:val="21"/>
                <w:szCs w:val="21"/>
                <w:u w:val="none"/>
                <w:lang w:val="en-US" w:eastAsia="zh-CN"/>
              </w:rPr>
              <w:t>合计</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84976">
            <w:pPr>
              <w:keepNext w:val="0"/>
              <w:keepLines w:val="0"/>
              <w:pageBreakBefore w:val="0"/>
              <w:widowControl/>
              <w:kinsoku/>
              <w:wordWrap/>
              <w:overflowPunct/>
              <w:topLinePunct w:val="0"/>
              <w:autoSpaceDE/>
              <w:autoSpaceDN/>
              <w:bidi w:val="0"/>
              <w:spacing w:line="240" w:lineRule="auto"/>
              <w:ind w:firstLine="0" w:firstLineChars="0"/>
              <w:rPr>
                <w:rFonts w:hint="default" w:ascii="Times New Roman" w:hAnsi="Times New Roman" w:eastAsia="仿宋" w:cs="Times New Roman"/>
                <w:i w:val="0"/>
                <w:iCs w:val="0"/>
                <w:color w:val="000000"/>
                <w:sz w:val="21"/>
                <w:szCs w:val="21"/>
                <w:u w:val="none"/>
              </w:rPr>
            </w:pP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05B1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68</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8EED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250504.95</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932E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193021.4</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EAB38">
            <w:pPr>
              <w:keepNext w:val="0"/>
              <w:keepLines w:val="0"/>
              <w:pageBreakBefore w:val="0"/>
              <w:widowControl/>
              <w:kinsoku/>
              <w:wordWrap/>
              <w:overflowPunct/>
              <w:topLinePunct w:val="0"/>
              <w:autoSpaceDE/>
              <w:autoSpaceDN/>
              <w:bidi w:val="0"/>
              <w:spacing w:line="240" w:lineRule="auto"/>
              <w:ind w:firstLine="0" w:firstLineChars="0"/>
              <w:rPr>
                <w:rFonts w:hint="default" w:ascii="Times New Roman" w:hAnsi="Times New Roman" w:eastAsia="仿宋" w:cs="Times New Roman"/>
                <w:i w:val="0"/>
                <w:iCs w:val="0"/>
                <w:color w:val="000000"/>
                <w:sz w:val="21"/>
                <w:szCs w:val="21"/>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133E4">
            <w:pPr>
              <w:keepNext w:val="0"/>
              <w:keepLines w:val="0"/>
              <w:pageBreakBefore w:val="0"/>
              <w:widowControl/>
              <w:kinsoku/>
              <w:wordWrap/>
              <w:overflowPunct/>
              <w:topLinePunct w:val="0"/>
              <w:autoSpaceDE/>
              <w:autoSpaceDN/>
              <w:bidi w:val="0"/>
              <w:spacing w:line="240" w:lineRule="auto"/>
              <w:ind w:firstLine="0" w:firstLineChars="0"/>
              <w:rPr>
                <w:rFonts w:hint="default" w:ascii="Times New Roman" w:hAnsi="Times New Roman" w:eastAsia="仿宋" w:cs="Times New Roman"/>
                <w:i w:val="0"/>
                <w:iCs w:val="0"/>
                <w:color w:val="000000"/>
                <w:sz w:val="21"/>
                <w:szCs w:val="21"/>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34263">
            <w:pPr>
              <w:keepNext w:val="0"/>
              <w:keepLines w:val="0"/>
              <w:pageBreakBefore w:val="0"/>
              <w:widowControl/>
              <w:kinsoku/>
              <w:wordWrap/>
              <w:overflowPunct/>
              <w:topLinePunct w:val="0"/>
              <w:autoSpaceDE/>
              <w:autoSpaceDN/>
              <w:bidi w:val="0"/>
              <w:spacing w:line="240" w:lineRule="auto"/>
              <w:ind w:firstLine="0" w:firstLineChars="0"/>
              <w:rPr>
                <w:rFonts w:hint="default" w:ascii="Times New Roman" w:hAnsi="Times New Roman" w:eastAsia="仿宋" w:cs="Times New Roman"/>
                <w:i w:val="0"/>
                <w:iCs w:val="0"/>
                <w:color w:val="000000"/>
                <w:sz w:val="21"/>
                <w:szCs w:val="21"/>
                <w:u w:val="none"/>
              </w:rPr>
            </w:pPr>
          </w:p>
        </w:tc>
      </w:tr>
    </w:tbl>
    <w:p w14:paraId="394547EE">
      <w:pPr>
        <w:pStyle w:val="183"/>
        <w:rPr>
          <w:rFonts w:hint="default" w:eastAsia="黑体"/>
          <w:lang w:val="en-US" w:eastAsia="zh-CN"/>
        </w:rPr>
      </w:pPr>
      <w:bookmarkStart w:id="19" w:name="_Toc5172"/>
      <w:bookmarkStart w:id="20" w:name="_Toc11058"/>
      <w:bookmarkStart w:id="21" w:name="_Toc24941"/>
      <w:bookmarkStart w:id="22" w:name="_Toc12240"/>
      <w:bookmarkStart w:id="23" w:name="_Toc24735"/>
      <w:bookmarkStart w:id="24" w:name="_Toc30989"/>
      <w:bookmarkStart w:id="25" w:name="_Toc29024"/>
      <w:r>
        <w:rPr>
          <w:rFonts w:ascii="Times New Roman" w:hAnsi="Times New Roman"/>
          <w:snapToGrid/>
        </w:rPr>
        <w:t>（</w:t>
      </w:r>
      <w:r>
        <w:rPr>
          <w:rFonts w:hint="eastAsia"/>
          <w:snapToGrid/>
          <w:lang w:val="en-US" w:eastAsia="zh-CN"/>
        </w:rPr>
        <w:t>三</w:t>
      </w:r>
      <w:r>
        <w:rPr>
          <w:rFonts w:ascii="Times New Roman" w:hAnsi="Times New Roman"/>
          <w:snapToGrid/>
        </w:rPr>
        <w:t>）</w:t>
      </w:r>
      <w:r>
        <w:rPr>
          <w:rFonts w:hint="eastAsia"/>
          <w:snapToGrid/>
          <w:lang w:val="en-US" w:eastAsia="zh-CN"/>
        </w:rPr>
        <w:t>创新发展</w:t>
      </w:r>
      <w:r>
        <w:rPr>
          <w:rFonts w:hint="eastAsia"/>
          <w:lang w:val="en-US" w:eastAsia="zh-CN"/>
        </w:rPr>
        <w:t>不断突破</w:t>
      </w:r>
      <w:bookmarkEnd w:id="19"/>
      <w:bookmarkEnd w:id="20"/>
      <w:bookmarkEnd w:id="21"/>
      <w:bookmarkEnd w:id="22"/>
      <w:bookmarkEnd w:id="23"/>
      <w:bookmarkEnd w:id="24"/>
      <w:bookmarkEnd w:id="25"/>
    </w:p>
    <w:p w14:paraId="11F04E1A">
      <w:pPr>
        <w:ind w:firstLine="600"/>
        <w:rPr>
          <w:rFonts w:hint="eastAsia" w:ascii="Times New Roman" w:hAnsi="Times New Roman"/>
          <w:snapToGrid/>
          <w:lang w:eastAsia="zh-CN"/>
        </w:rPr>
      </w:pPr>
      <w:r>
        <w:rPr>
          <w:rFonts w:hint="eastAsia" w:ascii="Times New Roman" w:hAnsi="Times New Roman"/>
          <w:snapToGrid/>
          <w:lang w:val="en-US" w:eastAsia="zh-CN"/>
        </w:rPr>
        <w:t>打造绿色科创平台。</w:t>
      </w:r>
      <w:r>
        <w:rPr>
          <w:rFonts w:hint="eastAsia" w:ascii="Times New Roman" w:hAnsi="Times New Roman"/>
          <w:snapToGrid/>
          <w:lang w:eastAsia="zh-CN"/>
        </w:rPr>
        <w:t>成立了绿色种养循环农业项目示范县创建专家组等技术支撑团队，并与湖南农业大学、湖南省水稻研究所等科研院所签订了相关产学研合作协议，搭建了生态稻米产业研发平台、桃江竹笋产业研发平台等科创平台，为农业绿色发展提供了有力科技支撑。探索绿色技术模式。形成了较为成熟的农业绿色循环发展技术模式，比如水稻</w:t>
      </w:r>
      <w:r>
        <w:rPr>
          <w:rFonts w:hint="eastAsia" w:ascii="仿宋" w:hAnsi="仿宋" w:eastAsia="仿宋" w:cs="仿宋"/>
          <w:snapToGrid/>
          <w:lang w:eastAsia="zh-CN"/>
        </w:rPr>
        <w:t>“配方肥＋粪肥（商品有机肥、堆肥、沼液）”、蔬菜“粪肥＋水肥一体化</w:t>
      </w:r>
      <w:r>
        <w:rPr>
          <w:rFonts w:hint="eastAsia" w:ascii="仿宋" w:hAnsi="仿宋" w:cs="仿宋"/>
          <w:snapToGrid/>
          <w:lang w:eastAsia="zh-CN"/>
        </w:rPr>
        <w:t>”“</w:t>
      </w:r>
      <w:r>
        <w:rPr>
          <w:rFonts w:hint="eastAsia" w:ascii="仿宋" w:hAnsi="仿宋" w:eastAsia="仿宋" w:cs="仿宋"/>
          <w:snapToGrid/>
          <w:lang w:eastAsia="zh-CN"/>
        </w:rPr>
        <w:t>畜—沼—果（茶）”</w:t>
      </w:r>
      <w:r>
        <w:rPr>
          <w:rFonts w:hint="eastAsia" w:ascii="Times New Roman" w:hAnsi="Times New Roman"/>
          <w:snapToGrid/>
          <w:lang w:eastAsia="zh-CN"/>
        </w:rPr>
        <w:t>等模式，农产品质量和农业可持续发展水平不断提高。推广绿色生产技术。大力支持农民合作社、农业服务企业发展，推动绿色生产技术在新型农业经营主体和农业社会化服务组织中广泛应用。</w:t>
      </w:r>
    </w:p>
    <w:p w14:paraId="7B59648F">
      <w:pPr>
        <w:pStyle w:val="3"/>
        <w:numPr>
          <w:ilvl w:val="0"/>
          <w:numId w:val="1"/>
        </w:numPr>
        <w:rPr>
          <w:rFonts w:hint="eastAsia" w:ascii="Times New Roman" w:hAnsi="Times New Roman"/>
          <w:snapToGrid/>
          <w:lang w:val="en-US" w:eastAsia="zh-CN"/>
        </w:rPr>
      </w:pPr>
      <w:bookmarkStart w:id="26" w:name="_Toc377"/>
      <w:r>
        <w:rPr>
          <w:rFonts w:hint="eastAsia" w:ascii="Times New Roman" w:hAnsi="Times New Roman"/>
          <w:snapToGrid/>
          <w:lang w:val="en-US" w:eastAsia="zh-CN"/>
        </w:rPr>
        <w:t>发展优势</w:t>
      </w:r>
      <w:bookmarkEnd w:id="26"/>
    </w:p>
    <w:p w14:paraId="20981EC0">
      <w:pPr>
        <w:pStyle w:val="183"/>
        <w:rPr>
          <w:rFonts w:hint="default" w:eastAsia="黑体"/>
          <w:lang w:val="en-US" w:eastAsia="zh-CN"/>
        </w:rPr>
      </w:pPr>
      <w:bookmarkStart w:id="27" w:name="_Toc9892"/>
      <w:bookmarkStart w:id="28" w:name="_Toc23527"/>
      <w:bookmarkStart w:id="29" w:name="_Toc28156"/>
      <w:r>
        <w:rPr>
          <w:rFonts w:ascii="Times New Roman" w:hAnsi="Times New Roman"/>
          <w:snapToGrid/>
        </w:rPr>
        <w:t>（一）</w:t>
      </w:r>
      <w:r>
        <w:rPr>
          <w:rFonts w:hint="eastAsia"/>
          <w:lang w:val="en-US" w:eastAsia="zh-CN"/>
        </w:rPr>
        <w:t>区位交通优势</w:t>
      </w:r>
      <w:bookmarkEnd w:id="27"/>
      <w:bookmarkEnd w:id="28"/>
      <w:bookmarkEnd w:id="29"/>
    </w:p>
    <w:p w14:paraId="1921FE70">
      <w:pPr>
        <w:ind w:firstLine="600"/>
        <w:rPr>
          <w:rFonts w:hint="eastAsia" w:ascii="Times New Roman" w:hAnsi="Times New Roman"/>
          <w:snapToGrid/>
          <w:lang w:val="en-US" w:eastAsia="zh-CN"/>
        </w:rPr>
      </w:pPr>
      <w:r>
        <w:rPr>
          <w:rFonts w:hint="eastAsia" w:ascii="Times New Roman" w:hAnsi="Times New Roman"/>
          <w:snapToGrid/>
          <w:lang w:val="en-US" w:eastAsia="zh-CN"/>
        </w:rPr>
        <w:t>桃江县地处湘中偏北，位于长江开放经济带和京广城镇发展轴上，是“3+5”环长株潭城市群的重要组成，渝长厦发展轴与呼南城镇发展轴交点，也是益沅桃城镇群次中心和山区经济翼的东部门户节点城市，在长沙、岳阳一小时交通圈内，距离益阳高铁南站仅20分钟车程，县城千吨级码头经资江入洞庭通江达海，洛湛铁路、石长铁路、渝长厦高铁穿境而过；3条国道（G207、G234、G536）、4条高速（G55二广、S20平洞、S71益娄、S7101益阳南线绕城）、6条省道（S223、S225、S319、S321、S538、S541）横贯东西、辐射八方，形成优势凸显的交通大格局，有利于集聚绿色食品领域创新资源、高层次人才、高科技项目等高端要素。</w:t>
      </w:r>
    </w:p>
    <w:p w14:paraId="664CAFCC">
      <w:pPr>
        <w:pStyle w:val="183"/>
        <w:rPr>
          <w:rFonts w:hint="default" w:ascii="Times New Roman" w:hAnsi="Times New Roman"/>
          <w:snapToGrid/>
          <w:lang w:val="en-US" w:eastAsia="zh-CN"/>
        </w:rPr>
      </w:pPr>
      <w:bookmarkStart w:id="30" w:name="_Toc4766"/>
      <w:bookmarkStart w:id="31" w:name="_Toc28331"/>
      <w:bookmarkStart w:id="32" w:name="_Toc1676"/>
      <w:r>
        <w:rPr>
          <w:rFonts w:ascii="Times New Roman" w:hAnsi="Times New Roman"/>
          <w:snapToGrid/>
        </w:rPr>
        <w:t>（</w:t>
      </w:r>
      <w:r>
        <w:rPr>
          <w:rFonts w:hint="eastAsia" w:ascii="Times New Roman" w:hAnsi="Times New Roman"/>
          <w:snapToGrid/>
          <w:lang w:val="en-US" w:eastAsia="zh-CN"/>
        </w:rPr>
        <w:t>二</w:t>
      </w:r>
      <w:r>
        <w:rPr>
          <w:rFonts w:ascii="Times New Roman" w:hAnsi="Times New Roman"/>
          <w:snapToGrid/>
        </w:rPr>
        <w:t>）</w:t>
      </w:r>
      <w:r>
        <w:rPr>
          <w:rFonts w:hint="eastAsia" w:ascii="Times New Roman" w:hAnsi="Times New Roman"/>
          <w:snapToGrid/>
          <w:lang w:val="en-US" w:eastAsia="zh-CN"/>
        </w:rPr>
        <w:t>农业资源优势</w:t>
      </w:r>
      <w:bookmarkEnd w:id="30"/>
      <w:bookmarkEnd w:id="31"/>
      <w:bookmarkEnd w:id="32"/>
    </w:p>
    <w:p w14:paraId="00147ED0">
      <w:pPr>
        <w:ind w:firstLine="600"/>
        <w:rPr>
          <w:rFonts w:hint="eastAsia" w:ascii="Times New Roman" w:hAnsi="Times New Roman"/>
          <w:snapToGrid/>
          <w:kern w:val="2"/>
          <w:szCs w:val="28"/>
          <w:lang w:eastAsia="zh-CN"/>
        </w:rPr>
      </w:pPr>
      <w:r>
        <w:rPr>
          <w:rFonts w:hint="eastAsia" w:ascii="Times New Roman" w:hAnsi="Times New Roman"/>
          <w:snapToGrid/>
          <w:lang w:val="en-US" w:eastAsia="zh-CN"/>
        </w:rPr>
        <w:t>桃江县农业资源丰富，是“全国生猪调出大县”“全国产粮大县”“全国油茶林示范基地建设县”“中国竹子之乡”“全国竹产业工作先进单位”“全国竹产业示范县”“国家（桃江）楠竹产业示范园区”“全国渔业平安示范县”“全国渔业绿色循环发展试点县”。</w:t>
      </w:r>
      <w:r>
        <w:rPr>
          <w:rFonts w:hint="eastAsia" w:ascii="Times New Roman" w:hAnsi="Times New Roman" w:eastAsia="仿宋_GB2312" w:cs="Times New Roman"/>
          <w:sz w:val="32"/>
          <w:szCs w:val="32"/>
          <w:lang w:val="en-US" w:eastAsia="zh-CN"/>
        </w:rPr>
        <w:t>2023年，</w:t>
      </w:r>
      <w:r>
        <w:rPr>
          <w:rFonts w:hint="eastAsia" w:ascii="Times New Roman" w:hAnsi="Times New Roman"/>
          <w:snapToGrid/>
          <w:kern w:val="2"/>
          <w:szCs w:val="28"/>
          <w:lang w:val="en-US" w:eastAsia="zh-CN"/>
        </w:rPr>
        <w:t>桃江全年粮食种植面积88.4万亩，粮食总产量36.81万吨，同比增长2.3%，油菜种植面积30.73万亩，油菜籽产量35626.27吨，同比增长4%。肉类总产量5.74万吨，增长16.2%；出栏生猪65.21万头，下降3.1%，水产品总产量14577吨，增长4.2%。</w:t>
      </w:r>
      <w:r>
        <w:rPr>
          <w:rFonts w:hint="eastAsia" w:ascii="Times New Roman" w:hAnsi="Times New Roman"/>
          <w:snapToGrid/>
          <w:lang w:val="en-US" w:eastAsia="zh-CN"/>
        </w:rPr>
        <w:t>桃江县拥有楠竹115万亩，居全国第三，湖南第一</w:t>
      </w:r>
      <w:r>
        <w:rPr>
          <w:rFonts w:hint="eastAsia" w:ascii="等线" w:hAnsi="等线" w:eastAsia="仿宋" w:cs="Times New Roman"/>
          <w:kern w:val="2"/>
          <w:sz w:val="28"/>
          <w:szCs w:val="22"/>
          <w:lang w:val="en-US" w:eastAsia="zh-CN" w:bidi="ar-SA"/>
          <w14:ligatures w14:val="none"/>
        </w:rPr>
        <w:t>，是湖南省竹产业第一县</w:t>
      </w:r>
      <w:r>
        <w:rPr>
          <w:rFonts w:hint="eastAsia" w:ascii="Times New Roman" w:hAnsi="Times New Roman"/>
          <w:snapToGrid/>
          <w:lang w:val="en-US" w:eastAsia="zh-CN"/>
        </w:rPr>
        <w:t>。此外，修山面、桃花江擂茶、全笋宴、武潭鱼、全牛宴、鲊埠牛肉等桃江特色食品香飘四海。</w:t>
      </w:r>
    </w:p>
    <w:p w14:paraId="003401AF">
      <w:pPr>
        <w:pStyle w:val="183"/>
        <w:rPr>
          <w:rFonts w:hint="default" w:ascii="Times New Roman" w:hAnsi="Times New Roman"/>
          <w:snapToGrid/>
          <w:lang w:val="en-US" w:eastAsia="zh-CN"/>
        </w:rPr>
      </w:pPr>
      <w:bookmarkStart w:id="33" w:name="_Toc5188"/>
      <w:bookmarkStart w:id="34" w:name="_Toc26021"/>
      <w:bookmarkStart w:id="35" w:name="_Toc13471"/>
      <w:r>
        <w:rPr>
          <w:rFonts w:ascii="Times New Roman" w:hAnsi="Times New Roman"/>
          <w:snapToGrid/>
        </w:rPr>
        <w:t>（</w:t>
      </w:r>
      <w:r>
        <w:rPr>
          <w:rFonts w:hint="eastAsia" w:ascii="Times New Roman" w:hAnsi="Times New Roman"/>
          <w:snapToGrid/>
          <w:lang w:val="en-US" w:eastAsia="zh-CN"/>
        </w:rPr>
        <w:t>三</w:t>
      </w:r>
      <w:r>
        <w:rPr>
          <w:rFonts w:ascii="Times New Roman" w:hAnsi="Times New Roman"/>
          <w:snapToGrid/>
        </w:rPr>
        <w:t>）</w:t>
      </w:r>
      <w:r>
        <w:rPr>
          <w:rFonts w:hint="eastAsia" w:ascii="Times New Roman" w:hAnsi="Times New Roman"/>
          <w:snapToGrid/>
          <w:lang w:val="en-US" w:eastAsia="zh-CN"/>
        </w:rPr>
        <w:t>绿色防控优势</w:t>
      </w:r>
      <w:bookmarkEnd w:id="33"/>
      <w:bookmarkEnd w:id="34"/>
      <w:bookmarkEnd w:id="35"/>
    </w:p>
    <w:p w14:paraId="6D6E7BDB">
      <w:pPr>
        <w:ind w:firstLine="600"/>
        <w:rPr>
          <w:rFonts w:hint="eastAsia" w:ascii="Times New Roman" w:hAnsi="Times New Roman" w:cs="Times New Roman"/>
          <w:snapToGrid/>
          <w:lang w:val="en-US" w:eastAsia="zh-CN"/>
        </w:rPr>
      </w:pPr>
      <w:r>
        <w:rPr>
          <w:rFonts w:hint="eastAsia" w:ascii="Times New Roman" w:hAnsi="Times New Roman"/>
          <w:snapToGrid/>
          <w:lang w:eastAsia="zh-CN"/>
        </w:rPr>
        <w:t>技术与品牌相结合推动竹泉米、</w:t>
      </w:r>
      <w:r>
        <w:rPr>
          <w:rFonts w:hint="eastAsia" w:ascii="Times New Roman" w:hAnsi="Times New Roman"/>
          <w:snapToGrid/>
          <w:lang w:val="en-US" w:eastAsia="zh-CN"/>
        </w:rPr>
        <w:t>茶叶</w:t>
      </w:r>
      <w:r>
        <w:rPr>
          <w:rFonts w:hint="eastAsia" w:ascii="Times New Roman" w:hAnsi="Times New Roman"/>
          <w:snapToGrid/>
          <w:lang w:eastAsia="zh-CN"/>
        </w:rPr>
        <w:t>、蔬菜等生态绿色食品产业发展。全县主要农作物播种面积160万亩左右，大力推广农作物病虫害专业化统防统治与绿色防控融合，分作物集成绿色防控技术和可复制推广模式。</w:t>
      </w:r>
      <w:r>
        <w:rPr>
          <w:rFonts w:hint="eastAsia" w:ascii="Times New Roman" w:hAnsi="Times New Roman" w:cs="Times New Roman"/>
          <w:snapToGrid/>
          <w:lang w:eastAsia="zh-CN"/>
        </w:rPr>
        <w:t>在水稻上，集成了农业防治（抗性品种选择、翻耕深水灭蛹、健身栽培、生态调控）、理化诱控（杀虫灯诱杀、性信息素诱杀）、生物防治（释放赤眼蜂、生物药剂）、科学用药（种子处理技术、秧苗送嫁药技术、高效低毒低残留农药应用技术）的全程绿色防控技术新模式。在茶叶上，</w:t>
      </w:r>
      <w:r>
        <w:rPr>
          <w:rFonts w:hint="eastAsia" w:ascii="Times New Roman" w:hAnsi="Times New Roman" w:cs="Times New Roman"/>
          <w:snapToGrid/>
          <w:lang w:val="en-US" w:eastAsia="zh-CN"/>
        </w:rPr>
        <w:t>集成了</w:t>
      </w:r>
      <w:r>
        <w:rPr>
          <w:rFonts w:hint="eastAsia" w:ascii="Times New Roman" w:hAnsi="Times New Roman" w:cs="Times New Roman"/>
          <w:snapToGrid/>
          <w:lang w:eastAsia="zh-CN"/>
        </w:rPr>
        <w:t>以生态调控为基础、轻防轻控为原则、应急防控为辅助、区域统防统治为手段绿色防控技术新模式。在</w:t>
      </w:r>
      <w:r>
        <w:rPr>
          <w:rFonts w:hint="eastAsia" w:ascii="Times New Roman" w:hAnsi="Times New Roman" w:cs="Times New Roman"/>
          <w:snapToGrid/>
          <w:lang w:val="en-US" w:eastAsia="zh-CN"/>
        </w:rPr>
        <w:t>蔬菜、</w:t>
      </w:r>
      <w:r>
        <w:rPr>
          <w:rFonts w:hint="eastAsia" w:ascii="Times New Roman" w:hAnsi="Times New Roman" w:cs="Times New Roman"/>
          <w:snapToGrid/>
          <w:lang w:eastAsia="zh-CN"/>
        </w:rPr>
        <w:t>油菜上，</w:t>
      </w:r>
      <w:r>
        <w:rPr>
          <w:rFonts w:hint="eastAsia" w:ascii="Times New Roman" w:hAnsi="Times New Roman" w:cs="Times New Roman"/>
          <w:snapToGrid/>
          <w:lang w:val="en-US" w:eastAsia="zh-CN"/>
        </w:rPr>
        <w:t>集成了</w:t>
      </w:r>
      <w:r>
        <w:rPr>
          <w:rFonts w:hint="eastAsia" w:ascii="Times New Roman" w:hAnsi="Times New Roman" w:cs="Times New Roman"/>
          <w:snapToGrid/>
          <w:lang w:eastAsia="zh-CN"/>
        </w:rPr>
        <w:t>综合运用农业防治、种子处理、理化诱控、生态调控和科学用药的绿色防控技术新模式。</w:t>
      </w:r>
      <w:r>
        <w:rPr>
          <w:rFonts w:hint="eastAsia" w:ascii="Times New Roman" w:hAnsi="Times New Roman" w:cs="Times New Roman"/>
          <w:snapToGrid/>
          <w:lang w:val="en-US" w:eastAsia="zh-CN"/>
        </w:rPr>
        <w:t>全县</w:t>
      </w:r>
      <w:r>
        <w:rPr>
          <w:rFonts w:hint="eastAsia" w:ascii="Times New Roman" w:hAnsi="Times New Roman"/>
          <w:snapToGrid/>
          <w:lang w:eastAsia="zh-CN"/>
        </w:rPr>
        <w:t>主要粮食作物统防统治覆盖率近80%，主要农作物绿色防控覆盖率70%以上，2015—2024年农药使用量减少100吨以上，减量超过20%，成功创建“全国农作物病虫害统防统治百强县”“全国农作物病虫害绿色防控整建制推进县”“全国农作物病虫害绿色防控技术示范推广基地”。</w:t>
      </w:r>
      <w:r>
        <w:rPr>
          <w:rFonts w:hint="eastAsia" w:ascii="Times New Roman" w:hAnsi="Times New Roman" w:cs="Times New Roman"/>
          <w:snapToGrid/>
          <w:lang w:val="en-US" w:eastAsia="zh-CN"/>
        </w:rPr>
        <w:t>全面的绿色防控体系，为桃江绿色食品产业高质量发展构筑了坚实的“护城河”。</w:t>
      </w:r>
    </w:p>
    <w:p w14:paraId="4A6FA818">
      <w:pPr>
        <w:pStyle w:val="3"/>
        <w:keepNext w:val="0"/>
        <w:keepLines/>
        <w:pageBreakBefore w:val="0"/>
        <w:widowControl w:val="0"/>
        <w:numPr>
          <w:ilvl w:val="0"/>
          <w:numId w:val="1"/>
        </w:numPr>
        <w:kinsoku/>
        <w:wordWrap/>
        <w:overflowPunct/>
        <w:topLinePunct w:val="0"/>
        <w:autoSpaceDE/>
        <w:autoSpaceDN/>
        <w:bidi w:val="0"/>
        <w:adjustRightInd w:val="0"/>
        <w:snapToGrid w:val="0"/>
        <w:textAlignment w:val="auto"/>
        <w:rPr>
          <w:rFonts w:hint="default" w:ascii="Times New Roman" w:hAnsi="Times New Roman" w:cs="Times New Roman"/>
          <w:snapToGrid/>
          <w:lang w:val="en-US" w:eastAsia="zh-CN"/>
        </w:rPr>
      </w:pPr>
      <w:bookmarkStart w:id="36" w:name="_Toc27510"/>
      <w:r>
        <w:rPr>
          <w:rFonts w:hint="eastAsia" w:ascii="Times New Roman" w:hAnsi="Times New Roman" w:cs="Times New Roman"/>
          <w:snapToGrid/>
          <w:lang w:val="en-US" w:eastAsia="zh-CN"/>
        </w:rPr>
        <w:t>问题分析</w:t>
      </w:r>
      <w:bookmarkEnd w:id="36"/>
    </w:p>
    <w:p w14:paraId="1C0A46A4">
      <w:pPr>
        <w:pStyle w:val="183"/>
        <w:keepNext w:val="0"/>
        <w:keepLines/>
        <w:pageBreakBefore w:val="0"/>
        <w:widowControl w:val="0"/>
        <w:kinsoku/>
        <w:wordWrap/>
        <w:overflowPunct/>
        <w:topLinePunct w:val="0"/>
        <w:autoSpaceDE/>
        <w:autoSpaceDN/>
        <w:bidi w:val="0"/>
        <w:adjustRightInd w:val="0"/>
        <w:snapToGrid w:val="0"/>
        <w:textAlignment w:val="auto"/>
        <w:rPr>
          <w:rFonts w:hint="default" w:eastAsia="黑体"/>
          <w:lang w:val="en-US" w:eastAsia="zh-CN"/>
        </w:rPr>
      </w:pPr>
      <w:bookmarkStart w:id="37" w:name="_Toc26672"/>
      <w:bookmarkStart w:id="38" w:name="_Toc31662"/>
      <w:bookmarkStart w:id="39" w:name="_Toc6441"/>
      <w:bookmarkStart w:id="40" w:name="_Toc13667"/>
      <w:bookmarkStart w:id="41" w:name="_Toc28677"/>
      <w:bookmarkStart w:id="42" w:name="_Toc14952"/>
      <w:bookmarkStart w:id="43" w:name="_Toc16437"/>
      <w:r>
        <w:rPr>
          <w:rFonts w:ascii="Times New Roman" w:hAnsi="Times New Roman"/>
          <w:snapToGrid/>
        </w:rPr>
        <w:t>（</w:t>
      </w:r>
      <w:r>
        <w:rPr>
          <w:rFonts w:hint="eastAsia"/>
          <w:snapToGrid/>
          <w:lang w:val="en-US" w:eastAsia="zh-CN"/>
        </w:rPr>
        <w:t>一</w:t>
      </w:r>
      <w:r>
        <w:rPr>
          <w:rFonts w:ascii="Times New Roman" w:hAnsi="Times New Roman"/>
          <w:snapToGrid/>
        </w:rPr>
        <w:t>）</w:t>
      </w:r>
      <w:r>
        <w:rPr>
          <w:rFonts w:hint="eastAsia" w:ascii="Times New Roman" w:hAnsi="Times New Roman"/>
          <w:snapToGrid/>
          <w:lang w:val="en-US" w:eastAsia="zh-CN"/>
        </w:rPr>
        <w:t>产业发展质量</w:t>
      </w:r>
      <w:r>
        <w:rPr>
          <w:rFonts w:hint="eastAsia"/>
          <w:snapToGrid/>
          <w:lang w:val="en-US" w:eastAsia="zh-CN"/>
        </w:rPr>
        <w:t>不高</w:t>
      </w:r>
      <w:bookmarkEnd w:id="37"/>
      <w:bookmarkEnd w:id="38"/>
      <w:bookmarkEnd w:id="39"/>
      <w:bookmarkEnd w:id="40"/>
      <w:bookmarkEnd w:id="41"/>
      <w:bookmarkEnd w:id="42"/>
      <w:bookmarkEnd w:id="43"/>
    </w:p>
    <w:p w14:paraId="5992AC13">
      <w:pPr>
        <w:bidi w:val="0"/>
        <w:rPr>
          <w:rFonts w:hint="eastAsia"/>
          <w:lang w:val="en-US" w:eastAsia="zh-CN"/>
        </w:rPr>
      </w:pPr>
      <w:r>
        <w:rPr>
          <w:rFonts w:hint="eastAsia"/>
          <w:lang w:val="en-US" w:eastAsia="zh-CN"/>
        </w:rPr>
        <w:t>尽管桃江县在生态绿色食品产业上已初见成效，但总体而言，产业发展仍处于起步阶段，存在诸多待突破的瓶颈。竹笋的产品种类相对单一，茶叶的产量有限，这限制了产业的多元化发展。同时，当地加工企业的规模普遍较小，缺乏足够的实力进行资源的深度开发，科技研发和市场开拓能力也相对薄弱，导致产品层次不高，难以满足高端市场需求。更为重要的是，相关企业在带动基地建设和农户增收方面的作用有限，未能充分发挥产业链的整体效益。因此，桃江县生态绿色食品产业的未来发展，需要在产品多样化、企业规模化、科技研发和市场拓展等方面下更大功夫，同时增强对农户和基地的支持力度，构建更加完善的产业生态，推动整个行业的健康、快速发展。</w:t>
      </w:r>
    </w:p>
    <w:p w14:paraId="009EEEAB">
      <w:pPr>
        <w:pStyle w:val="183"/>
        <w:rPr>
          <w:rFonts w:hint="default" w:ascii="Times New Roman" w:hAnsi="Times New Roman" w:eastAsia="仿宋" w:cs="Times New Roman"/>
          <w:snapToGrid/>
          <w:color w:val="auto"/>
          <w:kern w:val="0"/>
          <w:sz w:val="30"/>
          <w:lang w:val="en-US" w:eastAsia="zh-CN" w:bidi="ar-SA"/>
          <w14:ligatures w14:val="none"/>
        </w:rPr>
      </w:pPr>
      <w:bookmarkStart w:id="44" w:name="_Toc1601"/>
      <w:bookmarkStart w:id="45" w:name="_Toc19394"/>
      <w:bookmarkStart w:id="46" w:name="_Toc8292"/>
      <w:bookmarkStart w:id="47" w:name="_Toc19418"/>
      <w:bookmarkStart w:id="48" w:name="_Toc10308"/>
      <w:bookmarkStart w:id="49" w:name="_Toc20691"/>
      <w:bookmarkStart w:id="50" w:name="_Toc19161"/>
      <w:r>
        <w:rPr>
          <w:rFonts w:ascii="Times New Roman" w:hAnsi="Times New Roman"/>
          <w:snapToGrid/>
        </w:rPr>
        <w:t>（</w:t>
      </w:r>
      <w:r>
        <w:rPr>
          <w:rFonts w:hint="eastAsia"/>
          <w:snapToGrid/>
          <w:lang w:val="en-US" w:eastAsia="zh-CN"/>
        </w:rPr>
        <w:t>二</w:t>
      </w:r>
      <w:r>
        <w:rPr>
          <w:rFonts w:ascii="Times New Roman" w:hAnsi="Times New Roman"/>
          <w:snapToGrid/>
        </w:rPr>
        <w:t>）</w:t>
      </w:r>
      <w:r>
        <w:rPr>
          <w:rFonts w:hint="eastAsia"/>
          <w:snapToGrid/>
          <w:lang w:val="en-US" w:eastAsia="zh-CN"/>
        </w:rPr>
        <w:t>产品销售能力不强</w:t>
      </w:r>
      <w:bookmarkEnd w:id="44"/>
      <w:bookmarkEnd w:id="45"/>
      <w:bookmarkEnd w:id="46"/>
      <w:bookmarkEnd w:id="47"/>
      <w:bookmarkEnd w:id="48"/>
      <w:bookmarkEnd w:id="49"/>
      <w:bookmarkEnd w:id="50"/>
    </w:p>
    <w:p w14:paraId="2134B23A">
      <w:pPr>
        <w:rPr>
          <w:rFonts w:hint="eastAsia" w:ascii="Times New Roman" w:hAnsi="Times New Roman"/>
          <w:snapToGrid/>
          <w:lang w:val="en-US" w:eastAsia="zh-CN"/>
        </w:rPr>
      </w:pPr>
      <w:r>
        <w:rPr>
          <w:rFonts w:hint="eastAsia" w:ascii="Times New Roman" w:hAnsi="Times New Roman"/>
          <w:snapToGrid/>
          <w:lang w:val="en-US" w:eastAsia="zh-CN"/>
        </w:rPr>
        <w:t>特色农产品的销售主要依赖于传统的产地直销模式，而缺乏具备现代营销观念和专业技能的营销人才及经纪人团队。这种状况不仅限制了产品的市场覆盖范围，也难以适应日益多元化的消费需求。同时，现代化的营销手段如连锁经营、配送销售等，在特色农产品行业中尚未得到广泛应用。新型营销模式能够有效提升供应链效率，减少中间环节，降低成本，同时也能更好地满足消费者的便捷购物需求，提升品牌形象。因此，为了提升特色农产品的市场竞争力，必须加快营销体系的现代化进程，包括培养专业的营销人才，引入先进的营销理念和技术，以及探索适合自身特点的新型销售渠道，如电商平台、直销店等，以拓宽市场空间，增强品牌影响力。同时，通过数据分析和市场调研，精准定位目标消费群体，制定差异化的营销策略，也是提升营销效果的关键。</w:t>
      </w:r>
    </w:p>
    <w:p w14:paraId="10ACD58C">
      <w:pPr>
        <w:pStyle w:val="183"/>
        <w:rPr>
          <w:rFonts w:hint="default" w:eastAsia="黑体"/>
          <w:lang w:val="en-US" w:eastAsia="zh-CN"/>
        </w:rPr>
      </w:pPr>
      <w:bookmarkStart w:id="51" w:name="_Toc2229"/>
      <w:bookmarkStart w:id="52" w:name="_Toc4350"/>
      <w:bookmarkStart w:id="53" w:name="_Toc6677"/>
      <w:bookmarkStart w:id="54" w:name="_Toc3357"/>
      <w:bookmarkStart w:id="55" w:name="_Toc1341"/>
      <w:bookmarkStart w:id="56" w:name="_Toc27370"/>
      <w:bookmarkStart w:id="57" w:name="_Toc22002"/>
      <w:r>
        <w:rPr>
          <w:rFonts w:ascii="Times New Roman" w:hAnsi="Times New Roman"/>
          <w:snapToGrid/>
        </w:rPr>
        <w:t>（</w:t>
      </w:r>
      <w:r>
        <w:rPr>
          <w:rFonts w:hint="eastAsia"/>
          <w:snapToGrid/>
          <w:lang w:val="en-US" w:eastAsia="zh-CN"/>
        </w:rPr>
        <w:t>三</w:t>
      </w:r>
      <w:r>
        <w:rPr>
          <w:rFonts w:ascii="Times New Roman" w:hAnsi="Times New Roman"/>
          <w:snapToGrid/>
        </w:rPr>
        <w:t>）</w:t>
      </w:r>
      <w:r>
        <w:rPr>
          <w:rFonts w:hint="eastAsia" w:ascii="Times New Roman" w:hAnsi="Times New Roman"/>
          <w:snapToGrid/>
          <w:lang w:val="en-US" w:eastAsia="zh-CN"/>
        </w:rPr>
        <w:t>利益</w:t>
      </w:r>
      <w:r>
        <w:rPr>
          <w:rFonts w:hint="eastAsia"/>
          <w:snapToGrid/>
          <w:lang w:val="en-US" w:eastAsia="zh-CN"/>
        </w:rPr>
        <w:t>联结</w:t>
      </w:r>
      <w:r>
        <w:rPr>
          <w:rFonts w:hint="eastAsia" w:ascii="Times New Roman" w:hAnsi="Times New Roman"/>
          <w:snapToGrid/>
          <w:lang w:val="en-US" w:eastAsia="zh-CN"/>
        </w:rPr>
        <w:t>机制</w:t>
      </w:r>
      <w:r>
        <w:rPr>
          <w:rFonts w:hint="eastAsia"/>
          <w:snapToGrid/>
          <w:lang w:val="en-US" w:eastAsia="zh-CN"/>
        </w:rPr>
        <w:t>不清</w:t>
      </w:r>
      <w:bookmarkEnd w:id="51"/>
      <w:bookmarkEnd w:id="52"/>
      <w:bookmarkEnd w:id="53"/>
      <w:bookmarkEnd w:id="54"/>
      <w:bookmarkEnd w:id="55"/>
      <w:bookmarkEnd w:id="56"/>
      <w:bookmarkEnd w:id="57"/>
    </w:p>
    <w:p w14:paraId="3CB0EE67">
      <w:pPr>
        <w:ind w:firstLine="600"/>
        <w:rPr>
          <w:rFonts w:hint="eastAsia" w:ascii="Times New Roman" w:hAnsi="Times New Roman"/>
          <w:snapToGrid/>
          <w:lang w:val="en-US" w:eastAsia="zh-CN"/>
        </w:rPr>
      </w:pPr>
      <w:r>
        <w:rPr>
          <w:rFonts w:hint="eastAsia" w:ascii="Times New Roman" w:hAnsi="Times New Roman"/>
          <w:snapToGrid/>
          <w:lang w:val="en-US" w:eastAsia="zh-CN"/>
        </w:rPr>
        <w:t>目前，龙头企业与生产基地之间的合作机制尚不成熟，未能建立起一种风险共担、利益共享的合作模式。这种情况下，双方在面对市场波动或生产风险时，往往各自为战，无法形成合力，从而影响了整体的稳定性和可持续性。在实施乡村振兴战略中，最重要的是激发乡村群众参与的积极性，特别是要引导乡村群众积极参与到产业发展实践中来。为此，在利益联结机制的设立上，必须坚持把帮扶群众作为重要内容，增强内生发展动力和发展活力。龙头企业、生产基地、农户通过建立长期稳定的合作伙伴关系，不仅可以提高资源利用效率，降低运营成本，还能促进技术交流和创新，提升产品质量和市场竞争力。这种机制能够保障各方的合法权益，激发更大的合作动力，推动整个产业链的健康发展。因此，构建有效的利益联结机制，对于促进龙头企业发展、提升基地管理水平、增强农户收入具有重要意义。</w:t>
      </w:r>
    </w:p>
    <w:p w14:paraId="6FAEAF22">
      <w:pPr>
        <w:pStyle w:val="3"/>
        <w:rPr>
          <w:rFonts w:hint="default" w:ascii="Times New Roman" w:hAnsi="Times New Roman" w:eastAsia="黑体"/>
          <w:snapToGrid/>
          <w:lang w:val="en-US" w:eastAsia="zh-CN"/>
        </w:rPr>
      </w:pPr>
      <w:bookmarkStart w:id="58" w:name="_Toc4375"/>
      <w:r>
        <w:rPr>
          <w:rFonts w:hint="eastAsia" w:ascii="Times New Roman" w:hAnsi="Times New Roman"/>
          <w:snapToGrid/>
          <w:lang w:val="en-US" w:eastAsia="zh-CN"/>
        </w:rPr>
        <w:t>四</w:t>
      </w:r>
      <w:r>
        <w:rPr>
          <w:rFonts w:ascii="Times New Roman" w:hAnsi="Times New Roman"/>
          <w:snapToGrid/>
        </w:rPr>
        <w:t>、</w:t>
      </w:r>
      <w:r>
        <w:rPr>
          <w:rFonts w:hint="eastAsia" w:ascii="Times New Roman" w:hAnsi="Times New Roman"/>
          <w:snapToGrid/>
          <w:lang w:val="en-US" w:eastAsia="zh-CN"/>
        </w:rPr>
        <w:t>市场需求</w:t>
      </w:r>
      <w:bookmarkEnd w:id="58"/>
    </w:p>
    <w:p w14:paraId="4E3790BE">
      <w:pPr>
        <w:ind w:firstLine="600"/>
        <w:rPr>
          <w:rFonts w:hint="eastAsia" w:ascii="Times New Roman" w:hAnsi="Times New Roman"/>
          <w:snapToGrid/>
          <w:lang w:val="en-US" w:eastAsia="zh-CN"/>
        </w:rPr>
      </w:pPr>
      <w:bookmarkStart w:id="59" w:name="_Toc3983"/>
      <w:bookmarkStart w:id="60" w:name="_Toc1844"/>
      <w:bookmarkStart w:id="61" w:name="_Toc19137"/>
      <w:bookmarkStart w:id="62" w:name="_Toc28599"/>
      <w:bookmarkStart w:id="63" w:name="_Toc26869"/>
      <w:r>
        <w:rPr>
          <w:rFonts w:hint="eastAsia" w:ascii="Times New Roman" w:hAnsi="Times New Roman"/>
          <w:snapToGrid/>
          <w:lang w:eastAsia="zh-CN"/>
        </w:rPr>
        <w:t>目前我国绿色食品企业越来越多，获证企业总数不断增长，202</w:t>
      </w:r>
      <w:r>
        <w:rPr>
          <w:rFonts w:hint="eastAsia" w:ascii="Times New Roman" w:hAnsi="Times New Roman"/>
          <w:snapToGrid/>
          <w:lang w:val="en-US" w:eastAsia="zh-CN"/>
        </w:rPr>
        <w:t>3</w:t>
      </w:r>
      <w:r>
        <w:rPr>
          <w:rFonts w:hint="eastAsia" w:ascii="Times New Roman" w:hAnsi="Times New Roman"/>
          <w:snapToGrid/>
          <w:lang w:eastAsia="zh-CN"/>
        </w:rPr>
        <w:t>年我国绿色食品获证企业总数从2015年的9579个增长至</w:t>
      </w:r>
      <w:r>
        <w:rPr>
          <w:rFonts w:hint="eastAsia" w:ascii="Times New Roman" w:hAnsi="Times New Roman"/>
          <w:snapToGrid/>
          <w:lang w:val="en-US" w:eastAsia="zh-CN"/>
        </w:rPr>
        <w:t>27950</w:t>
      </w:r>
      <w:r>
        <w:rPr>
          <w:rFonts w:hint="eastAsia" w:ascii="Times New Roman" w:hAnsi="Times New Roman"/>
          <w:snapToGrid/>
          <w:lang w:eastAsia="zh-CN"/>
        </w:rPr>
        <w:t>个。202</w:t>
      </w:r>
      <w:r>
        <w:rPr>
          <w:rFonts w:hint="eastAsia" w:ascii="Times New Roman" w:hAnsi="Times New Roman"/>
          <w:snapToGrid/>
          <w:lang w:val="en-US" w:eastAsia="zh-CN"/>
        </w:rPr>
        <w:t>3</w:t>
      </w:r>
      <w:r>
        <w:rPr>
          <w:rFonts w:hint="eastAsia" w:ascii="Times New Roman" w:hAnsi="Times New Roman"/>
          <w:snapToGrid/>
          <w:lang w:eastAsia="zh-CN"/>
        </w:rPr>
        <w:t>年我国绿色食品获证产品总数</w:t>
      </w:r>
      <w:r>
        <w:rPr>
          <w:rFonts w:hint="eastAsia" w:ascii="Times New Roman" w:hAnsi="Times New Roman"/>
          <w:snapToGrid/>
          <w:lang w:val="en-US" w:eastAsia="zh-CN"/>
        </w:rPr>
        <w:t>59920</w:t>
      </w:r>
      <w:r>
        <w:rPr>
          <w:rFonts w:hint="eastAsia" w:ascii="Times New Roman" w:hAnsi="Times New Roman"/>
          <w:snapToGrid/>
          <w:lang w:eastAsia="zh-CN"/>
        </w:rPr>
        <w:t>个，其中农林及加工绿色食品产品数</w:t>
      </w:r>
      <w:r>
        <w:rPr>
          <w:rFonts w:hint="eastAsia" w:ascii="Times New Roman" w:hAnsi="Times New Roman"/>
          <w:snapToGrid/>
          <w:lang w:val="en-US" w:eastAsia="zh-CN"/>
        </w:rPr>
        <w:t>48560</w:t>
      </w:r>
      <w:r>
        <w:rPr>
          <w:rFonts w:hint="eastAsia" w:ascii="Times New Roman" w:hAnsi="Times New Roman"/>
          <w:snapToGrid/>
          <w:lang w:eastAsia="zh-CN"/>
        </w:rPr>
        <w:t>个，畜禽类绿色食品产品数</w:t>
      </w:r>
      <w:r>
        <w:rPr>
          <w:rFonts w:hint="eastAsia" w:ascii="Times New Roman" w:hAnsi="Times New Roman"/>
          <w:snapToGrid/>
          <w:lang w:val="en-US" w:eastAsia="zh-CN"/>
        </w:rPr>
        <w:t>2147</w:t>
      </w:r>
      <w:r>
        <w:rPr>
          <w:rFonts w:hint="eastAsia" w:ascii="Times New Roman" w:hAnsi="Times New Roman"/>
          <w:snapToGrid/>
          <w:lang w:eastAsia="zh-CN"/>
        </w:rPr>
        <w:t>个，水产类绿色食品产品数</w:t>
      </w:r>
      <w:r>
        <w:rPr>
          <w:rFonts w:hint="eastAsia" w:ascii="Times New Roman" w:hAnsi="Times New Roman"/>
          <w:snapToGrid/>
          <w:lang w:val="en-US" w:eastAsia="zh-CN"/>
        </w:rPr>
        <w:t>721</w:t>
      </w:r>
      <w:r>
        <w:rPr>
          <w:rFonts w:hint="eastAsia" w:ascii="Times New Roman" w:hAnsi="Times New Roman"/>
          <w:snapToGrid/>
          <w:lang w:eastAsia="zh-CN"/>
        </w:rPr>
        <w:t>个，饮品类绿色食品产品数</w:t>
      </w:r>
      <w:r>
        <w:rPr>
          <w:rFonts w:hint="eastAsia" w:ascii="Times New Roman" w:hAnsi="Times New Roman"/>
          <w:snapToGrid/>
          <w:lang w:val="en-US" w:eastAsia="zh-CN"/>
        </w:rPr>
        <w:t>6640</w:t>
      </w:r>
      <w:r>
        <w:rPr>
          <w:rFonts w:hint="eastAsia" w:ascii="Times New Roman" w:hAnsi="Times New Roman"/>
          <w:snapToGrid/>
          <w:lang w:eastAsia="zh-CN"/>
        </w:rPr>
        <w:t>个，其他绿色食品产品数</w:t>
      </w:r>
      <w:r>
        <w:rPr>
          <w:rFonts w:hint="eastAsia" w:ascii="Times New Roman" w:hAnsi="Times New Roman"/>
          <w:snapToGrid/>
          <w:lang w:val="en-US" w:eastAsia="zh-CN"/>
        </w:rPr>
        <w:t>1852</w:t>
      </w:r>
      <w:r>
        <w:rPr>
          <w:rFonts w:hint="eastAsia" w:ascii="Times New Roman" w:hAnsi="Times New Roman"/>
          <w:snapToGrid/>
          <w:lang w:eastAsia="zh-CN"/>
        </w:rPr>
        <w:t>个。</w:t>
      </w:r>
      <w:r>
        <w:rPr>
          <w:rFonts w:hint="eastAsia" w:ascii="Times New Roman" w:hAnsi="Times New Roman"/>
          <w:snapToGrid/>
          <w:lang w:val="en-US" w:eastAsia="zh-CN"/>
        </w:rPr>
        <w:t>我国</w:t>
      </w:r>
      <w:r>
        <w:rPr>
          <w:rFonts w:hint="eastAsia" w:ascii="Times New Roman" w:hAnsi="Times New Roman"/>
          <w:snapToGrid/>
          <w:lang w:eastAsia="zh-CN"/>
        </w:rPr>
        <w:t>绿色食品销售额从2015年的4383.2亿元增长至</w:t>
      </w:r>
      <w:r>
        <w:rPr>
          <w:rFonts w:hint="eastAsia" w:ascii="Times New Roman" w:hAnsi="Times New Roman"/>
          <w:snapToGrid/>
          <w:lang w:val="en-US" w:eastAsia="zh-CN"/>
        </w:rPr>
        <w:t>2023年的5829.4</w:t>
      </w:r>
      <w:r>
        <w:rPr>
          <w:rFonts w:hint="eastAsia" w:ascii="Times New Roman" w:hAnsi="Times New Roman"/>
          <w:snapToGrid/>
          <w:lang w:eastAsia="zh-CN"/>
        </w:rPr>
        <w:t>亿元，预计</w:t>
      </w:r>
      <w:r>
        <w:rPr>
          <w:rFonts w:hint="eastAsia" w:ascii="Times New Roman" w:hAnsi="Times New Roman"/>
          <w:snapToGrid/>
          <w:lang w:val="en-US" w:eastAsia="zh-CN"/>
        </w:rPr>
        <w:t>到2030年，</w:t>
      </w:r>
      <w:r>
        <w:rPr>
          <w:rFonts w:hint="eastAsia" w:ascii="Times New Roman" w:hAnsi="Times New Roman"/>
          <w:snapToGrid/>
          <w:lang w:eastAsia="zh-CN"/>
        </w:rPr>
        <w:t>绿色食品销售额</w:t>
      </w:r>
      <w:r>
        <w:rPr>
          <w:rFonts w:hint="eastAsia" w:ascii="Times New Roman" w:hAnsi="Times New Roman"/>
          <w:snapToGrid/>
          <w:lang w:val="en-US" w:eastAsia="zh-CN"/>
        </w:rPr>
        <w:t>将突破万亿。</w:t>
      </w:r>
    </w:p>
    <w:p w14:paraId="66516223">
      <w:pPr>
        <w:ind w:firstLine="600"/>
        <w:rPr>
          <w:rFonts w:hint="eastAsia" w:ascii="Times New Roman" w:hAnsi="Times New Roman"/>
          <w:snapToGrid/>
          <w:lang w:val="en-US" w:eastAsia="zh-CN"/>
        </w:rPr>
      </w:pPr>
      <w:r>
        <w:rPr>
          <w:rFonts w:hint="eastAsia" w:ascii="Times New Roman" w:hAnsi="Times New Roman"/>
          <w:snapToGrid/>
          <w:lang w:val="en-US" w:eastAsia="zh-CN"/>
        </w:rPr>
        <w:t>绿色食品现有的产业分类包括农林及加工类、饮品类、畜禽类、水产类及其它类产品。其中，农林及加工类绿色食品产量占比最高，占比为77.6%；水产类、畜禽类绿色食品产量较低，二者产量总和占比仅为1.1%。从区域上来看，2023年，华东地区的绿色食品产量领先全国，产量占比为39.4%。产量位居第二的区域为中南地区，产量占比为18.6%。产量位居第三的为西南地区，产量占比全国13.0%。</w:t>
      </w:r>
    </w:p>
    <w:p w14:paraId="5C04E65F">
      <w:pPr>
        <w:numPr>
          <w:ilvl w:val="0"/>
          <w:numId w:val="0"/>
        </w:numPr>
        <w:ind w:firstLine="600" w:firstLineChars="200"/>
        <w:rPr>
          <w:rFonts w:hint="eastAsia" w:ascii="Times New Roman" w:hAnsi="Times New Roman"/>
          <w:snapToGrid/>
          <w:lang w:val="en-US" w:eastAsia="zh-CN"/>
        </w:rPr>
      </w:pPr>
      <w:r>
        <w:rPr>
          <w:rFonts w:hint="eastAsia" w:ascii="Times New Roman" w:hAnsi="Times New Roman"/>
          <w:snapToGrid/>
          <w:lang w:val="en-US" w:eastAsia="zh-CN"/>
        </w:rPr>
        <w:t>从湖南市场来看，截至2023年，湖南绿色有机地标农产品总数达到3986个，居全国前列。湖南省绿色食品总数达到3565个，较2019年增长91.67%，年均增长超过20%。全省创建绿色食品示范基地118个，带动绿色食品年增长率20%以上。</w:t>
      </w:r>
    </w:p>
    <w:p w14:paraId="667566B1">
      <w:pPr>
        <w:numPr>
          <w:ilvl w:val="0"/>
          <w:numId w:val="0"/>
        </w:numPr>
        <w:ind w:firstLine="600" w:firstLineChars="200"/>
        <w:rPr>
          <w:rFonts w:hint="default" w:ascii="Times New Roman" w:hAnsi="Times New Roman"/>
          <w:snapToGrid/>
          <w:lang w:val="en-US" w:eastAsia="zh-CN"/>
        </w:rPr>
      </w:pPr>
      <w:r>
        <w:rPr>
          <w:rFonts w:hint="default" w:ascii="Times New Roman" w:hAnsi="Times New Roman"/>
          <w:snapToGrid/>
          <w:lang w:val="en-US" w:eastAsia="zh-CN"/>
        </w:rPr>
        <w:t>湖南绿色食品产业大类主要由农林产品及其加工产品、饮品类产品、畜禽类产品、水产类产品以及其他类产品</w:t>
      </w:r>
      <w:r>
        <w:rPr>
          <w:rFonts w:hint="eastAsia" w:ascii="Times New Roman" w:hAnsi="Times New Roman"/>
          <w:snapToGrid/>
          <w:lang w:val="en-US" w:eastAsia="zh-CN"/>
        </w:rPr>
        <w:t>（</w:t>
      </w:r>
      <w:r>
        <w:rPr>
          <w:rFonts w:hint="default" w:ascii="Times New Roman" w:hAnsi="Times New Roman"/>
          <w:snapToGrid/>
          <w:lang w:val="en-US" w:eastAsia="zh-CN"/>
        </w:rPr>
        <w:t>主要指淀粉、调味品等</w:t>
      </w:r>
      <w:r>
        <w:rPr>
          <w:rFonts w:hint="eastAsia" w:ascii="Times New Roman" w:hAnsi="Times New Roman"/>
          <w:snapToGrid/>
          <w:lang w:val="en-US" w:eastAsia="zh-CN"/>
        </w:rPr>
        <w:t>）</w:t>
      </w:r>
      <w:r>
        <w:rPr>
          <w:rFonts w:hint="default" w:ascii="Times New Roman" w:hAnsi="Times New Roman"/>
          <w:snapToGrid/>
          <w:lang w:val="en-US" w:eastAsia="zh-CN"/>
        </w:rPr>
        <w:t>五大类组成，其中主要以农林产品及其加工产品为重点发展对象，其他产品种类多样化发展。</w:t>
      </w:r>
      <w:r>
        <w:rPr>
          <w:rFonts w:hint="eastAsia" w:ascii="Times New Roman" w:hAnsi="Times New Roman"/>
          <w:snapToGrid/>
          <w:lang w:val="en-US" w:eastAsia="zh-CN"/>
        </w:rPr>
        <w:t>数据显示，湖南省绿色食品销售额从2015年的172.84亿元增长至2023年的296.81亿元。湖南省绿色食品产业有较大的发展潜力。预计到2030年，湖南省绿色食品销售额将突破440亿元，</w:t>
      </w:r>
      <w:r>
        <w:rPr>
          <w:rFonts w:hint="eastAsia" w:ascii="Times New Roman" w:hAnsi="Times New Roman"/>
          <w:snapToGrid/>
          <w:lang w:eastAsia="zh-CN"/>
        </w:rPr>
        <w:t>年复合增长率</w:t>
      </w:r>
      <w:r>
        <w:rPr>
          <w:rFonts w:hint="eastAsia" w:ascii="Times New Roman" w:hAnsi="Times New Roman"/>
          <w:snapToGrid/>
          <w:lang w:val="en-US" w:eastAsia="zh-CN"/>
        </w:rPr>
        <w:t>6</w:t>
      </w:r>
      <w:r>
        <w:rPr>
          <w:rFonts w:hint="eastAsia" w:ascii="Times New Roman" w:hAnsi="Times New Roman"/>
          <w:snapToGrid/>
          <w:lang w:eastAsia="zh-CN"/>
        </w:rPr>
        <w:t>%。</w:t>
      </w:r>
    </w:p>
    <w:p w14:paraId="35EE54E6">
      <w:pPr>
        <w:ind w:firstLine="0" w:firstLineChars="0"/>
        <w:jc w:val="center"/>
        <w:rPr>
          <w:rFonts w:hint="eastAsia" w:ascii="Times New Roman" w:hAnsi="Times New Roman"/>
          <w:snapToGrid/>
          <w:lang w:val="en-US" w:eastAsia="zh-CN"/>
        </w:rPr>
      </w:pPr>
      <w:r>
        <w:rPr>
          <w:rFonts w:ascii="Times New Roman" w:hAnsi="Times New Roman" w:eastAsia="黑体" w:cs="Times New Roman"/>
          <w:color w:val="000000" w:themeColor="text1"/>
          <w:sz w:val="24"/>
          <w14:textFill>
            <w14:solidFill>
              <w14:schemeClr w14:val="tx1"/>
            </w14:solidFill>
          </w14:textFill>
        </w:rPr>
        <w:t>表</w:t>
      </w:r>
      <w:r>
        <w:rPr>
          <w:rFonts w:hint="eastAsia" w:ascii="Times New Roman" w:hAnsi="Times New Roman" w:eastAsia="黑体" w:cs="Times New Roman"/>
          <w:color w:val="000000" w:themeColor="text1"/>
          <w:sz w:val="24"/>
          <w:lang w:val="en-US" w:eastAsia="zh-CN"/>
          <w14:textFill>
            <w14:solidFill>
              <w14:schemeClr w14:val="tx1"/>
            </w14:solidFill>
          </w14:textFill>
        </w:rPr>
        <w:t>1</w:t>
      </w:r>
      <w:r>
        <w:rPr>
          <w:rFonts w:ascii="Times New Roman" w:hAnsi="Times New Roman" w:eastAsia="黑体" w:cs="Times New Roman"/>
          <w:color w:val="000000" w:themeColor="text1"/>
          <w:sz w:val="24"/>
          <w14:textFill>
            <w14:solidFill>
              <w14:schemeClr w14:val="tx1"/>
            </w14:solidFill>
          </w14:textFill>
        </w:rPr>
        <w:t>.</w:t>
      </w:r>
      <w:r>
        <w:rPr>
          <w:rFonts w:hint="eastAsia" w:ascii="Times New Roman" w:hAnsi="Times New Roman" w:eastAsia="黑体" w:cs="Times New Roman"/>
          <w:color w:val="000000" w:themeColor="text1"/>
          <w:sz w:val="24"/>
          <w:lang w:val="en-US" w:eastAsia="zh-CN"/>
          <w14:textFill>
            <w14:solidFill>
              <w14:schemeClr w14:val="tx1"/>
            </w14:solidFill>
          </w14:textFill>
        </w:rPr>
        <w:t>4</w:t>
      </w:r>
      <w:r>
        <w:rPr>
          <w:rFonts w:ascii="Times New Roman" w:hAnsi="Times New Roman" w:eastAsia="黑体" w:cs="Times New Roman"/>
          <w:color w:val="000000" w:themeColor="text1"/>
          <w:sz w:val="24"/>
          <w14:textFill>
            <w14:solidFill>
              <w14:schemeClr w14:val="tx1"/>
            </w14:solidFill>
          </w14:textFill>
        </w:rPr>
        <w:t>-</w:t>
      </w:r>
      <w:r>
        <w:rPr>
          <w:rFonts w:hint="eastAsia" w:ascii="Times New Roman" w:hAnsi="Times New Roman" w:eastAsia="黑体" w:cs="Times New Roman"/>
          <w:color w:val="000000" w:themeColor="text1"/>
          <w:sz w:val="24"/>
          <w:lang w:val="en-US" w:eastAsia="zh-CN"/>
          <w14:textFill>
            <w14:solidFill>
              <w14:schemeClr w14:val="tx1"/>
            </w14:solidFill>
          </w14:textFill>
        </w:rPr>
        <w:t>1</w:t>
      </w:r>
      <w:r>
        <w:rPr>
          <w:rFonts w:ascii="Times New Roman" w:hAnsi="Times New Roman" w:eastAsia="黑体" w:cs="Times New Roman"/>
          <w:color w:val="000000" w:themeColor="text1"/>
          <w:sz w:val="24"/>
          <w14:textFill>
            <w14:solidFill>
              <w14:schemeClr w14:val="tx1"/>
            </w14:solidFill>
          </w14:textFill>
        </w:rPr>
        <w:t xml:space="preserve"> </w:t>
      </w:r>
      <w:r>
        <w:rPr>
          <w:rFonts w:hint="eastAsia" w:ascii="Times New Roman" w:hAnsi="Times New Roman" w:eastAsia="黑体" w:cs="Times New Roman"/>
          <w:color w:val="000000" w:themeColor="text1"/>
          <w:sz w:val="24"/>
          <w:lang w:val="en-US" w:eastAsia="zh-CN"/>
          <w14:textFill>
            <w14:solidFill>
              <w14:schemeClr w14:val="tx1"/>
            </w14:solidFill>
          </w14:textFill>
        </w:rPr>
        <w:t>2018—2023年湖南省绿色食品销售情况</w:t>
      </w:r>
    </w:p>
    <w:tbl>
      <w:tblPr>
        <w:tblStyle w:val="3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411"/>
        <w:gridCol w:w="2920"/>
        <w:gridCol w:w="3195"/>
      </w:tblGrid>
      <w:tr w14:paraId="6D537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414"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5B542BC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bCs/>
                <w:i w:val="0"/>
                <w:iCs w:val="0"/>
                <w:color w:val="000000"/>
                <w:sz w:val="24"/>
                <w:szCs w:val="24"/>
                <w:u w:val="none"/>
              </w:rPr>
            </w:pPr>
            <w:r>
              <w:rPr>
                <w:rFonts w:hint="default" w:ascii="Times New Roman" w:hAnsi="Times New Roman" w:eastAsia="仿宋" w:cs="Times New Roman"/>
                <w:b/>
                <w:bCs/>
                <w:i w:val="0"/>
                <w:iCs w:val="0"/>
                <w:snapToGrid w:val="0"/>
                <w:color w:val="000000"/>
                <w:kern w:val="0"/>
                <w:sz w:val="24"/>
                <w:szCs w:val="24"/>
                <w:u w:val="none"/>
                <w:lang w:val="en-US" w:eastAsia="zh-CN" w:bidi="ar"/>
              </w:rPr>
              <w:t>年份</w:t>
            </w:r>
          </w:p>
        </w:tc>
        <w:tc>
          <w:tcPr>
            <w:tcW w:w="1712"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1491A42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bCs/>
                <w:i w:val="0"/>
                <w:iCs w:val="0"/>
                <w:color w:val="000000"/>
                <w:sz w:val="24"/>
                <w:szCs w:val="24"/>
                <w:u w:val="none"/>
              </w:rPr>
            </w:pPr>
            <w:r>
              <w:rPr>
                <w:rFonts w:hint="default" w:ascii="Times New Roman" w:hAnsi="Times New Roman" w:eastAsia="仿宋" w:cs="Times New Roman"/>
                <w:b/>
                <w:bCs/>
                <w:i w:val="0"/>
                <w:iCs w:val="0"/>
                <w:snapToGrid w:val="0"/>
                <w:color w:val="000000"/>
                <w:kern w:val="0"/>
                <w:sz w:val="24"/>
                <w:szCs w:val="24"/>
                <w:u w:val="none"/>
                <w:lang w:val="en-US" w:eastAsia="zh-CN" w:bidi="ar"/>
              </w:rPr>
              <w:t>年销售量（万吨）</w:t>
            </w:r>
          </w:p>
        </w:tc>
        <w:tc>
          <w:tcPr>
            <w:tcW w:w="1873"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565722D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bCs/>
                <w:i w:val="0"/>
                <w:iCs w:val="0"/>
                <w:color w:val="000000"/>
                <w:sz w:val="24"/>
                <w:szCs w:val="24"/>
                <w:u w:val="none"/>
              </w:rPr>
            </w:pPr>
            <w:r>
              <w:rPr>
                <w:rFonts w:hint="default" w:ascii="Times New Roman" w:hAnsi="Times New Roman" w:eastAsia="仿宋" w:cs="Times New Roman"/>
                <w:b/>
                <w:bCs/>
                <w:i w:val="0"/>
                <w:iCs w:val="0"/>
                <w:snapToGrid w:val="0"/>
                <w:color w:val="000000"/>
                <w:kern w:val="0"/>
                <w:sz w:val="24"/>
                <w:szCs w:val="24"/>
                <w:u w:val="none"/>
                <w:lang w:val="en-US" w:eastAsia="zh-CN" w:bidi="ar"/>
              </w:rPr>
              <w:t>年销售额（亿元）</w:t>
            </w:r>
          </w:p>
        </w:tc>
      </w:tr>
      <w:tr w14:paraId="670A5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BD5E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2018</w:t>
            </w:r>
          </w:p>
        </w:tc>
        <w:tc>
          <w:tcPr>
            <w:tcW w:w="1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A638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209.11</w:t>
            </w:r>
          </w:p>
        </w:tc>
        <w:tc>
          <w:tcPr>
            <w:tcW w:w="18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C456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172.84</w:t>
            </w:r>
          </w:p>
        </w:tc>
      </w:tr>
      <w:tr w14:paraId="0AAFB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E81B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2019</w:t>
            </w:r>
          </w:p>
        </w:tc>
        <w:tc>
          <w:tcPr>
            <w:tcW w:w="1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16FA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245.08</w:t>
            </w:r>
          </w:p>
        </w:tc>
        <w:tc>
          <w:tcPr>
            <w:tcW w:w="18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CA76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202.58</w:t>
            </w:r>
          </w:p>
        </w:tc>
      </w:tr>
      <w:tr w14:paraId="567EA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5319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2020</w:t>
            </w:r>
          </w:p>
        </w:tc>
        <w:tc>
          <w:tcPr>
            <w:tcW w:w="1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9C7F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268.31</w:t>
            </w:r>
          </w:p>
        </w:tc>
        <w:tc>
          <w:tcPr>
            <w:tcW w:w="18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E9FD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241.08</w:t>
            </w:r>
          </w:p>
        </w:tc>
      </w:tr>
      <w:tr w14:paraId="71B4F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B3ED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2021</w:t>
            </w:r>
          </w:p>
        </w:tc>
        <w:tc>
          <w:tcPr>
            <w:tcW w:w="1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6BFF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282.58</w:t>
            </w:r>
          </w:p>
        </w:tc>
        <w:tc>
          <w:tcPr>
            <w:tcW w:w="18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EB15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256.61</w:t>
            </w:r>
          </w:p>
        </w:tc>
      </w:tr>
      <w:tr w14:paraId="63386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454C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2022</w:t>
            </w:r>
          </w:p>
        </w:tc>
        <w:tc>
          <w:tcPr>
            <w:tcW w:w="1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52BF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295.21</w:t>
            </w:r>
          </w:p>
        </w:tc>
        <w:tc>
          <w:tcPr>
            <w:tcW w:w="18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6094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272.32</w:t>
            </w:r>
          </w:p>
        </w:tc>
      </w:tr>
      <w:tr w14:paraId="6C820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E6EF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2023</w:t>
            </w:r>
          </w:p>
        </w:tc>
        <w:tc>
          <w:tcPr>
            <w:tcW w:w="1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39CC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310.31</w:t>
            </w:r>
          </w:p>
        </w:tc>
        <w:tc>
          <w:tcPr>
            <w:tcW w:w="18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91E4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296.81</w:t>
            </w:r>
          </w:p>
        </w:tc>
      </w:tr>
      <w:bookmarkEnd w:id="59"/>
      <w:bookmarkEnd w:id="60"/>
      <w:bookmarkEnd w:id="61"/>
      <w:bookmarkEnd w:id="62"/>
      <w:bookmarkEnd w:id="63"/>
    </w:tbl>
    <w:p w14:paraId="6188288E">
      <w:pPr>
        <w:tabs>
          <w:tab w:val="left" w:pos="2806"/>
        </w:tabs>
        <w:bidi w:val="0"/>
        <w:ind w:left="0" w:leftChars="0" w:firstLine="0" w:firstLineChars="0"/>
        <w:jc w:val="left"/>
        <w:rPr>
          <w:rFonts w:hint="default"/>
          <w:lang w:val="en-US" w:eastAsia="zh-CN"/>
        </w:rPr>
      </w:pPr>
    </w:p>
    <w:p w14:paraId="5E0CDA84">
      <w:pPr>
        <w:pStyle w:val="2"/>
        <w:keepNext/>
        <w:keepLines/>
        <w:pageBreakBefore/>
        <w:widowControl w:val="0"/>
        <w:kinsoku/>
        <w:wordWrap/>
        <w:overflowPunct/>
        <w:topLinePunct w:val="0"/>
        <w:autoSpaceDE/>
        <w:autoSpaceDN/>
        <w:bidi w:val="0"/>
        <w:adjustRightInd/>
        <w:snapToGrid/>
        <w:jc w:val="center"/>
        <w:textAlignment w:val="auto"/>
        <w:rPr>
          <w:rFonts w:hint="default" w:ascii="Times New Roman" w:hAnsi="Times New Roman" w:eastAsia="黑体"/>
          <w:lang w:val="en-US" w:eastAsia="zh-CN"/>
        </w:rPr>
      </w:pPr>
      <w:bookmarkStart w:id="64" w:name="_Toc31949"/>
      <w:r>
        <w:rPr>
          <w:rFonts w:ascii="Times New Roman" w:hAnsi="Times New Roman"/>
        </w:rPr>
        <w:t>第</w:t>
      </w:r>
      <w:r>
        <w:rPr>
          <w:rFonts w:hint="eastAsia" w:ascii="Times New Roman" w:hAnsi="Times New Roman"/>
          <w:lang w:val="en-US" w:eastAsia="zh-CN"/>
        </w:rPr>
        <w:t>二</w:t>
      </w:r>
      <w:r>
        <w:rPr>
          <w:rFonts w:ascii="Times New Roman" w:hAnsi="Times New Roman"/>
        </w:rPr>
        <w:t xml:space="preserve">章 </w:t>
      </w:r>
      <w:r>
        <w:rPr>
          <w:rFonts w:hint="eastAsia" w:ascii="Times New Roman" w:hAnsi="Times New Roman"/>
          <w:lang w:val="en-US" w:eastAsia="zh-CN"/>
        </w:rPr>
        <w:t>总体思路</w:t>
      </w:r>
      <w:bookmarkEnd w:id="64"/>
    </w:p>
    <w:p w14:paraId="28F6ADF9">
      <w:pPr>
        <w:pStyle w:val="3"/>
        <w:rPr>
          <w:rFonts w:hint="default"/>
          <w:lang w:val="en-US" w:eastAsia="zh-CN"/>
        </w:rPr>
      </w:pPr>
      <w:bookmarkStart w:id="65" w:name="_Toc25903"/>
      <w:r>
        <w:rPr>
          <w:rFonts w:ascii="Times New Roman" w:hAnsi="Times New Roman"/>
          <w:snapToGrid/>
        </w:rPr>
        <w:t>一、</w:t>
      </w:r>
      <w:r>
        <w:rPr>
          <w:rFonts w:hint="eastAsia" w:ascii="Times New Roman" w:hAnsi="Times New Roman"/>
          <w:snapToGrid/>
          <w:lang w:val="en-US" w:eastAsia="zh-CN"/>
        </w:rPr>
        <w:t>指导思想</w:t>
      </w:r>
      <w:bookmarkEnd w:id="65"/>
    </w:p>
    <w:p w14:paraId="53244729">
      <w:pPr>
        <w:ind w:firstLine="600"/>
        <w:rPr>
          <w:rFonts w:hint="eastAsia" w:ascii="微软雅黑" w:hAnsi="微软雅黑" w:eastAsia="微软雅黑" w:cs="微软雅黑"/>
          <w:i w:val="0"/>
          <w:iCs w:val="0"/>
          <w:caps w:val="0"/>
          <w:color w:val="333333"/>
          <w:spacing w:val="0"/>
          <w:sz w:val="27"/>
          <w:szCs w:val="27"/>
        </w:rPr>
      </w:pPr>
      <w:r>
        <w:rPr>
          <w:rFonts w:hint="eastAsia" w:ascii="Times New Roman" w:hAnsi="Times New Roman"/>
          <w:snapToGrid/>
          <w:lang w:val="en-US" w:eastAsia="zh-CN"/>
        </w:rPr>
        <w:t>以习近平新时代中国特色社会主义思想为指导，全面贯彻党的二十大精神和中央、省市经济工作会议精神，聚焦“三高四新”美好蓝图，</w:t>
      </w:r>
      <w:r>
        <w:rPr>
          <w:rFonts w:ascii="Times New Roman" w:hAnsi="Times New Roman" w:cs="Times New Roman"/>
        </w:rPr>
        <w:t>深入落实湖南省构建</w:t>
      </w:r>
      <w:r>
        <w:rPr>
          <w:rFonts w:hint="eastAsia" w:ascii="仿宋" w:hAnsi="仿宋" w:eastAsia="仿宋" w:cs="仿宋"/>
        </w:rPr>
        <w:t>“</w:t>
      </w:r>
      <w:r>
        <w:rPr>
          <w:rFonts w:hint="default" w:ascii="Times New Roman" w:hAnsi="Times New Roman" w:cs="Times New Roman"/>
        </w:rPr>
        <w:t>4×4</w:t>
      </w:r>
      <w:r>
        <w:rPr>
          <w:rFonts w:hint="eastAsia" w:ascii="仿宋" w:hAnsi="仿宋" w:eastAsia="仿宋" w:cs="仿宋"/>
        </w:rPr>
        <w:t>”</w:t>
      </w:r>
      <w:r>
        <w:rPr>
          <w:rFonts w:ascii="Times New Roman" w:hAnsi="Times New Roman" w:cs="Times New Roman"/>
        </w:rPr>
        <w:t>现代化产业体系的总体部署</w:t>
      </w:r>
      <w:r>
        <w:rPr>
          <w:rFonts w:hint="eastAsia" w:ascii="Times New Roman" w:hAnsi="Times New Roman"/>
          <w:snapToGrid/>
          <w:lang w:val="en-US" w:eastAsia="zh-CN"/>
        </w:rPr>
        <w:t>，以推动高质量发展为主题，以科技创新为根本动力，对标国际国内食品产业最先进水平，以生态绿色食品加工带动优质农产品种植，以特色农产品种植促进现代农旅发展，构建“基地+加工+商贸+旅游”全产业链格局，加速一二三产融合发展，按照“一园一区多基地”空间布局，打造以竹笋产业为核心，茶叶、蔬菜、修山面、生态养殖、休闲食品等产业联动发展的生态绿色食品产业链群。通过做大产业、做强企业、做细加工、做实项目、做优生态，进一步延伸生态绿色食品产业链、提升价值链、融通供应链，持续增强桃江产业发展整体实力和核心竞争力，力争将桃江打造成为湖南生态绿色食品产业发展示范区、湖南现代农业高质量发展样板区、全国绿色食品重要供应基地。</w:t>
      </w:r>
    </w:p>
    <w:p w14:paraId="174AF61D">
      <w:pPr>
        <w:pStyle w:val="184"/>
        <w:numPr>
          <w:ilvl w:val="0"/>
          <w:numId w:val="2"/>
        </w:numPr>
      </w:pPr>
      <w:bookmarkStart w:id="66" w:name="_Toc167719072"/>
      <w:bookmarkStart w:id="67" w:name="_Toc24749"/>
      <w:r>
        <w:t>基本原则</w:t>
      </w:r>
      <w:bookmarkEnd w:id="66"/>
      <w:bookmarkEnd w:id="67"/>
    </w:p>
    <w:p w14:paraId="58F9DEB4">
      <w:pPr>
        <w:numPr>
          <w:ilvl w:val="0"/>
          <w:numId w:val="0"/>
        </w:numPr>
        <w:ind w:firstLine="602" w:firstLineChars="200"/>
        <w:rPr>
          <w:rFonts w:hint="eastAsia" w:eastAsia="仿宋"/>
          <w:lang w:eastAsia="zh-CN"/>
        </w:rPr>
      </w:pPr>
      <w:r>
        <w:rPr>
          <w:rFonts w:hint="eastAsia"/>
          <w:b/>
          <w:bCs/>
          <w:lang w:val="en-US" w:eastAsia="zh-CN"/>
        </w:rPr>
        <w:t>坚持</w:t>
      </w:r>
      <w:r>
        <w:rPr>
          <w:rFonts w:hint="eastAsia"/>
          <w:b/>
          <w:bCs/>
        </w:rPr>
        <w:t>立足大局，服务三农。</w:t>
      </w:r>
      <w:r>
        <w:rPr>
          <w:rFonts w:hint="eastAsia"/>
        </w:rPr>
        <w:t>坚持以人民为中心，把保证食品质量安全、满足人民对绿色优质食品的需求、促进企业增效和农民增收作为绿色食品产业发展的出发点和落脚点，在提高农业质量效益竞争力、助力乡村振兴中发挥示范带动作用</w:t>
      </w:r>
      <w:r>
        <w:rPr>
          <w:rFonts w:hint="eastAsia"/>
          <w:lang w:eastAsia="zh-CN"/>
        </w:rPr>
        <w:t>。</w:t>
      </w:r>
    </w:p>
    <w:p w14:paraId="56E7C00E">
      <w:pPr>
        <w:numPr>
          <w:ilvl w:val="0"/>
          <w:numId w:val="0"/>
        </w:numPr>
        <w:ind w:firstLine="602" w:firstLineChars="200"/>
        <w:rPr>
          <w:rFonts w:hint="eastAsia"/>
        </w:rPr>
      </w:pPr>
      <w:r>
        <w:rPr>
          <w:rFonts w:hint="eastAsia"/>
          <w:b/>
          <w:bCs/>
          <w:lang w:val="en-US" w:eastAsia="zh-CN"/>
        </w:rPr>
        <w:t>坚持</w:t>
      </w:r>
      <w:r>
        <w:rPr>
          <w:rFonts w:hint="eastAsia"/>
          <w:b/>
          <w:bCs/>
        </w:rPr>
        <w:t>政府引导，市场驱动。</w:t>
      </w:r>
      <w:r>
        <w:rPr>
          <w:rFonts w:hint="eastAsia"/>
        </w:rPr>
        <w:t>充分发挥政府在</w:t>
      </w:r>
      <w:r>
        <w:rPr>
          <w:rFonts w:hint="eastAsia"/>
          <w:lang w:val="en-US" w:eastAsia="zh-CN"/>
        </w:rPr>
        <w:t>生态</w:t>
      </w:r>
      <w:r>
        <w:rPr>
          <w:rFonts w:hint="eastAsia"/>
        </w:rPr>
        <w:t>绿色食品产业发展规划引导、政策支持、资金投入、监督管理等方面的推动作用，让市场在</w:t>
      </w:r>
      <w:r>
        <w:rPr>
          <w:rFonts w:hint="eastAsia"/>
          <w:lang w:val="en-US" w:eastAsia="zh-CN"/>
        </w:rPr>
        <w:t>生态</w:t>
      </w:r>
      <w:r>
        <w:rPr>
          <w:rFonts w:hint="eastAsia"/>
        </w:rPr>
        <w:t>绿色食品资源配置、产业发展、投资建设中起决定性作用，通过优质优价市场机制，激发广大企业和农户发展绿色食品的内生动力，形成“政府引导</w:t>
      </w:r>
      <w:r>
        <w:rPr>
          <w:rFonts w:hint="eastAsia"/>
          <w:lang w:eastAsia="zh-CN"/>
        </w:rPr>
        <w:t>—</w:t>
      </w:r>
      <w:r>
        <w:rPr>
          <w:rFonts w:hint="eastAsia"/>
        </w:rPr>
        <w:t>多元参与</w:t>
      </w:r>
      <w:r>
        <w:rPr>
          <w:rFonts w:hint="eastAsia"/>
          <w:lang w:eastAsia="zh-CN"/>
        </w:rPr>
        <w:t>—</w:t>
      </w:r>
      <w:r>
        <w:rPr>
          <w:rFonts w:hint="eastAsia"/>
        </w:rPr>
        <w:t>市场运作”的多种有效建设模式。</w:t>
      </w:r>
    </w:p>
    <w:p w14:paraId="058AE6A7">
      <w:pPr>
        <w:numPr>
          <w:ilvl w:val="0"/>
          <w:numId w:val="0"/>
        </w:numPr>
        <w:ind w:firstLine="602" w:firstLineChars="200"/>
        <w:rPr>
          <w:rFonts w:hint="eastAsia"/>
        </w:rPr>
      </w:pPr>
      <w:r>
        <w:rPr>
          <w:rFonts w:hint="eastAsia"/>
          <w:b/>
          <w:bCs/>
          <w:lang w:val="en-US" w:eastAsia="zh-CN"/>
        </w:rPr>
        <w:t>坚持</w:t>
      </w:r>
      <w:r>
        <w:rPr>
          <w:rFonts w:hint="eastAsia"/>
          <w:b/>
          <w:bCs/>
        </w:rPr>
        <w:t>集聚发展，创新驱动。</w:t>
      </w:r>
      <w:r>
        <w:rPr>
          <w:rFonts w:hint="eastAsia"/>
        </w:rPr>
        <w:t>统筹布局落地项目，引导企业不断向园区集聚，强化科技创新在</w:t>
      </w:r>
      <w:r>
        <w:rPr>
          <w:rFonts w:hint="eastAsia"/>
          <w:lang w:val="en-US" w:eastAsia="zh-CN"/>
        </w:rPr>
        <w:t>生态</w:t>
      </w:r>
      <w:r>
        <w:rPr>
          <w:rFonts w:hint="eastAsia"/>
        </w:rPr>
        <w:t>绿色食品产业发展中的重要支撑作用，推动企业新产品开发，优化产业创新平台和支撑体系，打造产业创新创业生态圈。</w:t>
      </w:r>
    </w:p>
    <w:p w14:paraId="691E49A5">
      <w:pPr>
        <w:numPr>
          <w:ilvl w:val="0"/>
          <w:numId w:val="0"/>
        </w:numPr>
        <w:ind w:firstLine="602" w:firstLineChars="200"/>
        <w:rPr>
          <w:rFonts w:hint="default"/>
          <w:lang w:val="en-US" w:eastAsia="zh-CN"/>
        </w:rPr>
      </w:pPr>
      <w:r>
        <w:rPr>
          <w:rFonts w:hint="eastAsia"/>
          <w:b/>
          <w:bCs/>
          <w:lang w:val="en-US" w:eastAsia="zh-CN"/>
        </w:rPr>
        <w:t>坚持</w:t>
      </w:r>
      <w:r>
        <w:rPr>
          <w:rFonts w:hint="eastAsia"/>
          <w:b/>
          <w:bCs/>
        </w:rPr>
        <w:t>生态友好，绿色驱动。</w:t>
      </w:r>
      <w:r>
        <w:rPr>
          <w:rFonts w:hint="eastAsia"/>
        </w:rPr>
        <w:t>坚定不移地走生态友好、绿色驱动的发展道路，充分发挥生态绿色食品在维护农业生态环境中的引领作用。以国际标准为标杆，坚守品质至上，构建全面覆盖、立体交叉的生态绿色食品质量与安全认证、检测与监管体系。致力于将生态绿色食品塑造为一个获得政府高度认可、企业广泛认同、公众充分信赖的公共品牌，彰显其卓越品质与环保价值。</w:t>
      </w:r>
    </w:p>
    <w:p w14:paraId="28CE47E7">
      <w:pPr>
        <w:pStyle w:val="184"/>
        <w:numPr>
          <w:ilvl w:val="0"/>
          <w:numId w:val="2"/>
        </w:numPr>
      </w:pPr>
      <w:bookmarkStart w:id="68" w:name="_Toc27318"/>
      <w:r>
        <w:rPr>
          <w:rFonts w:hint="eastAsia"/>
          <w:lang w:val="en-US" w:eastAsia="zh-CN"/>
        </w:rPr>
        <w:t>发展定位</w:t>
      </w:r>
      <w:bookmarkEnd w:id="68"/>
    </w:p>
    <w:p w14:paraId="60EFC7EB">
      <w:pPr>
        <w:numPr>
          <w:ilvl w:val="0"/>
          <w:numId w:val="0"/>
        </w:numPr>
        <w:ind w:firstLine="602" w:firstLineChars="200"/>
        <w:rPr>
          <w:rFonts w:hint="eastAsia" w:eastAsia="仿宋"/>
          <w:lang w:eastAsia="zh-CN"/>
        </w:rPr>
      </w:pPr>
      <w:r>
        <w:rPr>
          <w:rFonts w:hint="eastAsia" w:ascii="Times New Roman" w:hAnsi="Times New Roman"/>
          <w:b/>
          <w:bCs/>
          <w:snapToGrid/>
          <w:lang w:val="en-US" w:eastAsia="zh-CN"/>
        </w:rPr>
        <w:t>湖南绿色食品产业发展示范区</w:t>
      </w:r>
      <w:r>
        <w:rPr>
          <w:rFonts w:hint="eastAsia"/>
        </w:rPr>
        <w:t>。充分利用桃江得天独厚的自然条件和丰富的农业资源，结合现代绿色农业技术，打造集种植、加工、销售为一体的全链条</w:t>
      </w:r>
      <w:r>
        <w:rPr>
          <w:rFonts w:hint="eastAsia"/>
          <w:lang w:val="en-US" w:eastAsia="zh-CN"/>
        </w:rPr>
        <w:t>生态</w:t>
      </w:r>
      <w:r>
        <w:rPr>
          <w:rFonts w:hint="eastAsia"/>
        </w:rPr>
        <w:t>绿色食品产业体系。</w:t>
      </w:r>
      <w:r>
        <w:rPr>
          <w:rFonts w:hint="eastAsia"/>
          <w:lang w:val="en-US" w:eastAsia="zh-CN"/>
        </w:rPr>
        <w:t>重点</w:t>
      </w:r>
      <w:r>
        <w:rPr>
          <w:rFonts w:hint="eastAsia"/>
        </w:rPr>
        <w:t>发展竹笋、</w:t>
      </w:r>
      <w:r>
        <w:rPr>
          <w:rFonts w:hint="eastAsia"/>
          <w:lang w:val="en-US" w:eastAsia="zh-CN"/>
        </w:rPr>
        <w:t>茶叶、蔬菜</w:t>
      </w:r>
      <w:r>
        <w:rPr>
          <w:rFonts w:hint="eastAsia"/>
        </w:rPr>
        <w:t>优势特色产业，精心打造竹笋、修山面、竹泉米、松木塘红薯粉、</w:t>
      </w:r>
      <w:r>
        <w:rPr>
          <w:rFonts w:hint="eastAsia"/>
          <w:lang w:eastAsia="zh-CN"/>
        </w:rPr>
        <w:t>松木塘腊肉、</w:t>
      </w:r>
      <w:r>
        <w:rPr>
          <w:rFonts w:hint="eastAsia"/>
          <w:lang w:val="en-US" w:eastAsia="zh-CN"/>
        </w:rPr>
        <w:t>马迹塘油豆腐</w:t>
      </w:r>
      <w:r>
        <w:rPr>
          <w:rFonts w:hint="eastAsia"/>
        </w:rPr>
        <w:t>等具有桃江地方特色的食品加工业</w:t>
      </w:r>
      <w:r>
        <w:rPr>
          <w:rFonts w:hint="eastAsia"/>
          <w:lang w:eastAsia="zh-CN"/>
        </w:rPr>
        <w:t>。利用终端产品和核心产品优势，</w:t>
      </w:r>
      <w:r>
        <w:rPr>
          <w:rFonts w:hint="eastAsia"/>
          <w:lang w:val="en-US" w:eastAsia="zh-CN"/>
        </w:rPr>
        <w:t>开展</w:t>
      </w:r>
      <w:r>
        <w:rPr>
          <w:rFonts w:ascii="Times New Roman" w:hAnsi="Times New Roman"/>
          <w:snapToGrid/>
        </w:rPr>
        <w:t>产业链招商，聚集国内外先进</w:t>
      </w:r>
      <w:r>
        <w:rPr>
          <w:rFonts w:hint="eastAsia" w:ascii="Times New Roman" w:hAnsi="Times New Roman"/>
          <w:snapToGrid/>
          <w:lang w:val="en-US" w:eastAsia="zh-CN"/>
        </w:rPr>
        <w:t>绿色食品企业，</w:t>
      </w:r>
      <w:r>
        <w:rPr>
          <w:rFonts w:hint="eastAsia"/>
          <w:lang w:eastAsia="zh-CN"/>
        </w:rPr>
        <w:t>建设现代化的冷链物流、仓储设施，大力培育壮大绿色食品产业集群，</w:t>
      </w:r>
      <w:r>
        <w:rPr>
          <w:rFonts w:hint="eastAsia"/>
          <w:lang w:val="en-US" w:eastAsia="zh-CN"/>
        </w:rPr>
        <w:t>将桃江打造</w:t>
      </w:r>
      <w:r>
        <w:rPr>
          <w:rFonts w:hint="eastAsia"/>
          <w:lang w:eastAsia="zh-CN"/>
        </w:rPr>
        <w:t>成为湖南省内首屈一指的生态绿色食品产业发展示范区。</w:t>
      </w:r>
    </w:p>
    <w:p w14:paraId="1BE3292B">
      <w:pPr>
        <w:numPr>
          <w:ilvl w:val="0"/>
          <w:numId w:val="0"/>
        </w:numPr>
        <w:ind w:firstLine="602" w:firstLineChars="200"/>
        <w:rPr>
          <w:rFonts w:hint="eastAsia" w:ascii="Times New Roman" w:hAnsi="Times New Roman"/>
          <w:snapToGrid/>
          <w:lang w:val="en-US" w:eastAsia="zh-CN"/>
        </w:rPr>
      </w:pPr>
      <w:r>
        <w:rPr>
          <w:rFonts w:hint="eastAsia" w:ascii="Times New Roman" w:hAnsi="Times New Roman"/>
          <w:b/>
          <w:bCs/>
          <w:snapToGrid/>
          <w:lang w:val="en-US" w:eastAsia="zh-CN"/>
        </w:rPr>
        <w:t>湖南现代农业高质量发展样板区。</w:t>
      </w:r>
      <w:r>
        <w:rPr>
          <w:rFonts w:hint="eastAsia"/>
          <w:lang w:val="en-US" w:eastAsia="zh-CN"/>
        </w:rPr>
        <w:t>依托桃江县优越的地理条件、丰富的自然资源以及政府的大力支持，通过发展生态绿色食品产业，优化农业产业结构，大力发展高附加值作物和特色农产品，延长产业链条，</w:t>
      </w:r>
      <w:r>
        <w:rPr>
          <w:rFonts w:hint="eastAsia" w:ascii="Times New Roman" w:hAnsi="Times New Roman"/>
          <w:snapToGrid/>
          <w:lang w:val="en-US" w:eastAsia="zh-CN"/>
        </w:rPr>
        <w:t>构建“</w:t>
      </w:r>
      <w:r>
        <w:rPr>
          <w:rFonts w:hint="eastAsia" w:ascii="仿宋" w:hAnsi="仿宋" w:eastAsia="仿宋" w:cs="仿宋"/>
          <w:snapToGrid/>
          <w:lang w:val="en-US" w:eastAsia="zh-CN"/>
        </w:rPr>
        <w:t>种植+加工+商贸+旅游</w:t>
      </w:r>
      <w:r>
        <w:rPr>
          <w:rFonts w:hint="eastAsia" w:ascii="Times New Roman" w:hAnsi="Times New Roman"/>
          <w:snapToGrid/>
          <w:lang w:val="en-US" w:eastAsia="zh-CN"/>
        </w:rPr>
        <w:t>”的全产业链格局，加速一二三产融合发展。</w:t>
      </w:r>
      <w:r>
        <w:rPr>
          <w:rFonts w:hint="eastAsia"/>
          <w:lang w:val="en-US" w:eastAsia="zh-CN"/>
        </w:rPr>
        <w:t>同时利用大数据、物联网、云计算等信息技术，建立智慧农业平台，实现农业生产过程的智能化管理和决策，提高农业精细化管理水平</w:t>
      </w:r>
      <w:r>
        <w:rPr>
          <w:rFonts w:hint="eastAsia" w:ascii="Times New Roman" w:hAnsi="Times New Roman"/>
          <w:snapToGrid/>
          <w:lang w:val="en-US" w:eastAsia="zh-CN"/>
        </w:rPr>
        <w:t>，提升农业的科技含量和经济效益，为我国现代农业发展探索出一条可复制、可推广的新型路径，成为湖南乃至全国现代农业发展的样板。</w:t>
      </w:r>
    </w:p>
    <w:p w14:paraId="712E15F6">
      <w:pPr>
        <w:numPr>
          <w:ilvl w:val="0"/>
          <w:numId w:val="0"/>
        </w:numPr>
        <w:ind w:firstLine="602" w:firstLineChars="200"/>
        <w:rPr>
          <w:rFonts w:hint="eastAsia" w:ascii="Times New Roman" w:hAnsi="Times New Roman"/>
          <w:snapToGrid/>
          <w:lang w:val="en-US" w:eastAsia="zh-CN"/>
        </w:rPr>
      </w:pPr>
      <w:r>
        <w:rPr>
          <w:rFonts w:hint="eastAsia" w:ascii="Times New Roman" w:hAnsi="Times New Roman"/>
          <w:b/>
          <w:bCs/>
          <w:snapToGrid/>
          <w:lang w:val="en-US" w:eastAsia="zh-CN"/>
        </w:rPr>
        <w:t>全国绿色食品重要供应基地。</w:t>
      </w:r>
      <w:r>
        <w:rPr>
          <w:rFonts w:hint="eastAsia" w:ascii="Times New Roman" w:hAnsi="Times New Roman"/>
          <w:snapToGrid/>
          <w:lang w:val="en-US" w:eastAsia="zh-CN"/>
        </w:rPr>
        <w:t>全面推行生态绿色种植，采用有机肥料和生物防治等方法，减少化学农药和化肥的使用，确保食品的绿色、安全和健康。建立和完善生态绿色食品的生产标准和质量管理体系，从源头上控制产品质量，确保每一件产品</w:t>
      </w:r>
      <w:r>
        <w:rPr>
          <w:rFonts w:hint="eastAsia" w:ascii="仿宋" w:hAnsi="仿宋" w:eastAsia="仿宋" w:cs="仿宋"/>
          <w:snapToGrid/>
          <w:sz w:val="30"/>
          <w:szCs w:val="30"/>
          <w:lang w:val="en-US" w:eastAsia="zh-CN"/>
        </w:rPr>
        <w:t>都达到国家和国际绿色食品标准。大力</w:t>
      </w:r>
      <w:r>
        <w:rPr>
          <w:rFonts w:hint="eastAsia" w:ascii="仿宋" w:hAnsi="仿宋" w:eastAsia="仿宋" w:cs="仿宋"/>
          <w:i w:val="0"/>
          <w:iCs w:val="0"/>
          <w:caps w:val="0"/>
          <w:color w:val="auto"/>
          <w:spacing w:val="0"/>
          <w:sz w:val="30"/>
          <w:szCs w:val="30"/>
          <w:shd w:val="clear" w:color="auto" w:fill="FFFFFF"/>
        </w:rPr>
        <w:t>实施</w:t>
      </w:r>
      <w:r>
        <w:rPr>
          <w:rFonts w:hint="eastAsia" w:ascii="仿宋" w:hAnsi="仿宋" w:eastAsia="仿宋" w:cs="仿宋"/>
          <w:i w:val="0"/>
          <w:iCs w:val="0"/>
          <w:caps w:val="0"/>
          <w:color w:val="auto"/>
          <w:spacing w:val="0"/>
          <w:sz w:val="30"/>
          <w:szCs w:val="30"/>
          <w:shd w:val="clear" w:color="auto" w:fill="FFFFFF"/>
          <w:lang w:eastAsia="zh-CN"/>
        </w:rPr>
        <w:t>桃江竹笋</w:t>
      </w:r>
      <w:r>
        <w:rPr>
          <w:rFonts w:hint="eastAsia" w:ascii="仿宋" w:hAnsi="仿宋" w:eastAsia="仿宋" w:cs="仿宋"/>
          <w:i w:val="0"/>
          <w:iCs w:val="0"/>
          <w:caps w:val="0"/>
          <w:color w:val="auto"/>
          <w:spacing w:val="0"/>
          <w:sz w:val="30"/>
          <w:szCs w:val="30"/>
          <w:shd w:val="clear" w:color="auto" w:fill="FFFFFF"/>
        </w:rPr>
        <w:t>、</w:t>
      </w:r>
      <w:r>
        <w:rPr>
          <w:rFonts w:hint="eastAsia" w:ascii="仿宋" w:hAnsi="仿宋" w:eastAsia="仿宋" w:cs="仿宋"/>
          <w:i w:val="0"/>
          <w:iCs w:val="0"/>
          <w:caps w:val="0"/>
          <w:color w:val="auto"/>
          <w:spacing w:val="0"/>
          <w:sz w:val="30"/>
          <w:szCs w:val="30"/>
          <w:shd w:val="clear" w:color="auto" w:fill="FFFFFF"/>
          <w:lang w:eastAsia="zh-CN"/>
        </w:rPr>
        <w:t>桃江竹叶</w:t>
      </w:r>
      <w:r>
        <w:rPr>
          <w:rFonts w:hint="eastAsia" w:ascii="仿宋" w:hAnsi="仿宋" w:eastAsia="仿宋" w:cs="仿宋"/>
          <w:i w:val="0"/>
          <w:iCs w:val="0"/>
          <w:caps w:val="0"/>
          <w:color w:val="auto"/>
          <w:spacing w:val="0"/>
          <w:sz w:val="30"/>
          <w:szCs w:val="30"/>
          <w:shd w:val="clear" w:color="auto" w:fill="FFFFFF"/>
        </w:rPr>
        <w:t>等区域公用品牌培育计划，</w:t>
      </w:r>
      <w:r>
        <w:rPr>
          <w:rFonts w:hint="eastAsia" w:ascii="仿宋" w:hAnsi="仿宋" w:eastAsia="仿宋" w:cs="仿宋"/>
          <w:i w:val="0"/>
          <w:iCs w:val="0"/>
          <w:caps w:val="0"/>
          <w:color w:val="auto"/>
          <w:spacing w:val="0"/>
          <w:sz w:val="30"/>
          <w:szCs w:val="30"/>
          <w:shd w:val="clear" w:color="auto" w:fill="FFFFFF"/>
          <w:lang w:val="en-US" w:eastAsia="zh-CN"/>
        </w:rPr>
        <w:t>全力</w:t>
      </w:r>
      <w:r>
        <w:rPr>
          <w:rFonts w:hint="eastAsia" w:ascii="仿宋" w:hAnsi="仿宋" w:eastAsia="仿宋" w:cs="仿宋"/>
          <w:i w:val="0"/>
          <w:iCs w:val="0"/>
          <w:caps w:val="0"/>
          <w:color w:val="auto"/>
          <w:spacing w:val="0"/>
          <w:sz w:val="30"/>
          <w:szCs w:val="30"/>
          <w:shd w:val="clear" w:color="auto" w:fill="FFFFFF"/>
        </w:rPr>
        <w:t>推进“</w:t>
      </w:r>
      <w:r>
        <w:rPr>
          <w:rFonts w:hint="eastAsia" w:ascii="仿宋" w:hAnsi="仿宋" w:eastAsia="仿宋" w:cs="仿宋"/>
          <w:i w:val="0"/>
          <w:iCs w:val="0"/>
          <w:caps w:val="0"/>
          <w:color w:val="auto"/>
          <w:spacing w:val="0"/>
          <w:sz w:val="30"/>
          <w:szCs w:val="30"/>
          <w:shd w:val="clear" w:color="auto" w:fill="FFFFFF"/>
          <w:lang w:eastAsia="zh-CN"/>
        </w:rPr>
        <w:t>桃江</w:t>
      </w:r>
      <w:r>
        <w:rPr>
          <w:rFonts w:hint="eastAsia" w:ascii="仿宋" w:hAnsi="仿宋" w:cs="仿宋"/>
          <w:i w:val="0"/>
          <w:iCs w:val="0"/>
          <w:caps w:val="0"/>
          <w:color w:val="auto"/>
          <w:spacing w:val="0"/>
          <w:sz w:val="30"/>
          <w:szCs w:val="30"/>
          <w:shd w:val="clear" w:color="auto" w:fill="FFFFFF"/>
          <w:lang w:val="en-US" w:eastAsia="zh-CN"/>
        </w:rPr>
        <w:t>竹</w:t>
      </w:r>
      <w:r>
        <w:rPr>
          <w:rFonts w:hint="eastAsia" w:ascii="仿宋" w:hAnsi="仿宋" w:eastAsia="仿宋" w:cs="仿宋"/>
          <w:i w:val="0"/>
          <w:iCs w:val="0"/>
          <w:caps w:val="0"/>
          <w:color w:val="auto"/>
          <w:spacing w:val="0"/>
          <w:sz w:val="30"/>
          <w:szCs w:val="30"/>
          <w:shd w:val="clear" w:color="auto" w:fill="FFFFFF"/>
          <w:lang w:eastAsia="zh-CN"/>
        </w:rPr>
        <w:t>福</w:t>
      </w:r>
      <w:r>
        <w:rPr>
          <w:rFonts w:hint="eastAsia" w:ascii="仿宋" w:hAnsi="仿宋" w:eastAsia="仿宋" w:cs="仿宋"/>
          <w:i w:val="0"/>
          <w:iCs w:val="0"/>
          <w:caps w:val="0"/>
          <w:color w:val="auto"/>
          <w:spacing w:val="0"/>
          <w:sz w:val="30"/>
          <w:szCs w:val="30"/>
          <w:shd w:val="clear" w:color="auto" w:fill="FFFFFF"/>
        </w:rPr>
        <w:t>”系列产品品牌创建工程。支持产业龙头企业等新型农业经营主体申报“二品一标”和注册商标，扩大</w:t>
      </w:r>
      <w:r>
        <w:rPr>
          <w:rFonts w:hint="eastAsia" w:ascii="仿宋" w:hAnsi="仿宋" w:eastAsia="仿宋" w:cs="仿宋"/>
          <w:i w:val="0"/>
          <w:iCs w:val="0"/>
          <w:caps w:val="0"/>
          <w:color w:val="auto"/>
          <w:spacing w:val="0"/>
          <w:sz w:val="30"/>
          <w:szCs w:val="30"/>
          <w:shd w:val="clear" w:color="auto" w:fill="FFFFFF"/>
          <w:lang w:eastAsia="zh-CN"/>
        </w:rPr>
        <w:t>桃江</w:t>
      </w:r>
      <w:r>
        <w:rPr>
          <w:rFonts w:hint="eastAsia" w:ascii="仿宋" w:hAnsi="仿宋" w:cs="仿宋"/>
          <w:i w:val="0"/>
          <w:iCs w:val="0"/>
          <w:caps w:val="0"/>
          <w:color w:val="auto"/>
          <w:spacing w:val="0"/>
          <w:sz w:val="30"/>
          <w:szCs w:val="30"/>
          <w:shd w:val="clear" w:color="auto" w:fill="FFFFFF"/>
          <w:lang w:val="en-US" w:eastAsia="zh-CN"/>
        </w:rPr>
        <w:t>绿色食品</w:t>
      </w:r>
      <w:r>
        <w:rPr>
          <w:rFonts w:hint="eastAsia" w:ascii="仿宋" w:hAnsi="仿宋" w:eastAsia="仿宋" w:cs="仿宋"/>
          <w:i w:val="0"/>
          <w:iCs w:val="0"/>
          <w:caps w:val="0"/>
          <w:color w:val="auto"/>
          <w:spacing w:val="0"/>
          <w:sz w:val="30"/>
          <w:szCs w:val="30"/>
          <w:shd w:val="clear" w:color="auto" w:fill="FFFFFF"/>
        </w:rPr>
        <w:t>知名度</w:t>
      </w:r>
      <w:r>
        <w:rPr>
          <w:rFonts w:hint="eastAsia" w:ascii="仿宋" w:hAnsi="仿宋" w:eastAsia="仿宋" w:cs="仿宋"/>
          <w:i w:val="0"/>
          <w:iCs w:val="0"/>
          <w:caps w:val="0"/>
          <w:color w:val="auto"/>
          <w:spacing w:val="0"/>
          <w:sz w:val="30"/>
          <w:szCs w:val="30"/>
          <w:shd w:val="clear" w:color="auto" w:fill="FFFFFF"/>
          <w:lang w:eastAsia="zh-CN"/>
        </w:rPr>
        <w:t>，</w:t>
      </w:r>
      <w:r>
        <w:rPr>
          <w:rFonts w:hint="eastAsia" w:ascii="仿宋" w:hAnsi="仿宋" w:eastAsia="仿宋" w:cs="仿宋"/>
          <w:snapToGrid/>
          <w:sz w:val="30"/>
          <w:szCs w:val="30"/>
          <w:lang w:val="en-US" w:eastAsia="zh-CN"/>
        </w:rPr>
        <w:t>提升桃江绿色食品的供给能力，促进绿色农业的可持续发展，为</w:t>
      </w:r>
      <w:r>
        <w:rPr>
          <w:rFonts w:hint="eastAsia" w:ascii="仿宋" w:hAnsi="仿宋" w:cs="仿宋"/>
          <w:snapToGrid/>
          <w:sz w:val="30"/>
          <w:szCs w:val="30"/>
          <w:lang w:val="en-US" w:eastAsia="zh-CN"/>
        </w:rPr>
        <w:t>湖南乃至全国</w:t>
      </w:r>
      <w:r>
        <w:rPr>
          <w:rFonts w:hint="eastAsia" w:ascii="仿宋" w:hAnsi="仿宋" w:eastAsia="仿宋" w:cs="仿宋"/>
          <w:snapToGrid/>
          <w:sz w:val="30"/>
          <w:szCs w:val="30"/>
          <w:lang w:val="en-US" w:eastAsia="zh-CN"/>
        </w:rPr>
        <w:t>绿色食品产业的繁荣贡献力量，满足人民对健康、安全、环保食品的日益增长需求。</w:t>
      </w:r>
    </w:p>
    <w:p w14:paraId="6869AC85">
      <w:pPr>
        <w:pStyle w:val="184"/>
        <w:numPr>
          <w:ilvl w:val="0"/>
          <w:numId w:val="2"/>
        </w:numPr>
      </w:pPr>
      <w:bookmarkStart w:id="69" w:name="_Toc18367"/>
      <w:r>
        <w:rPr>
          <w:rFonts w:hint="eastAsia"/>
          <w:lang w:val="en-US" w:eastAsia="zh-CN"/>
        </w:rPr>
        <w:t>发展目标</w:t>
      </w:r>
      <w:bookmarkEnd w:id="69"/>
    </w:p>
    <w:p w14:paraId="59D7A3BD">
      <w:pPr>
        <w:tabs>
          <w:tab w:val="left" w:pos="2607"/>
        </w:tabs>
        <w:bidi w:val="0"/>
        <w:ind w:left="0" w:leftChars="0" w:firstLine="600" w:firstLineChars="200"/>
        <w:jc w:val="left"/>
        <w:rPr>
          <w:rFonts w:hint="default" w:ascii="Times New Roman" w:hAnsi="Times New Roman" w:eastAsia="仿宋" w:cs="Times New Roman"/>
          <w:i w:val="0"/>
          <w:iCs w:val="0"/>
          <w:caps w:val="0"/>
          <w:color w:val="auto"/>
          <w:spacing w:val="0"/>
          <w:sz w:val="30"/>
          <w:szCs w:val="30"/>
          <w:shd w:val="clear" w:color="auto" w:fill="FFFFFF"/>
          <w:lang w:eastAsia="zh-CN"/>
        </w:rPr>
      </w:pPr>
      <w:r>
        <w:rPr>
          <w:rFonts w:hint="default" w:ascii="Times New Roman" w:hAnsi="Times New Roman" w:eastAsia="仿宋" w:cs="Times New Roman"/>
          <w:i w:val="0"/>
          <w:iCs w:val="0"/>
          <w:caps w:val="0"/>
          <w:color w:val="auto"/>
          <w:spacing w:val="0"/>
          <w:sz w:val="30"/>
          <w:szCs w:val="30"/>
          <w:shd w:val="clear" w:color="auto" w:fill="FFFFFF"/>
        </w:rPr>
        <w:t>到20</w:t>
      </w:r>
      <w:r>
        <w:rPr>
          <w:rFonts w:hint="default" w:ascii="Times New Roman" w:hAnsi="Times New Roman" w:eastAsia="仿宋" w:cs="Times New Roman"/>
          <w:i w:val="0"/>
          <w:iCs w:val="0"/>
          <w:caps w:val="0"/>
          <w:color w:val="auto"/>
          <w:spacing w:val="0"/>
          <w:sz w:val="30"/>
          <w:szCs w:val="30"/>
          <w:shd w:val="clear" w:color="auto" w:fill="FFFFFF"/>
          <w:lang w:val="en-US" w:eastAsia="zh-CN"/>
        </w:rPr>
        <w:t>30</w:t>
      </w:r>
      <w:r>
        <w:rPr>
          <w:rFonts w:hint="default" w:ascii="Times New Roman" w:hAnsi="Times New Roman" w:eastAsia="仿宋" w:cs="Times New Roman"/>
          <w:i w:val="0"/>
          <w:iCs w:val="0"/>
          <w:caps w:val="0"/>
          <w:color w:val="auto"/>
          <w:spacing w:val="0"/>
          <w:sz w:val="30"/>
          <w:szCs w:val="30"/>
          <w:shd w:val="clear" w:color="auto" w:fill="FFFFFF"/>
        </w:rPr>
        <w:t>年，</w:t>
      </w:r>
      <w:r>
        <w:rPr>
          <w:rFonts w:hint="default" w:ascii="Times New Roman" w:hAnsi="Times New Roman" w:eastAsia="仿宋" w:cs="Times New Roman"/>
          <w:i w:val="0"/>
          <w:iCs w:val="0"/>
          <w:caps w:val="0"/>
          <w:color w:val="auto"/>
          <w:spacing w:val="0"/>
          <w:sz w:val="30"/>
          <w:szCs w:val="30"/>
          <w:shd w:val="clear" w:color="auto" w:fill="FFFFFF"/>
          <w:lang w:val="en-US" w:eastAsia="zh-CN"/>
        </w:rPr>
        <w:t>桃江生态</w:t>
      </w:r>
      <w:r>
        <w:rPr>
          <w:rFonts w:hint="default" w:ascii="Times New Roman" w:hAnsi="Times New Roman" w:eastAsia="仿宋" w:cs="Times New Roman"/>
          <w:i w:val="0"/>
          <w:iCs w:val="0"/>
          <w:caps w:val="0"/>
          <w:color w:val="auto"/>
          <w:spacing w:val="0"/>
          <w:sz w:val="30"/>
          <w:szCs w:val="30"/>
          <w:shd w:val="clear" w:color="auto" w:fill="FFFFFF"/>
        </w:rPr>
        <w:t>绿色食品产业</w:t>
      </w:r>
      <w:r>
        <w:rPr>
          <w:rFonts w:hint="eastAsia" w:ascii="Times New Roman" w:hAnsi="Times New Roman" w:cs="Times New Roman"/>
          <w:i w:val="0"/>
          <w:iCs w:val="0"/>
          <w:caps w:val="0"/>
          <w:color w:val="auto"/>
          <w:spacing w:val="0"/>
          <w:sz w:val="30"/>
          <w:szCs w:val="30"/>
          <w:shd w:val="clear" w:color="auto" w:fill="FFFFFF"/>
          <w:lang w:val="en-US" w:eastAsia="zh-CN"/>
        </w:rPr>
        <w:t>链</w:t>
      </w:r>
      <w:r>
        <w:rPr>
          <w:rFonts w:hint="default" w:ascii="Times New Roman" w:hAnsi="Times New Roman" w:eastAsia="仿宋" w:cs="Times New Roman"/>
          <w:i w:val="0"/>
          <w:iCs w:val="0"/>
          <w:caps w:val="0"/>
          <w:color w:val="auto"/>
          <w:spacing w:val="0"/>
          <w:sz w:val="30"/>
          <w:szCs w:val="30"/>
          <w:shd w:val="clear" w:color="auto" w:fill="FFFFFF"/>
        </w:rPr>
        <w:t>竞争力进一步增强，培育出一批规模大、实力强的绿色食品生产经营主体，建成一批高质量、高水平的农产品标准化生产基地</w:t>
      </w:r>
      <w:r>
        <w:rPr>
          <w:rFonts w:hint="default" w:ascii="Times New Roman" w:hAnsi="Times New Roman" w:eastAsia="仿宋" w:cs="Times New Roman"/>
          <w:i w:val="0"/>
          <w:iCs w:val="0"/>
          <w:caps w:val="0"/>
          <w:color w:val="auto"/>
          <w:spacing w:val="0"/>
          <w:sz w:val="30"/>
          <w:szCs w:val="30"/>
          <w:shd w:val="clear" w:color="auto" w:fill="FFFFFF"/>
          <w:lang w:eastAsia="zh-CN"/>
        </w:rPr>
        <w:t>，推动绿色食品与</w:t>
      </w:r>
      <w:r>
        <w:rPr>
          <w:rFonts w:hint="default" w:ascii="Times New Roman" w:hAnsi="Times New Roman" w:eastAsia="仿宋" w:cs="Times New Roman"/>
          <w:i w:val="0"/>
          <w:iCs w:val="0"/>
          <w:caps w:val="0"/>
          <w:color w:val="auto"/>
          <w:spacing w:val="0"/>
          <w:sz w:val="30"/>
          <w:szCs w:val="30"/>
          <w:shd w:val="clear" w:color="auto" w:fill="FFFFFF"/>
          <w:lang w:val="en-US" w:eastAsia="zh-CN"/>
        </w:rPr>
        <w:t>生态</w:t>
      </w:r>
      <w:r>
        <w:rPr>
          <w:rFonts w:hint="default" w:ascii="Times New Roman" w:hAnsi="Times New Roman" w:eastAsia="仿宋" w:cs="Times New Roman"/>
          <w:i w:val="0"/>
          <w:iCs w:val="0"/>
          <w:caps w:val="0"/>
          <w:color w:val="auto"/>
          <w:spacing w:val="0"/>
          <w:sz w:val="30"/>
          <w:szCs w:val="30"/>
          <w:shd w:val="clear" w:color="auto" w:fill="FFFFFF"/>
          <w:lang w:eastAsia="zh-CN"/>
        </w:rPr>
        <w:t>旅游、健康养生等产业的融合发展，形成多元化的绿色食品产业生态圈，提升产业综合效益。</w:t>
      </w:r>
    </w:p>
    <w:p w14:paraId="5AB4E252">
      <w:pPr>
        <w:pStyle w:val="3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70" w:firstLineChars="200"/>
        <w:jc w:val="both"/>
        <w:textAlignment w:val="auto"/>
        <w:rPr>
          <w:rFonts w:hint="default" w:ascii="Times New Roman" w:hAnsi="Times New Roman" w:eastAsia="仿宋" w:cs="Times New Roman"/>
          <w:i w:val="0"/>
          <w:iCs w:val="0"/>
          <w:caps w:val="0"/>
          <w:color w:val="000000"/>
          <w:spacing w:val="2"/>
          <w:sz w:val="30"/>
          <w:szCs w:val="30"/>
          <w:shd w:val="clear" w:fill="FFFFFF"/>
          <w:lang w:val="en-US"/>
        </w:rPr>
      </w:pPr>
      <w:r>
        <w:rPr>
          <w:rStyle w:val="37"/>
          <w:rFonts w:hint="eastAsia" w:ascii="Times New Roman" w:hAnsi="Times New Roman" w:cs="Times New Roman"/>
          <w:b/>
          <w:bCs/>
          <w:i w:val="0"/>
          <w:iCs w:val="0"/>
          <w:caps w:val="0"/>
          <w:color w:val="000000"/>
          <w:spacing w:val="17"/>
          <w:sz w:val="30"/>
          <w:szCs w:val="30"/>
          <w:shd w:val="clear" w:fill="FFFFFF"/>
          <w:lang w:val="en-US" w:eastAsia="zh-CN"/>
        </w:rPr>
        <w:t>——</w:t>
      </w:r>
      <w:r>
        <w:rPr>
          <w:rStyle w:val="37"/>
          <w:rFonts w:hint="default" w:ascii="Times New Roman" w:hAnsi="Times New Roman" w:eastAsia="仿宋" w:cs="Times New Roman"/>
          <w:b/>
          <w:bCs/>
          <w:i w:val="0"/>
          <w:iCs w:val="0"/>
          <w:caps w:val="0"/>
          <w:color w:val="000000"/>
          <w:spacing w:val="17"/>
          <w:sz w:val="30"/>
          <w:szCs w:val="30"/>
          <w:shd w:val="clear" w:fill="FFFFFF"/>
          <w:lang w:val="en-US"/>
        </w:rPr>
        <w:t>产业规模不断壮大。</w:t>
      </w:r>
      <w:r>
        <w:rPr>
          <w:rStyle w:val="37"/>
          <w:rFonts w:hint="default" w:ascii="Times New Roman" w:hAnsi="Times New Roman" w:eastAsia="仿宋" w:cs="Times New Roman"/>
          <w:b w:val="0"/>
          <w:bCs w:val="0"/>
          <w:i w:val="0"/>
          <w:iCs w:val="0"/>
          <w:caps w:val="0"/>
          <w:color w:val="000000"/>
          <w:spacing w:val="17"/>
          <w:sz w:val="30"/>
          <w:szCs w:val="30"/>
          <w:shd w:val="clear" w:fill="FFFFFF"/>
          <w:lang w:val="en-US" w:eastAsia="zh-CN"/>
        </w:rPr>
        <w:t>到2030年</w:t>
      </w:r>
      <w:r>
        <w:rPr>
          <w:rStyle w:val="37"/>
          <w:rFonts w:hint="eastAsia" w:ascii="Times New Roman" w:hAnsi="Times New Roman" w:cs="Times New Roman"/>
          <w:b w:val="0"/>
          <w:bCs w:val="0"/>
          <w:i w:val="0"/>
          <w:iCs w:val="0"/>
          <w:caps w:val="0"/>
          <w:color w:val="000000"/>
          <w:spacing w:val="17"/>
          <w:sz w:val="30"/>
          <w:szCs w:val="30"/>
          <w:shd w:val="clear" w:fill="FFFFFF"/>
          <w:lang w:val="en-US" w:eastAsia="zh-CN"/>
        </w:rPr>
        <w:t>，</w:t>
      </w:r>
      <w:r>
        <w:rPr>
          <w:rStyle w:val="37"/>
          <w:rFonts w:hint="default" w:ascii="Times New Roman" w:hAnsi="Times New Roman" w:eastAsia="仿宋" w:cs="Times New Roman"/>
          <w:b w:val="0"/>
          <w:bCs w:val="0"/>
          <w:i w:val="0"/>
          <w:iCs w:val="0"/>
          <w:caps w:val="0"/>
          <w:color w:val="000000"/>
          <w:spacing w:val="17"/>
          <w:sz w:val="30"/>
          <w:szCs w:val="30"/>
          <w:shd w:val="clear" w:fill="FFFFFF"/>
          <w:lang w:val="en-US" w:eastAsia="zh-CN"/>
        </w:rPr>
        <w:t>力争</w:t>
      </w:r>
      <w:r>
        <w:rPr>
          <w:rFonts w:hint="default" w:ascii="Times New Roman" w:hAnsi="Times New Roman" w:eastAsia="仿宋" w:cs="Times New Roman"/>
          <w:i w:val="0"/>
          <w:iCs w:val="0"/>
          <w:caps w:val="0"/>
          <w:color w:val="000000"/>
          <w:spacing w:val="17"/>
          <w:sz w:val="30"/>
          <w:szCs w:val="30"/>
          <w:shd w:val="clear" w:fill="FFFFFF"/>
          <w:lang w:val="en-US"/>
        </w:rPr>
        <w:t>全县</w:t>
      </w:r>
      <w:r>
        <w:rPr>
          <w:rFonts w:hint="eastAsia" w:ascii="Times New Roman" w:hAnsi="Times New Roman" w:cs="Times New Roman"/>
          <w:i w:val="0"/>
          <w:iCs w:val="0"/>
          <w:caps w:val="0"/>
          <w:color w:val="000000"/>
          <w:spacing w:val="17"/>
          <w:sz w:val="30"/>
          <w:szCs w:val="30"/>
          <w:shd w:val="clear" w:fill="FFFFFF"/>
          <w:lang w:val="en-US" w:eastAsia="zh-CN"/>
        </w:rPr>
        <w:t>生态</w:t>
      </w:r>
      <w:r>
        <w:rPr>
          <w:rFonts w:hint="default" w:ascii="Times New Roman" w:hAnsi="Times New Roman" w:eastAsia="仿宋" w:cs="Times New Roman"/>
          <w:i w:val="0"/>
          <w:iCs w:val="0"/>
          <w:caps w:val="0"/>
          <w:color w:val="000000"/>
          <w:spacing w:val="17"/>
          <w:sz w:val="30"/>
          <w:szCs w:val="30"/>
          <w:shd w:val="clear" w:fill="FFFFFF"/>
          <w:lang w:val="en-US"/>
        </w:rPr>
        <w:t>绿色食品产业产值突破</w:t>
      </w:r>
      <w:r>
        <w:rPr>
          <w:rFonts w:hint="default" w:ascii="Times New Roman" w:hAnsi="Times New Roman" w:cs="Times New Roman"/>
          <w:i w:val="0"/>
          <w:iCs w:val="0"/>
          <w:caps w:val="0"/>
          <w:color w:val="000000"/>
          <w:spacing w:val="2"/>
          <w:sz w:val="30"/>
          <w:szCs w:val="30"/>
          <w:shd w:val="clear" w:fill="FFFFFF"/>
          <w:lang w:val="en-US" w:eastAsia="zh-CN"/>
        </w:rPr>
        <w:t>150</w:t>
      </w:r>
      <w:r>
        <w:rPr>
          <w:rFonts w:hint="default" w:ascii="Times New Roman" w:hAnsi="Times New Roman" w:eastAsia="仿宋" w:cs="Times New Roman"/>
          <w:i w:val="0"/>
          <w:iCs w:val="0"/>
          <w:caps w:val="0"/>
          <w:color w:val="000000"/>
          <w:spacing w:val="2"/>
          <w:sz w:val="30"/>
          <w:szCs w:val="30"/>
          <w:shd w:val="clear" w:fill="FFFFFF"/>
          <w:lang w:val="en-US"/>
        </w:rPr>
        <w:t>亿元</w:t>
      </w:r>
      <w:r>
        <w:rPr>
          <w:rFonts w:hint="default" w:ascii="Times New Roman" w:hAnsi="Times New Roman" w:cs="Times New Roman"/>
          <w:i w:val="0"/>
          <w:iCs w:val="0"/>
          <w:caps w:val="0"/>
          <w:color w:val="000000"/>
          <w:spacing w:val="2"/>
          <w:sz w:val="30"/>
          <w:szCs w:val="30"/>
          <w:shd w:val="clear" w:fill="FFFFFF"/>
          <w:lang w:val="en-US" w:eastAsia="zh-CN"/>
        </w:rPr>
        <w:t>，</w:t>
      </w:r>
      <w:r>
        <w:rPr>
          <w:rFonts w:hint="default" w:ascii="Times New Roman" w:hAnsi="Times New Roman" w:eastAsia="仿宋" w:cs="Times New Roman"/>
          <w:kern w:val="0"/>
          <w:sz w:val="30"/>
          <w:szCs w:val="30"/>
        </w:rPr>
        <w:t>其中</w:t>
      </w:r>
      <w:r>
        <w:rPr>
          <w:rFonts w:hint="eastAsia" w:ascii="Times New Roman" w:hAnsi="Times New Roman" w:cs="Times New Roman"/>
          <w:kern w:val="0"/>
          <w:sz w:val="30"/>
          <w:szCs w:val="30"/>
          <w:lang w:val="en-US" w:eastAsia="zh-CN"/>
        </w:rPr>
        <w:t>竹笋产业产值50亿元，茶产业产值40亿元、蔬菜、</w:t>
      </w:r>
      <w:r>
        <w:rPr>
          <w:rFonts w:hint="eastAsia" w:ascii="Times New Roman" w:hAnsi="Times New Roman" w:eastAsia="仿宋" w:cs="Times New Roman"/>
          <w:kern w:val="0"/>
          <w:sz w:val="30"/>
          <w:szCs w:val="30"/>
        </w:rPr>
        <w:t>修山面</w:t>
      </w:r>
      <w:r>
        <w:rPr>
          <w:rFonts w:hint="eastAsia" w:ascii="Times New Roman" w:hAnsi="Times New Roman" w:cs="Times New Roman"/>
          <w:kern w:val="0"/>
          <w:sz w:val="30"/>
          <w:szCs w:val="30"/>
          <w:lang w:eastAsia="zh-CN"/>
        </w:rPr>
        <w:t>、</w:t>
      </w:r>
      <w:r>
        <w:rPr>
          <w:rFonts w:hint="eastAsia" w:ascii="Times New Roman" w:hAnsi="Times New Roman" w:cs="Times New Roman"/>
          <w:kern w:val="0"/>
          <w:sz w:val="30"/>
          <w:szCs w:val="30"/>
          <w:lang w:val="en-US" w:eastAsia="zh-CN"/>
        </w:rPr>
        <w:t>生态养殖</w:t>
      </w:r>
      <w:r>
        <w:rPr>
          <w:rFonts w:hint="eastAsia" w:ascii="Times New Roman" w:hAnsi="Times New Roman" w:eastAsia="仿宋" w:cs="Times New Roman"/>
          <w:kern w:val="0"/>
          <w:sz w:val="30"/>
          <w:szCs w:val="30"/>
          <w:lang w:val="en-US" w:eastAsia="zh-CN"/>
        </w:rPr>
        <w:t>等</w:t>
      </w:r>
      <w:r>
        <w:rPr>
          <w:rFonts w:hint="eastAsia" w:ascii="Times New Roman" w:hAnsi="Times New Roman" w:cs="Times New Roman"/>
          <w:kern w:val="0"/>
          <w:sz w:val="30"/>
          <w:szCs w:val="30"/>
          <w:lang w:val="en-US" w:eastAsia="zh-CN"/>
        </w:rPr>
        <w:t>其他</w:t>
      </w:r>
      <w:r>
        <w:rPr>
          <w:rFonts w:hint="eastAsia" w:ascii="Times New Roman" w:hAnsi="Times New Roman" w:eastAsia="仿宋" w:cs="Times New Roman"/>
          <w:kern w:val="0"/>
          <w:sz w:val="30"/>
          <w:szCs w:val="30"/>
        </w:rPr>
        <w:t>农副食品产值</w:t>
      </w:r>
      <w:r>
        <w:rPr>
          <w:rFonts w:hint="eastAsia" w:ascii="Times New Roman" w:hAnsi="Times New Roman" w:cs="Times New Roman"/>
          <w:kern w:val="0"/>
          <w:sz w:val="30"/>
          <w:szCs w:val="30"/>
          <w:lang w:val="en-US" w:eastAsia="zh-CN"/>
        </w:rPr>
        <w:t>40</w:t>
      </w:r>
      <w:r>
        <w:rPr>
          <w:rFonts w:hint="eastAsia" w:ascii="Times New Roman" w:hAnsi="Times New Roman" w:eastAsia="仿宋" w:cs="Times New Roman"/>
          <w:kern w:val="0"/>
          <w:sz w:val="30"/>
          <w:szCs w:val="30"/>
        </w:rPr>
        <w:t>亿元，休闲食品产业产值</w:t>
      </w:r>
      <w:r>
        <w:rPr>
          <w:rFonts w:hint="eastAsia" w:ascii="Times New Roman" w:hAnsi="Times New Roman" w:cs="Times New Roman"/>
          <w:kern w:val="0"/>
          <w:sz w:val="30"/>
          <w:szCs w:val="30"/>
          <w:lang w:val="en-US" w:eastAsia="zh-CN"/>
        </w:rPr>
        <w:t>20</w:t>
      </w:r>
      <w:r>
        <w:rPr>
          <w:rFonts w:hint="eastAsia" w:ascii="Times New Roman" w:hAnsi="Times New Roman" w:eastAsia="仿宋" w:cs="Times New Roman"/>
          <w:kern w:val="0"/>
          <w:sz w:val="30"/>
          <w:szCs w:val="30"/>
        </w:rPr>
        <w:t>亿元</w:t>
      </w:r>
      <w:r>
        <w:rPr>
          <w:rFonts w:hint="default" w:ascii="Times New Roman" w:hAnsi="Times New Roman" w:eastAsia="仿宋" w:cs="Times New Roman"/>
          <w:kern w:val="0"/>
          <w:sz w:val="30"/>
          <w:szCs w:val="30"/>
        </w:rPr>
        <w:t>。</w:t>
      </w:r>
      <w:r>
        <w:rPr>
          <w:rFonts w:hint="default" w:ascii="Times New Roman" w:hAnsi="Times New Roman" w:eastAsia="仿宋" w:cs="Times New Roman"/>
          <w:i w:val="0"/>
          <w:iCs w:val="0"/>
          <w:caps w:val="0"/>
          <w:color w:val="000000"/>
          <w:spacing w:val="-2"/>
          <w:sz w:val="30"/>
          <w:szCs w:val="30"/>
          <w:shd w:val="clear" w:fill="FFFFFF"/>
          <w:lang w:val="en-US"/>
        </w:rPr>
        <w:t>培育或引进产值超20亿元企业</w:t>
      </w:r>
      <w:r>
        <w:rPr>
          <w:rFonts w:hint="eastAsia" w:ascii="Times New Roman" w:hAnsi="Times New Roman" w:cs="Times New Roman"/>
          <w:i w:val="0"/>
          <w:iCs w:val="0"/>
          <w:caps w:val="0"/>
          <w:color w:val="000000"/>
          <w:spacing w:val="-2"/>
          <w:sz w:val="30"/>
          <w:szCs w:val="30"/>
          <w:shd w:val="clear" w:fill="FFFFFF"/>
          <w:lang w:val="en-US" w:eastAsia="zh-CN"/>
        </w:rPr>
        <w:t>2</w:t>
      </w:r>
      <w:r>
        <w:rPr>
          <w:rFonts w:hint="default" w:ascii="Times New Roman" w:hAnsi="Times New Roman" w:eastAsia="仿宋" w:cs="Times New Roman"/>
          <w:i w:val="0"/>
          <w:iCs w:val="0"/>
          <w:caps w:val="0"/>
          <w:color w:val="000000"/>
          <w:spacing w:val="-2"/>
          <w:sz w:val="30"/>
          <w:szCs w:val="30"/>
          <w:shd w:val="clear" w:fill="FFFFFF"/>
          <w:lang w:val="en-US"/>
        </w:rPr>
        <w:t>家以上、超10亿元企业</w:t>
      </w:r>
      <w:r>
        <w:rPr>
          <w:rFonts w:hint="eastAsia" w:ascii="Times New Roman" w:hAnsi="Times New Roman" w:cs="Times New Roman"/>
          <w:i w:val="0"/>
          <w:iCs w:val="0"/>
          <w:caps w:val="0"/>
          <w:color w:val="000000"/>
          <w:spacing w:val="-2"/>
          <w:sz w:val="30"/>
          <w:szCs w:val="30"/>
          <w:shd w:val="clear" w:fill="FFFFFF"/>
          <w:lang w:val="en-US" w:eastAsia="zh-CN"/>
        </w:rPr>
        <w:t>3</w:t>
      </w:r>
      <w:r>
        <w:rPr>
          <w:rFonts w:hint="default" w:ascii="Times New Roman" w:hAnsi="Times New Roman" w:eastAsia="仿宋" w:cs="Times New Roman"/>
          <w:i w:val="0"/>
          <w:iCs w:val="0"/>
          <w:caps w:val="0"/>
          <w:color w:val="000000"/>
          <w:spacing w:val="-2"/>
          <w:sz w:val="30"/>
          <w:szCs w:val="30"/>
          <w:shd w:val="clear" w:fill="FFFFFF"/>
          <w:lang w:val="en-US"/>
        </w:rPr>
        <w:t>家以</w:t>
      </w:r>
      <w:r>
        <w:rPr>
          <w:rFonts w:hint="default" w:ascii="Times New Roman" w:hAnsi="Times New Roman" w:eastAsia="仿宋" w:cs="Times New Roman"/>
          <w:i w:val="0"/>
          <w:iCs w:val="0"/>
          <w:caps w:val="0"/>
          <w:color w:val="000000"/>
          <w:spacing w:val="2"/>
          <w:sz w:val="30"/>
          <w:szCs w:val="30"/>
          <w:shd w:val="clear" w:fill="FFFFFF"/>
          <w:lang w:val="en-US"/>
        </w:rPr>
        <w:t>上、</w:t>
      </w:r>
      <w:r>
        <w:rPr>
          <w:rFonts w:hint="eastAsia" w:ascii="Times New Roman" w:hAnsi="Times New Roman" w:cs="Times New Roman"/>
          <w:i w:val="0"/>
          <w:iCs w:val="0"/>
          <w:caps w:val="0"/>
          <w:color w:val="000000"/>
          <w:spacing w:val="2"/>
          <w:sz w:val="30"/>
          <w:szCs w:val="30"/>
          <w:shd w:val="clear" w:fill="FFFFFF"/>
          <w:lang w:val="en-US" w:eastAsia="zh-CN"/>
        </w:rPr>
        <w:t>5亿—10亿</w:t>
      </w:r>
      <w:r>
        <w:rPr>
          <w:rFonts w:hint="default" w:ascii="Times New Roman" w:hAnsi="Times New Roman" w:eastAsia="仿宋" w:cs="Times New Roman"/>
          <w:i w:val="0"/>
          <w:iCs w:val="0"/>
          <w:caps w:val="0"/>
          <w:color w:val="000000"/>
          <w:spacing w:val="2"/>
          <w:sz w:val="30"/>
          <w:szCs w:val="30"/>
          <w:shd w:val="clear" w:fill="FFFFFF"/>
          <w:lang w:val="en-US"/>
        </w:rPr>
        <w:t>元企业</w:t>
      </w:r>
      <w:r>
        <w:rPr>
          <w:rFonts w:hint="eastAsia" w:ascii="Times New Roman" w:hAnsi="Times New Roman" w:cs="Times New Roman"/>
          <w:i w:val="0"/>
          <w:iCs w:val="0"/>
          <w:caps w:val="0"/>
          <w:color w:val="000000"/>
          <w:spacing w:val="2"/>
          <w:sz w:val="30"/>
          <w:szCs w:val="30"/>
          <w:shd w:val="clear" w:fill="FFFFFF"/>
          <w:lang w:val="en-US" w:eastAsia="zh-CN"/>
        </w:rPr>
        <w:t>5</w:t>
      </w:r>
      <w:r>
        <w:rPr>
          <w:rFonts w:hint="default" w:ascii="Times New Roman" w:hAnsi="Times New Roman" w:eastAsia="仿宋" w:cs="Times New Roman"/>
          <w:i w:val="0"/>
          <w:iCs w:val="0"/>
          <w:caps w:val="0"/>
          <w:color w:val="000000"/>
          <w:spacing w:val="2"/>
          <w:sz w:val="30"/>
          <w:szCs w:val="30"/>
          <w:shd w:val="clear" w:fill="FFFFFF"/>
          <w:lang w:val="en-US"/>
        </w:rPr>
        <w:t>家以上。</w:t>
      </w:r>
    </w:p>
    <w:p w14:paraId="5E60046E">
      <w:pPr>
        <w:pStyle w:val="3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70" w:firstLineChars="200"/>
        <w:jc w:val="both"/>
        <w:textAlignment w:val="auto"/>
        <w:rPr>
          <w:rStyle w:val="37"/>
          <w:rFonts w:hint="default" w:ascii="Times New Roman" w:hAnsi="Times New Roman" w:eastAsia="仿宋" w:cs="Times New Roman"/>
          <w:b w:val="0"/>
          <w:bCs w:val="0"/>
          <w:i w:val="0"/>
          <w:iCs w:val="0"/>
          <w:caps w:val="0"/>
          <w:color w:val="000000"/>
          <w:spacing w:val="17"/>
          <w:sz w:val="30"/>
          <w:szCs w:val="30"/>
          <w:shd w:val="clear" w:fill="FFFFFF"/>
          <w:lang w:val="en-US" w:eastAsia="zh-CN"/>
        </w:rPr>
      </w:pPr>
      <w:r>
        <w:rPr>
          <w:rStyle w:val="37"/>
          <w:rFonts w:hint="eastAsia" w:ascii="仿宋" w:hAnsi="仿宋" w:eastAsia="仿宋" w:cs="仿宋"/>
          <w:b/>
          <w:bCs/>
          <w:i w:val="0"/>
          <w:iCs w:val="0"/>
          <w:caps w:val="0"/>
          <w:color w:val="000000"/>
          <w:spacing w:val="17"/>
          <w:sz w:val="30"/>
          <w:szCs w:val="30"/>
          <w:shd w:val="clear" w:fill="FFFFFF"/>
          <w:lang w:val="en-US" w:eastAsia="zh-CN"/>
        </w:rPr>
        <w:t>——</w:t>
      </w:r>
      <w:r>
        <w:rPr>
          <w:rStyle w:val="37"/>
          <w:rFonts w:hint="default" w:ascii="Times New Roman" w:hAnsi="Times New Roman" w:eastAsia="仿宋" w:cs="Times New Roman"/>
          <w:b/>
          <w:bCs/>
          <w:i w:val="0"/>
          <w:iCs w:val="0"/>
          <w:caps w:val="0"/>
          <w:color w:val="000000"/>
          <w:spacing w:val="17"/>
          <w:sz w:val="30"/>
          <w:szCs w:val="30"/>
          <w:shd w:val="clear" w:fill="FFFFFF"/>
          <w:lang w:val="en-US"/>
        </w:rPr>
        <w:t>产业</w:t>
      </w:r>
      <w:r>
        <w:rPr>
          <w:rStyle w:val="37"/>
          <w:rFonts w:hint="eastAsia" w:ascii="Times New Roman" w:hAnsi="Times New Roman" w:cs="Times New Roman"/>
          <w:b/>
          <w:bCs/>
          <w:i w:val="0"/>
          <w:iCs w:val="0"/>
          <w:caps w:val="0"/>
          <w:color w:val="000000"/>
          <w:spacing w:val="17"/>
          <w:sz w:val="30"/>
          <w:szCs w:val="30"/>
          <w:shd w:val="clear" w:fill="FFFFFF"/>
          <w:lang w:val="en-US" w:eastAsia="zh-CN"/>
        </w:rPr>
        <w:t>结构不断优化</w:t>
      </w:r>
      <w:r>
        <w:rPr>
          <w:rStyle w:val="37"/>
          <w:rFonts w:hint="default" w:ascii="Times New Roman" w:hAnsi="Times New Roman" w:eastAsia="仿宋" w:cs="Times New Roman"/>
          <w:b/>
          <w:bCs/>
          <w:i w:val="0"/>
          <w:iCs w:val="0"/>
          <w:caps w:val="0"/>
          <w:color w:val="000000"/>
          <w:spacing w:val="17"/>
          <w:sz w:val="30"/>
          <w:szCs w:val="30"/>
          <w:shd w:val="clear" w:fill="FFFFFF"/>
          <w:lang w:val="en-US"/>
        </w:rPr>
        <w:t>。</w:t>
      </w:r>
      <w:r>
        <w:rPr>
          <w:rStyle w:val="37"/>
          <w:rFonts w:hint="default" w:ascii="Times New Roman" w:hAnsi="Times New Roman" w:eastAsia="仿宋" w:cs="Times New Roman"/>
          <w:b w:val="0"/>
          <w:bCs w:val="0"/>
          <w:i w:val="0"/>
          <w:iCs w:val="0"/>
          <w:caps w:val="0"/>
          <w:color w:val="000000"/>
          <w:spacing w:val="17"/>
          <w:sz w:val="30"/>
          <w:szCs w:val="30"/>
          <w:shd w:val="clear" w:fill="FFFFFF"/>
          <w:lang w:val="en-US" w:eastAsia="zh-CN"/>
        </w:rPr>
        <w:t>绿色食品全产业链标准体系更加健全，</w:t>
      </w:r>
      <w:r>
        <w:rPr>
          <w:rStyle w:val="37"/>
          <w:rFonts w:hint="eastAsia" w:ascii="Times New Roman" w:hAnsi="Times New Roman" w:cs="Times New Roman"/>
          <w:b w:val="0"/>
          <w:bCs w:val="0"/>
          <w:i w:val="0"/>
          <w:iCs w:val="0"/>
          <w:caps w:val="0"/>
          <w:color w:val="000000"/>
          <w:spacing w:val="17"/>
          <w:sz w:val="30"/>
          <w:szCs w:val="30"/>
          <w:shd w:val="clear" w:fill="FFFFFF"/>
          <w:lang w:val="en-US" w:eastAsia="zh-CN"/>
        </w:rPr>
        <w:t>加强生态绿色种养基地建设，扩大</w:t>
      </w:r>
      <w:r>
        <w:rPr>
          <w:rStyle w:val="37"/>
          <w:rFonts w:hint="default" w:ascii="Times New Roman" w:hAnsi="Times New Roman" w:eastAsia="仿宋" w:cs="Times New Roman"/>
          <w:b w:val="0"/>
          <w:bCs w:val="0"/>
          <w:i w:val="0"/>
          <w:iCs w:val="0"/>
          <w:caps w:val="0"/>
          <w:color w:val="000000"/>
          <w:spacing w:val="17"/>
          <w:sz w:val="30"/>
          <w:szCs w:val="30"/>
          <w:shd w:val="clear" w:fill="FFFFFF"/>
          <w:lang w:val="en-US" w:eastAsia="zh-CN"/>
        </w:rPr>
        <w:t>附加值高的新</w:t>
      </w:r>
      <w:r>
        <w:rPr>
          <w:rStyle w:val="37"/>
          <w:rFonts w:hint="eastAsia" w:ascii="Times New Roman" w:hAnsi="Times New Roman" w:cs="Times New Roman"/>
          <w:b w:val="0"/>
          <w:bCs w:val="0"/>
          <w:i w:val="0"/>
          <w:iCs w:val="0"/>
          <w:caps w:val="0"/>
          <w:color w:val="000000"/>
          <w:spacing w:val="17"/>
          <w:sz w:val="30"/>
          <w:szCs w:val="30"/>
          <w:shd w:val="clear" w:fill="FFFFFF"/>
          <w:lang w:val="en-US" w:eastAsia="zh-CN"/>
        </w:rPr>
        <w:t>产品</w:t>
      </w:r>
      <w:r>
        <w:rPr>
          <w:rStyle w:val="37"/>
          <w:rFonts w:hint="default" w:ascii="Times New Roman" w:hAnsi="Times New Roman" w:eastAsia="仿宋" w:cs="Times New Roman"/>
          <w:b w:val="0"/>
          <w:bCs w:val="0"/>
          <w:i w:val="0"/>
          <w:iCs w:val="0"/>
          <w:caps w:val="0"/>
          <w:color w:val="000000"/>
          <w:spacing w:val="17"/>
          <w:sz w:val="30"/>
          <w:szCs w:val="30"/>
          <w:shd w:val="clear" w:fill="FFFFFF"/>
          <w:lang w:val="en-US" w:eastAsia="zh-CN"/>
        </w:rPr>
        <w:t>规模</w:t>
      </w:r>
      <w:r>
        <w:rPr>
          <w:rStyle w:val="37"/>
          <w:rFonts w:hint="eastAsia" w:ascii="Times New Roman" w:hAnsi="Times New Roman" w:cs="Times New Roman"/>
          <w:b w:val="0"/>
          <w:bCs w:val="0"/>
          <w:i w:val="0"/>
          <w:iCs w:val="0"/>
          <w:caps w:val="0"/>
          <w:color w:val="000000"/>
          <w:spacing w:val="17"/>
          <w:sz w:val="30"/>
          <w:szCs w:val="30"/>
          <w:shd w:val="clear" w:fill="FFFFFF"/>
          <w:lang w:val="en-US" w:eastAsia="zh-CN"/>
        </w:rPr>
        <w:t>，做好“农头工尾”增值文章，做大做强绿色食品精深加工，重点强化规上加工企业培育及绿色食品双招双引工作。到2030年，</w:t>
      </w:r>
      <w:r>
        <w:rPr>
          <w:rStyle w:val="37"/>
          <w:rFonts w:hint="default" w:ascii="Times New Roman" w:hAnsi="Times New Roman" w:eastAsia="仿宋" w:cs="Times New Roman"/>
          <w:b w:val="0"/>
          <w:bCs w:val="0"/>
          <w:i w:val="0"/>
          <w:iCs w:val="0"/>
          <w:caps w:val="0"/>
          <w:color w:val="000000"/>
          <w:spacing w:val="17"/>
          <w:sz w:val="30"/>
          <w:szCs w:val="30"/>
          <w:shd w:val="clear" w:fill="FFFFFF"/>
          <w:lang w:val="en-US" w:eastAsia="zh-CN"/>
        </w:rPr>
        <w:t>绿色食品</w:t>
      </w:r>
      <w:r>
        <w:rPr>
          <w:rStyle w:val="37"/>
          <w:rFonts w:hint="eastAsia" w:ascii="Times New Roman" w:hAnsi="Times New Roman" w:cs="Times New Roman"/>
          <w:b w:val="0"/>
          <w:bCs w:val="0"/>
          <w:i w:val="0"/>
          <w:iCs w:val="0"/>
          <w:caps w:val="0"/>
          <w:color w:val="000000"/>
          <w:spacing w:val="17"/>
          <w:sz w:val="30"/>
          <w:szCs w:val="30"/>
          <w:shd w:val="clear" w:fill="FFFFFF"/>
          <w:lang w:val="en-US" w:eastAsia="zh-CN"/>
        </w:rPr>
        <w:t>规模以上</w:t>
      </w:r>
      <w:r>
        <w:rPr>
          <w:rStyle w:val="37"/>
          <w:rFonts w:hint="default" w:ascii="Times New Roman" w:hAnsi="Times New Roman" w:eastAsia="仿宋" w:cs="Times New Roman"/>
          <w:b w:val="0"/>
          <w:bCs w:val="0"/>
          <w:i w:val="0"/>
          <w:iCs w:val="0"/>
          <w:caps w:val="0"/>
          <w:color w:val="000000"/>
          <w:spacing w:val="17"/>
          <w:sz w:val="30"/>
          <w:szCs w:val="30"/>
          <w:shd w:val="clear" w:fill="FFFFFF"/>
          <w:lang w:val="en-US" w:eastAsia="zh-CN"/>
        </w:rPr>
        <w:t>企业</w:t>
      </w:r>
      <w:r>
        <w:rPr>
          <w:rStyle w:val="37"/>
          <w:rFonts w:hint="eastAsia" w:ascii="Times New Roman" w:hAnsi="Times New Roman" w:cs="Times New Roman"/>
          <w:b w:val="0"/>
          <w:bCs w:val="0"/>
          <w:i w:val="0"/>
          <w:iCs w:val="0"/>
          <w:caps w:val="0"/>
          <w:color w:val="000000"/>
          <w:spacing w:val="17"/>
          <w:sz w:val="30"/>
          <w:szCs w:val="30"/>
          <w:shd w:val="clear" w:fill="FFFFFF"/>
          <w:lang w:val="en-US" w:eastAsia="zh-CN"/>
        </w:rPr>
        <w:t>超过70家，高新技术企业超过40家</w:t>
      </w:r>
      <w:r>
        <w:rPr>
          <w:rStyle w:val="37"/>
          <w:rFonts w:hint="default" w:ascii="Times New Roman" w:hAnsi="Times New Roman" w:eastAsia="仿宋" w:cs="Times New Roman"/>
          <w:b w:val="0"/>
          <w:bCs w:val="0"/>
          <w:i w:val="0"/>
          <w:iCs w:val="0"/>
          <w:caps w:val="0"/>
          <w:color w:val="000000"/>
          <w:spacing w:val="17"/>
          <w:sz w:val="30"/>
          <w:szCs w:val="30"/>
          <w:shd w:val="clear" w:fill="FFFFFF"/>
          <w:lang w:val="en-US" w:eastAsia="zh-CN"/>
        </w:rPr>
        <w:t>。</w:t>
      </w:r>
    </w:p>
    <w:p w14:paraId="0274CFD3">
      <w:pPr>
        <w:pStyle w:val="3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70" w:firstLineChars="200"/>
        <w:jc w:val="both"/>
        <w:textAlignment w:val="auto"/>
        <w:rPr>
          <w:rStyle w:val="37"/>
          <w:rFonts w:hint="eastAsia" w:ascii="Times New Roman" w:hAnsi="Times New Roman" w:cs="Times New Roman"/>
          <w:b w:val="0"/>
          <w:bCs w:val="0"/>
          <w:i w:val="0"/>
          <w:iCs w:val="0"/>
          <w:caps w:val="0"/>
          <w:color w:val="000000"/>
          <w:spacing w:val="17"/>
          <w:sz w:val="30"/>
          <w:szCs w:val="30"/>
          <w:shd w:val="clear" w:fill="FFFFFF"/>
          <w:lang w:val="en-US" w:eastAsia="zh-CN"/>
        </w:rPr>
      </w:pPr>
      <w:r>
        <w:rPr>
          <w:rStyle w:val="37"/>
          <w:rFonts w:hint="eastAsia" w:ascii="仿宋" w:hAnsi="仿宋" w:eastAsia="仿宋" w:cs="仿宋"/>
          <w:b/>
          <w:bCs/>
          <w:i w:val="0"/>
          <w:iCs w:val="0"/>
          <w:caps w:val="0"/>
          <w:color w:val="000000"/>
          <w:spacing w:val="17"/>
          <w:sz w:val="30"/>
          <w:szCs w:val="30"/>
          <w:shd w:val="clear" w:fill="FFFFFF"/>
          <w:lang w:val="en-US" w:eastAsia="zh-CN"/>
        </w:rPr>
        <w:t>——</w:t>
      </w:r>
      <w:r>
        <w:rPr>
          <w:rStyle w:val="37"/>
          <w:rFonts w:hint="default" w:ascii="Times New Roman" w:hAnsi="Times New Roman" w:eastAsia="仿宋" w:cs="Times New Roman"/>
          <w:b/>
          <w:bCs/>
          <w:i w:val="0"/>
          <w:iCs w:val="0"/>
          <w:caps w:val="0"/>
          <w:color w:val="000000"/>
          <w:spacing w:val="17"/>
          <w:sz w:val="30"/>
          <w:szCs w:val="30"/>
          <w:shd w:val="clear" w:fill="FFFFFF"/>
          <w:lang w:val="en-US"/>
        </w:rPr>
        <w:t>品牌质量显著提升。</w:t>
      </w:r>
      <w:r>
        <w:rPr>
          <w:rStyle w:val="37"/>
          <w:rFonts w:hint="eastAsia" w:ascii="仿宋" w:hAnsi="仿宋" w:eastAsia="仿宋" w:cs="仿宋"/>
          <w:b w:val="0"/>
          <w:bCs w:val="0"/>
          <w:i w:val="0"/>
          <w:iCs w:val="0"/>
          <w:caps w:val="0"/>
          <w:color w:val="000000"/>
          <w:spacing w:val="17"/>
          <w:sz w:val="30"/>
          <w:szCs w:val="30"/>
          <w:shd w:val="clear" w:fill="FFFFFF"/>
          <w:lang w:val="en-US" w:eastAsia="zh-CN"/>
        </w:rPr>
        <w:t>“两品一标”</w:t>
      </w:r>
      <w:r>
        <w:rPr>
          <w:rStyle w:val="37"/>
          <w:rFonts w:hint="default" w:ascii="Times New Roman" w:hAnsi="Times New Roman" w:eastAsia="仿宋" w:cs="Times New Roman"/>
          <w:b w:val="0"/>
          <w:bCs w:val="0"/>
          <w:i w:val="0"/>
          <w:iCs w:val="0"/>
          <w:caps w:val="0"/>
          <w:color w:val="000000"/>
          <w:spacing w:val="17"/>
          <w:sz w:val="30"/>
          <w:szCs w:val="30"/>
          <w:shd w:val="clear" w:fill="FFFFFF"/>
          <w:lang w:val="en-US" w:eastAsia="zh-CN"/>
        </w:rPr>
        <w:t>认证覆盖率超全省平均水平，新培育</w:t>
      </w:r>
      <w:r>
        <w:rPr>
          <w:rStyle w:val="37"/>
          <w:rFonts w:hint="eastAsia" w:ascii="Times New Roman" w:hAnsi="Times New Roman" w:cs="Times New Roman"/>
          <w:b w:val="0"/>
          <w:bCs w:val="0"/>
          <w:i w:val="0"/>
          <w:iCs w:val="0"/>
          <w:caps w:val="0"/>
          <w:color w:val="000000"/>
          <w:spacing w:val="17"/>
          <w:sz w:val="30"/>
          <w:szCs w:val="30"/>
          <w:shd w:val="clear" w:fill="FFFFFF"/>
          <w:lang w:val="en-US" w:eastAsia="zh-CN"/>
        </w:rPr>
        <w:t>2</w:t>
      </w:r>
      <w:r>
        <w:rPr>
          <w:rStyle w:val="37"/>
          <w:rFonts w:hint="default" w:ascii="Times New Roman" w:hAnsi="Times New Roman" w:eastAsia="仿宋" w:cs="Times New Roman"/>
          <w:b w:val="0"/>
          <w:bCs w:val="0"/>
          <w:i w:val="0"/>
          <w:iCs w:val="0"/>
          <w:caps w:val="0"/>
          <w:color w:val="000000"/>
          <w:spacing w:val="17"/>
          <w:sz w:val="30"/>
          <w:szCs w:val="30"/>
          <w:shd w:val="clear" w:fill="FFFFFF"/>
          <w:lang w:val="en-US" w:eastAsia="zh-CN"/>
        </w:rPr>
        <w:t>个区域公用品牌、</w:t>
      </w:r>
      <w:r>
        <w:rPr>
          <w:rStyle w:val="37"/>
          <w:rFonts w:hint="eastAsia" w:ascii="Times New Roman" w:hAnsi="Times New Roman" w:cs="Times New Roman"/>
          <w:b w:val="0"/>
          <w:bCs w:val="0"/>
          <w:i w:val="0"/>
          <w:iCs w:val="0"/>
          <w:caps w:val="0"/>
          <w:color w:val="000000"/>
          <w:spacing w:val="17"/>
          <w:sz w:val="30"/>
          <w:szCs w:val="30"/>
          <w:shd w:val="clear" w:fill="FFFFFF"/>
          <w:lang w:val="en-US" w:eastAsia="zh-CN"/>
        </w:rPr>
        <w:t>3</w:t>
      </w:r>
      <w:r>
        <w:rPr>
          <w:rStyle w:val="37"/>
          <w:rFonts w:hint="default" w:ascii="Times New Roman" w:hAnsi="Times New Roman" w:eastAsia="仿宋" w:cs="Times New Roman"/>
          <w:b w:val="0"/>
          <w:bCs w:val="0"/>
          <w:i w:val="0"/>
          <w:iCs w:val="0"/>
          <w:caps w:val="0"/>
          <w:color w:val="000000"/>
          <w:spacing w:val="17"/>
          <w:sz w:val="30"/>
          <w:szCs w:val="30"/>
          <w:shd w:val="clear" w:fill="FFFFFF"/>
          <w:lang w:val="en-US" w:eastAsia="zh-CN"/>
        </w:rPr>
        <w:t>个中国驰名商标，品牌价值及影响力显著提升。质量安全追溯</w:t>
      </w:r>
      <w:r>
        <w:rPr>
          <w:rStyle w:val="37"/>
          <w:rFonts w:hint="eastAsia" w:ascii="Times New Roman" w:hAnsi="Times New Roman" w:cs="Times New Roman"/>
          <w:b w:val="0"/>
          <w:bCs w:val="0"/>
          <w:i w:val="0"/>
          <w:iCs w:val="0"/>
          <w:caps w:val="0"/>
          <w:color w:val="000000"/>
          <w:spacing w:val="17"/>
          <w:sz w:val="30"/>
          <w:szCs w:val="30"/>
          <w:shd w:val="clear" w:fill="FFFFFF"/>
          <w:lang w:val="en-US" w:eastAsia="zh-CN"/>
        </w:rPr>
        <w:t>体系</w:t>
      </w:r>
      <w:r>
        <w:rPr>
          <w:rStyle w:val="37"/>
          <w:rFonts w:hint="default" w:ascii="Times New Roman" w:hAnsi="Times New Roman" w:eastAsia="仿宋" w:cs="Times New Roman"/>
          <w:b w:val="0"/>
          <w:bCs w:val="0"/>
          <w:i w:val="0"/>
          <w:iCs w:val="0"/>
          <w:caps w:val="0"/>
          <w:color w:val="000000"/>
          <w:spacing w:val="17"/>
          <w:sz w:val="30"/>
          <w:szCs w:val="30"/>
          <w:shd w:val="clear" w:fill="FFFFFF"/>
          <w:lang w:val="en-US" w:eastAsia="zh-CN"/>
        </w:rPr>
        <w:t>更加完善，建立覆盖全产业链质量追溯体系的规上食品加工企业数大幅提升</w:t>
      </w:r>
      <w:r>
        <w:rPr>
          <w:rStyle w:val="37"/>
          <w:rFonts w:hint="eastAsia" w:ascii="Times New Roman" w:hAnsi="Times New Roman" w:cs="Times New Roman"/>
          <w:b w:val="0"/>
          <w:bCs w:val="0"/>
          <w:i w:val="0"/>
          <w:iCs w:val="0"/>
          <w:caps w:val="0"/>
          <w:color w:val="000000"/>
          <w:spacing w:val="17"/>
          <w:sz w:val="30"/>
          <w:szCs w:val="30"/>
          <w:shd w:val="clear" w:fill="FFFFFF"/>
          <w:lang w:val="en-US" w:eastAsia="zh-CN"/>
        </w:rPr>
        <w:t>。到2030年，“绿色食品”认证企业超过50家，“绿色食品”认证产品超过120个。</w:t>
      </w:r>
    </w:p>
    <w:p w14:paraId="1B5BE4E3">
      <w:pPr>
        <w:pStyle w:val="3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70" w:firstLineChars="200"/>
        <w:jc w:val="both"/>
        <w:textAlignment w:val="auto"/>
        <w:rPr>
          <w:rStyle w:val="37"/>
          <w:rFonts w:hint="default" w:ascii="Times New Roman" w:hAnsi="Times New Roman" w:cs="Times New Roman"/>
          <w:b w:val="0"/>
          <w:bCs w:val="0"/>
          <w:i w:val="0"/>
          <w:iCs w:val="0"/>
          <w:caps w:val="0"/>
          <w:color w:val="000000"/>
          <w:spacing w:val="17"/>
          <w:sz w:val="30"/>
          <w:szCs w:val="30"/>
          <w:shd w:val="clear" w:fill="FFFFFF"/>
          <w:lang w:val="en-US" w:eastAsia="zh-CN"/>
        </w:rPr>
      </w:pPr>
      <w:r>
        <w:rPr>
          <w:rStyle w:val="37"/>
          <w:rFonts w:hint="eastAsia" w:ascii="仿宋" w:hAnsi="仿宋" w:eastAsia="仿宋" w:cs="仿宋"/>
          <w:b/>
          <w:bCs/>
          <w:i w:val="0"/>
          <w:iCs w:val="0"/>
          <w:caps w:val="0"/>
          <w:color w:val="000000"/>
          <w:spacing w:val="17"/>
          <w:sz w:val="30"/>
          <w:szCs w:val="30"/>
          <w:shd w:val="clear" w:fill="FFFFFF"/>
          <w:lang w:val="en-US" w:eastAsia="zh-CN"/>
        </w:rPr>
        <w:t>——</w:t>
      </w:r>
      <w:r>
        <w:rPr>
          <w:rStyle w:val="37"/>
          <w:rFonts w:hint="eastAsia" w:ascii="仿宋" w:hAnsi="仿宋" w:cs="仿宋"/>
          <w:b/>
          <w:bCs/>
          <w:i w:val="0"/>
          <w:iCs w:val="0"/>
          <w:caps w:val="0"/>
          <w:color w:val="000000"/>
          <w:spacing w:val="17"/>
          <w:sz w:val="30"/>
          <w:szCs w:val="30"/>
          <w:shd w:val="clear" w:fill="FFFFFF"/>
          <w:lang w:val="en-US" w:eastAsia="zh-CN"/>
        </w:rPr>
        <w:t>链群效益</w:t>
      </w:r>
      <w:r>
        <w:rPr>
          <w:rStyle w:val="37"/>
          <w:rFonts w:hint="eastAsia" w:ascii="Times New Roman" w:hAnsi="Times New Roman" w:cs="Times New Roman"/>
          <w:b/>
          <w:bCs/>
          <w:i w:val="0"/>
          <w:iCs w:val="0"/>
          <w:caps w:val="0"/>
          <w:color w:val="000000"/>
          <w:spacing w:val="17"/>
          <w:sz w:val="30"/>
          <w:szCs w:val="30"/>
          <w:shd w:val="clear" w:fill="FFFFFF"/>
          <w:lang w:val="en-US" w:eastAsia="zh-CN"/>
        </w:rPr>
        <w:t>更加凸显。</w:t>
      </w:r>
      <w:r>
        <w:rPr>
          <w:rStyle w:val="37"/>
          <w:rFonts w:hint="eastAsia" w:ascii="Times New Roman" w:hAnsi="Times New Roman" w:cs="Times New Roman"/>
          <w:b w:val="0"/>
          <w:bCs w:val="0"/>
          <w:i w:val="0"/>
          <w:iCs w:val="0"/>
          <w:caps w:val="0"/>
          <w:color w:val="auto"/>
          <w:spacing w:val="17"/>
          <w:sz w:val="30"/>
          <w:szCs w:val="30"/>
          <w:shd w:val="clear" w:fill="FFFFFF"/>
          <w:lang w:val="en-US" w:eastAsia="zh-CN"/>
        </w:rPr>
        <w:t>“一园一区多基地”的绿色产业链群</w:t>
      </w:r>
      <w:r>
        <w:rPr>
          <w:rStyle w:val="37"/>
          <w:rFonts w:hint="eastAsia" w:ascii="Times New Roman" w:hAnsi="Times New Roman" w:cs="Times New Roman"/>
          <w:b w:val="0"/>
          <w:bCs w:val="0"/>
          <w:i w:val="0"/>
          <w:iCs w:val="0"/>
          <w:caps w:val="0"/>
          <w:color w:val="000000"/>
          <w:spacing w:val="17"/>
          <w:sz w:val="30"/>
          <w:szCs w:val="30"/>
          <w:shd w:val="clear" w:fill="FFFFFF"/>
          <w:lang w:val="en-US" w:eastAsia="zh-CN"/>
        </w:rPr>
        <w:t>效应更加凸显，“基地+加工+商贸+旅游”的全产业链体系更加完善，形成生态绿色食品源头供给、生产加工、仓储物流、电子商务、生态旅游融合发展新格局。到2030年，力争将桃江生态绿色食品产业集群打造成省级产业集群。</w:t>
      </w:r>
    </w:p>
    <w:p w14:paraId="441DFEB8">
      <w:pPr>
        <w:ind w:firstLine="600"/>
        <w:rPr>
          <w:rStyle w:val="37"/>
          <w:rFonts w:hint="default" w:ascii="Times New Roman" w:hAnsi="Times New Roman" w:cs="Times New Roman"/>
          <w:b w:val="0"/>
          <w:bCs w:val="0"/>
          <w:i w:val="0"/>
          <w:iCs w:val="0"/>
          <w:caps w:val="0"/>
          <w:color w:val="000000"/>
          <w:spacing w:val="17"/>
          <w:sz w:val="30"/>
          <w:szCs w:val="30"/>
          <w:shd w:val="clear" w:fill="FFFFFF"/>
          <w:lang w:val="en-US" w:eastAsia="zh-CN"/>
        </w:rPr>
      </w:pPr>
      <w:r>
        <w:rPr>
          <w:rFonts w:hint="default" w:ascii="Times New Roman" w:hAnsi="Times New Roman" w:eastAsia="仿宋" w:cs="Times New Roman"/>
          <w:i w:val="0"/>
          <w:iCs w:val="0"/>
          <w:caps w:val="0"/>
          <w:color w:val="auto"/>
          <w:spacing w:val="0"/>
          <w:sz w:val="30"/>
          <w:szCs w:val="30"/>
          <w:shd w:val="clear" w:color="auto" w:fill="FFFFFF"/>
        </w:rPr>
        <w:t>到20</w:t>
      </w:r>
      <w:r>
        <w:rPr>
          <w:rFonts w:hint="default" w:ascii="Times New Roman" w:hAnsi="Times New Roman" w:eastAsia="仿宋" w:cs="Times New Roman"/>
          <w:i w:val="0"/>
          <w:iCs w:val="0"/>
          <w:caps w:val="0"/>
          <w:color w:val="auto"/>
          <w:spacing w:val="0"/>
          <w:sz w:val="30"/>
          <w:szCs w:val="30"/>
          <w:shd w:val="clear" w:color="auto" w:fill="FFFFFF"/>
          <w:lang w:val="en-US" w:eastAsia="zh-CN"/>
        </w:rPr>
        <w:t>35</w:t>
      </w:r>
      <w:r>
        <w:rPr>
          <w:rFonts w:hint="default" w:ascii="Times New Roman" w:hAnsi="Times New Roman" w:eastAsia="仿宋" w:cs="Times New Roman"/>
          <w:i w:val="0"/>
          <w:iCs w:val="0"/>
          <w:caps w:val="0"/>
          <w:color w:val="auto"/>
          <w:spacing w:val="0"/>
          <w:sz w:val="30"/>
          <w:szCs w:val="30"/>
          <w:shd w:val="clear" w:color="auto" w:fill="FFFFFF"/>
        </w:rPr>
        <w:t>年，</w:t>
      </w:r>
      <w:r>
        <w:rPr>
          <w:rFonts w:hint="default" w:ascii="Times New Roman" w:hAnsi="Times New Roman" w:eastAsia="仿宋" w:cs="Times New Roman"/>
          <w:i w:val="0"/>
          <w:iCs w:val="0"/>
          <w:caps w:val="0"/>
          <w:color w:val="auto"/>
          <w:spacing w:val="0"/>
          <w:sz w:val="30"/>
          <w:szCs w:val="30"/>
          <w:shd w:val="clear" w:color="auto" w:fill="FFFFFF"/>
          <w:lang w:val="en-US" w:eastAsia="zh-CN"/>
        </w:rPr>
        <w:t>不断完善绿色食品产业链，协同提升生态效应、经济效益和社会效应，进一步增强在保护农业生态环境、增加绿色优质农产品供给、促进农业增效和农民增收等方面的示范带动作用，</w:t>
      </w:r>
      <w:r>
        <w:rPr>
          <w:rFonts w:hint="eastAsia" w:ascii="Times New Roman" w:hAnsi="Times New Roman"/>
          <w:snapToGrid/>
          <w:lang w:val="en-US" w:eastAsia="zh-CN"/>
        </w:rPr>
        <w:t>力争将桃江打造成为湖南省生态绿色食品产业发展示范区、湖南现代农业高质量发展样板区、全国绿色食品重要供应基地。</w:t>
      </w:r>
    </w:p>
    <w:p w14:paraId="66DE1066">
      <w:pPr>
        <w:spacing w:line="460" w:lineRule="exact"/>
        <w:ind w:firstLine="0" w:firstLineChars="0"/>
        <w:jc w:val="center"/>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 xml:space="preserve">表3.3-1  </w:t>
      </w:r>
      <w:r>
        <w:rPr>
          <w:rFonts w:hint="eastAsia" w:ascii="Times New Roman" w:hAnsi="Times New Roman" w:eastAsia="黑体" w:cs="Times New Roman"/>
          <w:color w:val="auto"/>
          <w:sz w:val="24"/>
          <w:szCs w:val="24"/>
          <w:lang w:val="en-US" w:eastAsia="zh-CN"/>
        </w:rPr>
        <w:t>桃江生态绿色食品产业链</w:t>
      </w:r>
      <w:r>
        <w:rPr>
          <w:rFonts w:hint="default" w:ascii="Times New Roman" w:hAnsi="Times New Roman" w:eastAsia="黑体" w:cs="Times New Roman"/>
          <w:color w:val="auto"/>
          <w:sz w:val="24"/>
          <w:szCs w:val="24"/>
        </w:rPr>
        <w:t>目标表</w:t>
      </w:r>
    </w:p>
    <w:tbl>
      <w:tblPr>
        <w:tblStyle w:val="34"/>
        <w:tblW w:w="824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20"/>
        <w:gridCol w:w="3361"/>
        <w:gridCol w:w="1204"/>
        <w:gridCol w:w="1057"/>
        <w:gridCol w:w="1023"/>
        <w:gridCol w:w="881"/>
      </w:tblGrid>
      <w:tr w14:paraId="664B3B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04" w:hRule="atLeast"/>
          <w:tblHeader/>
          <w:jc w:val="center"/>
        </w:trPr>
        <w:tc>
          <w:tcPr>
            <w:tcW w:w="720" w:type="dxa"/>
            <w:tcBorders>
              <w:tl2br w:val="nil"/>
              <w:tr2bl w:val="nil"/>
            </w:tcBorders>
            <w:shd w:val="clear" w:color="auto" w:fill="auto"/>
            <w:vAlign w:val="center"/>
          </w:tcPr>
          <w:p w14:paraId="0AB7F3D5">
            <w:pPr>
              <w:widowControl/>
              <w:spacing w:line="240" w:lineRule="auto"/>
              <w:ind w:firstLine="0" w:firstLineChars="0"/>
              <w:jc w:val="center"/>
              <w:textAlignment w:val="center"/>
              <w:rPr>
                <w:rFonts w:hint="default" w:ascii="Times New Roman" w:hAnsi="Times New Roman" w:eastAsia="仿宋" w:cs="Times New Roman"/>
                <w:b/>
                <w:bCs/>
                <w:color w:val="auto"/>
                <w:kern w:val="0"/>
                <w:sz w:val="21"/>
                <w:szCs w:val="21"/>
                <w:lang w:bidi="ar"/>
              </w:rPr>
            </w:pPr>
            <w:r>
              <w:rPr>
                <w:rFonts w:hint="default" w:ascii="Times New Roman" w:hAnsi="Times New Roman" w:eastAsia="仿宋" w:cs="Times New Roman"/>
                <w:b/>
                <w:bCs/>
                <w:color w:val="auto"/>
                <w:kern w:val="0"/>
                <w:sz w:val="21"/>
                <w:szCs w:val="21"/>
                <w:lang w:bidi="ar"/>
              </w:rPr>
              <w:t>指标</w:t>
            </w:r>
          </w:p>
          <w:p w14:paraId="2562A26C">
            <w:pPr>
              <w:widowControl/>
              <w:spacing w:line="240" w:lineRule="auto"/>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仿宋" w:cs="Times New Roman"/>
                <w:b/>
                <w:bCs/>
                <w:color w:val="auto"/>
                <w:kern w:val="0"/>
                <w:sz w:val="21"/>
                <w:szCs w:val="21"/>
                <w:lang w:bidi="ar"/>
              </w:rPr>
              <w:t>类型</w:t>
            </w:r>
          </w:p>
        </w:tc>
        <w:tc>
          <w:tcPr>
            <w:tcW w:w="3361" w:type="dxa"/>
            <w:tcBorders>
              <w:tl2br w:val="nil"/>
              <w:tr2bl w:val="nil"/>
            </w:tcBorders>
            <w:shd w:val="clear" w:color="auto" w:fill="auto"/>
            <w:vAlign w:val="center"/>
          </w:tcPr>
          <w:p w14:paraId="061CE8E8">
            <w:pPr>
              <w:widowControl/>
              <w:spacing w:line="240" w:lineRule="auto"/>
              <w:ind w:firstLine="0" w:firstLineChars="0"/>
              <w:jc w:val="center"/>
              <w:textAlignment w:val="center"/>
              <w:rPr>
                <w:rFonts w:hint="default" w:ascii="Times New Roman" w:hAnsi="Times New Roman" w:eastAsia="仿宋" w:cs="Times New Roman"/>
                <w:b/>
                <w:bCs/>
                <w:color w:val="auto"/>
                <w:kern w:val="0"/>
                <w:sz w:val="21"/>
                <w:szCs w:val="21"/>
                <w:lang w:bidi="ar"/>
              </w:rPr>
            </w:pPr>
            <w:r>
              <w:rPr>
                <w:rFonts w:hint="default" w:ascii="Times New Roman" w:hAnsi="Times New Roman" w:eastAsia="仿宋" w:cs="Times New Roman"/>
                <w:b/>
                <w:bCs/>
                <w:color w:val="auto"/>
                <w:kern w:val="0"/>
                <w:sz w:val="21"/>
                <w:szCs w:val="21"/>
                <w:lang w:bidi="ar"/>
              </w:rPr>
              <w:t>分项</w:t>
            </w:r>
          </w:p>
          <w:p w14:paraId="1C4B6132">
            <w:pPr>
              <w:widowControl/>
              <w:spacing w:line="240" w:lineRule="auto"/>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仿宋" w:cs="Times New Roman"/>
                <w:b/>
                <w:bCs/>
                <w:color w:val="auto"/>
                <w:kern w:val="0"/>
                <w:sz w:val="21"/>
                <w:szCs w:val="21"/>
                <w:lang w:bidi="ar"/>
              </w:rPr>
              <w:t>指标</w:t>
            </w:r>
          </w:p>
        </w:tc>
        <w:tc>
          <w:tcPr>
            <w:tcW w:w="1204" w:type="dxa"/>
            <w:tcBorders>
              <w:tl2br w:val="nil"/>
              <w:tr2bl w:val="nil"/>
            </w:tcBorders>
            <w:shd w:val="clear" w:color="auto" w:fill="auto"/>
            <w:vAlign w:val="center"/>
          </w:tcPr>
          <w:p w14:paraId="361376CF">
            <w:pPr>
              <w:widowControl/>
              <w:spacing w:line="240" w:lineRule="auto"/>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2023</w:t>
            </w:r>
            <w:r>
              <w:rPr>
                <w:rFonts w:hint="default" w:ascii="Times New Roman" w:hAnsi="Times New Roman" w:eastAsia="仿宋" w:cs="Times New Roman"/>
                <w:b/>
                <w:bCs/>
                <w:color w:val="auto"/>
                <w:kern w:val="0"/>
                <w:sz w:val="21"/>
                <w:szCs w:val="21"/>
                <w:lang w:bidi="ar"/>
              </w:rPr>
              <w:t>年</w:t>
            </w:r>
          </w:p>
        </w:tc>
        <w:tc>
          <w:tcPr>
            <w:tcW w:w="1057" w:type="dxa"/>
            <w:tcBorders>
              <w:tl2br w:val="nil"/>
              <w:tr2bl w:val="nil"/>
            </w:tcBorders>
            <w:shd w:val="clear" w:color="auto" w:fill="auto"/>
            <w:vAlign w:val="center"/>
          </w:tcPr>
          <w:p w14:paraId="6B0C7A35">
            <w:pPr>
              <w:widowControl/>
              <w:spacing w:line="240" w:lineRule="auto"/>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2025</w:t>
            </w:r>
            <w:r>
              <w:rPr>
                <w:rFonts w:hint="default" w:ascii="Times New Roman" w:hAnsi="Times New Roman" w:eastAsia="仿宋" w:cs="Times New Roman"/>
                <w:b/>
                <w:bCs/>
                <w:color w:val="auto"/>
                <w:kern w:val="0"/>
                <w:sz w:val="21"/>
                <w:szCs w:val="21"/>
                <w:lang w:bidi="ar"/>
              </w:rPr>
              <w:t>年</w:t>
            </w:r>
          </w:p>
        </w:tc>
        <w:tc>
          <w:tcPr>
            <w:tcW w:w="1023" w:type="dxa"/>
            <w:tcBorders>
              <w:tl2br w:val="nil"/>
              <w:tr2bl w:val="nil"/>
            </w:tcBorders>
            <w:shd w:val="clear" w:color="auto" w:fill="auto"/>
            <w:vAlign w:val="center"/>
          </w:tcPr>
          <w:p w14:paraId="6FB4230A">
            <w:pPr>
              <w:widowControl/>
              <w:spacing w:line="240" w:lineRule="auto"/>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2030</w:t>
            </w:r>
            <w:r>
              <w:rPr>
                <w:rFonts w:hint="default" w:ascii="Times New Roman" w:hAnsi="Times New Roman" w:eastAsia="仿宋" w:cs="Times New Roman"/>
                <w:b/>
                <w:bCs/>
                <w:color w:val="auto"/>
                <w:kern w:val="0"/>
                <w:sz w:val="21"/>
                <w:szCs w:val="21"/>
                <w:lang w:bidi="ar"/>
              </w:rPr>
              <w:t>年</w:t>
            </w:r>
          </w:p>
        </w:tc>
        <w:tc>
          <w:tcPr>
            <w:tcW w:w="881" w:type="dxa"/>
            <w:tcBorders>
              <w:tl2br w:val="nil"/>
              <w:tr2bl w:val="nil"/>
            </w:tcBorders>
            <w:shd w:val="clear" w:color="auto" w:fill="auto"/>
            <w:vAlign w:val="center"/>
          </w:tcPr>
          <w:p w14:paraId="5DD9FBAD">
            <w:pPr>
              <w:widowControl/>
              <w:spacing w:line="240" w:lineRule="auto"/>
              <w:ind w:firstLine="0" w:firstLineChars="0"/>
              <w:jc w:val="center"/>
              <w:textAlignment w:val="center"/>
              <w:rPr>
                <w:rFonts w:hint="eastAsia" w:ascii="Times New Roman" w:hAnsi="Times New Roman" w:eastAsia="仿宋" w:cs="Times New Roman"/>
                <w:b/>
                <w:bCs/>
                <w:color w:val="auto"/>
                <w:kern w:val="0"/>
                <w:sz w:val="21"/>
                <w:szCs w:val="21"/>
                <w:lang w:val="en-US" w:eastAsia="zh-CN" w:bidi="ar"/>
              </w:rPr>
            </w:pPr>
            <w:r>
              <w:rPr>
                <w:rFonts w:hint="eastAsia" w:ascii="Times New Roman" w:hAnsi="Times New Roman" w:eastAsia="仿宋" w:cs="Times New Roman"/>
                <w:b/>
                <w:bCs/>
                <w:color w:val="auto"/>
                <w:kern w:val="0"/>
                <w:sz w:val="21"/>
                <w:szCs w:val="21"/>
                <w:lang w:val="en-US" w:eastAsia="zh-CN" w:bidi="ar"/>
              </w:rPr>
              <w:t>指标</w:t>
            </w:r>
          </w:p>
          <w:p w14:paraId="2E7FB3E1">
            <w:pPr>
              <w:widowControl/>
              <w:spacing w:line="240" w:lineRule="auto"/>
              <w:ind w:firstLine="0" w:firstLineChars="0"/>
              <w:jc w:val="center"/>
              <w:textAlignment w:val="center"/>
              <w:rPr>
                <w:rFonts w:hint="default" w:ascii="Times New Roman" w:hAnsi="Times New Roman" w:eastAsia="仿宋" w:cs="Times New Roman"/>
                <w:b/>
                <w:bCs/>
                <w:color w:val="auto"/>
                <w:kern w:val="0"/>
                <w:sz w:val="21"/>
                <w:szCs w:val="21"/>
                <w:lang w:val="en-US" w:eastAsia="zh-CN" w:bidi="ar"/>
              </w:rPr>
            </w:pPr>
            <w:r>
              <w:rPr>
                <w:rFonts w:hint="eastAsia" w:ascii="Times New Roman" w:hAnsi="Times New Roman" w:eastAsia="仿宋" w:cs="Times New Roman"/>
                <w:b/>
                <w:bCs/>
                <w:color w:val="auto"/>
                <w:kern w:val="0"/>
                <w:sz w:val="21"/>
                <w:szCs w:val="21"/>
                <w:lang w:val="en-US" w:eastAsia="zh-CN" w:bidi="ar"/>
              </w:rPr>
              <w:t>属性</w:t>
            </w:r>
          </w:p>
        </w:tc>
      </w:tr>
      <w:tr w14:paraId="4DBF76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4" w:hRule="atLeast"/>
          <w:jc w:val="center"/>
        </w:trPr>
        <w:tc>
          <w:tcPr>
            <w:tcW w:w="720" w:type="dxa"/>
            <w:vMerge w:val="restart"/>
            <w:tcBorders>
              <w:tl2br w:val="nil"/>
              <w:tr2bl w:val="nil"/>
            </w:tcBorders>
            <w:shd w:val="clear" w:color="auto" w:fill="auto"/>
            <w:vAlign w:val="center"/>
          </w:tcPr>
          <w:p w14:paraId="761657B7">
            <w:pPr>
              <w:widowControl/>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1"/>
                <w:szCs w:val="21"/>
                <w:lang w:val="en-US" w:eastAsia="zh-CN" w:bidi="ar"/>
              </w:rPr>
              <w:t>产业规模</w:t>
            </w:r>
          </w:p>
        </w:tc>
        <w:tc>
          <w:tcPr>
            <w:tcW w:w="3361" w:type="dxa"/>
            <w:tcBorders>
              <w:tl2br w:val="nil"/>
              <w:tr2bl w:val="nil"/>
            </w:tcBorders>
            <w:shd w:val="clear" w:color="auto" w:fill="auto"/>
            <w:vAlign w:val="center"/>
          </w:tcPr>
          <w:p w14:paraId="18ED3F06">
            <w:pPr>
              <w:widowControl/>
              <w:spacing w:line="240" w:lineRule="auto"/>
              <w:ind w:firstLine="0" w:firstLineChars="0"/>
              <w:jc w:val="both"/>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1.</w:t>
            </w:r>
            <w:r>
              <w:rPr>
                <w:rFonts w:hint="eastAsia" w:ascii="Times New Roman" w:hAnsi="Times New Roman" w:eastAsia="仿宋" w:cs="Times New Roman"/>
                <w:color w:val="auto"/>
                <w:kern w:val="0"/>
                <w:sz w:val="21"/>
                <w:szCs w:val="21"/>
                <w:lang w:val="en-US" w:eastAsia="zh-CN" w:bidi="ar"/>
              </w:rPr>
              <w:t>生态</w:t>
            </w:r>
            <w:r>
              <w:rPr>
                <w:rFonts w:hint="default" w:ascii="Times New Roman" w:hAnsi="Times New Roman" w:eastAsia="仿宋" w:cs="Times New Roman"/>
                <w:color w:val="auto"/>
                <w:kern w:val="0"/>
                <w:sz w:val="21"/>
                <w:szCs w:val="21"/>
                <w:lang w:val="en-US" w:bidi="ar"/>
              </w:rPr>
              <w:t>绿色食品产业</w:t>
            </w:r>
            <w:r>
              <w:rPr>
                <w:rFonts w:hint="eastAsia" w:ascii="Times New Roman" w:hAnsi="Times New Roman" w:cs="Times New Roman"/>
                <w:color w:val="auto"/>
                <w:kern w:val="0"/>
                <w:sz w:val="21"/>
                <w:szCs w:val="21"/>
                <w:lang w:val="en-US" w:eastAsia="zh-CN" w:bidi="ar"/>
              </w:rPr>
              <w:t>产值</w:t>
            </w:r>
            <w:r>
              <w:rPr>
                <w:rFonts w:hint="default" w:ascii="Times New Roman" w:hAnsi="Times New Roman" w:eastAsia="仿宋" w:cs="Times New Roman"/>
                <w:color w:val="auto"/>
                <w:kern w:val="0"/>
                <w:sz w:val="21"/>
                <w:szCs w:val="21"/>
                <w:lang w:bidi="ar"/>
              </w:rPr>
              <w:t>（亿元）</w:t>
            </w:r>
          </w:p>
        </w:tc>
        <w:tc>
          <w:tcPr>
            <w:tcW w:w="1204" w:type="dxa"/>
            <w:tcBorders>
              <w:tl2br w:val="nil"/>
              <w:tr2bl w:val="nil"/>
            </w:tcBorders>
            <w:shd w:val="clear" w:color="auto" w:fill="auto"/>
            <w:vAlign w:val="center"/>
          </w:tcPr>
          <w:p w14:paraId="2F42C295">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60</w:t>
            </w:r>
            <w:r>
              <w:rPr>
                <w:rFonts w:hint="default" w:ascii="Times New Roman" w:hAnsi="Times New Roman" w:eastAsia="仿宋" w:cs="Times New Roman"/>
                <w:color w:val="auto"/>
                <w:kern w:val="0"/>
                <w:sz w:val="21"/>
                <w:szCs w:val="21"/>
                <w:lang w:bidi="ar"/>
              </w:rPr>
              <w:t xml:space="preserve"> </w:t>
            </w:r>
          </w:p>
        </w:tc>
        <w:tc>
          <w:tcPr>
            <w:tcW w:w="1057" w:type="dxa"/>
            <w:tcBorders>
              <w:tl2br w:val="nil"/>
              <w:tr2bl w:val="nil"/>
            </w:tcBorders>
            <w:shd w:val="clear" w:color="auto" w:fill="auto"/>
            <w:vAlign w:val="center"/>
          </w:tcPr>
          <w:p w14:paraId="3F0864CB">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80</w:t>
            </w:r>
          </w:p>
        </w:tc>
        <w:tc>
          <w:tcPr>
            <w:tcW w:w="1023" w:type="dxa"/>
            <w:tcBorders>
              <w:tl2br w:val="nil"/>
              <w:tr2bl w:val="nil"/>
            </w:tcBorders>
            <w:shd w:val="clear" w:color="auto" w:fill="auto"/>
            <w:vAlign w:val="center"/>
          </w:tcPr>
          <w:p w14:paraId="30DCAAC8">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150</w:t>
            </w:r>
          </w:p>
        </w:tc>
        <w:tc>
          <w:tcPr>
            <w:tcW w:w="881" w:type="dxa"/>
            <w:tcBorders>
              <w:tl2br w:val="nil"/>
              <w:tr2bl w:val="nil"/>
            </w:tcBorders>
            <w:shd w:val="clear" w:color="auto" w:fill="auto"/>
            <w:vAlign w:val="center"/>
          </w:tcPr>
          <w:p w14:paraId="539B7D1F">
            <w:pPr>
              <w:widowControl/>
              <w:spacing w:line="240" w:lineRule="auto"/>
              <w:ind w:firstLine="0" w:firstLineChars="0"/>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预期性</w:t>
            </w:r>
          </w:p>
        </w:tc>
      </w:tr>
      <w:tr w14:paraId="4EC878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9" w:hRule="atLeast"/>
          <w:jc w:val="center"/>
        </w:trPr>
        <w:tc>
          <w:tcPr>
            <w:tcW w:w="720" w:type="dxa"/>
            <w:vMerge w:val="continue"/>
            <w:tcBorders>
              <w:tl2br w:val="nil"/>
              <w:tr2bl w:val="nil"/>
            </w:tcBorders>
            <w:shd w:val="clear" w:color="auto" w:fill="auto"/>
            <w:vAlign w:val="center"/>
          </w:tcPr>
          <w:p w14:paraId="5203D66D">
            <w:pPr>
              <w:widowControl/>
              <w:spacing w:line="240" w:lineRule="auto"/>
              <w:ind w:firstLine="0" w:firstLineChars="0"/>
              <w:jc w:val="center"/>
              <w:rPr>
                <w:rFonts w:hint="default" w:ascii="Times New Roman" w:hAnsi="Times New Roman" w:eastAsia="宋体" w:cs="Times New Roman"/>
                <w:color w:val="auto"/>
                <w:sz w:val="21"/>
                <w:szCs w:val="21"/>
              </w:rPr>
            </w:pPr>
          </w:p>
        </w:tc>
        <w:tc>
          <w:tcPr>
            <w:tcW w:w="3361" w:type="dxa"/>
            <w:tcBorders>
              <w:tl2br w:val="nil"/>
              <w:tr2bl w:val="nil"/>
            </w:tcBorders>
            <w:shd w:val="clear" w:color="auto" w:fill="auto"/>
            <w:vAlign w:val="center"/>
          </w:tcPr>
          <w:p w14:paraId="0B64777F">
            <w:pPr>
              <w:widowControl/>
              <w:spacing w:line="240" w:lineRule="auto"/>
              <w:ind w:firstLine="0" w:firstLineChars="0"/>
              <w:jc w:val="both"/>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2</w:t>
            </w:r>
            <w:r>
              <w:rPr>
                <w:rFonts w:hint="default" w:ascii="Times New Roman" w:hAnsi="Times New Roman" w:eastAsia="宋体" w:cs="Times New Roman"/>
                <w:color w:val="auto"/>
                <w:kern w:val="0"/>
                <w:sz w:val="21"/>
                <w:szCs w:val="21"/>
                <w:lang w:bidi="ar"/>
              </w:rPr>
              <w:t>.</w:t>
            </w:r>
            <w:r>
              <w:rPr>
                <w:rFonts w:hint="eastAsia" w:ascii="Times New Roman" w:hAnsi="Times New Roman" w:cs="Times New Roman"/>
                <w:color w:val="auto"/>
                <w:kern w:val="0"/>
                <w:sz w:val="21"/>
                <w:szCs w:val="21"/>
                <w:lang w:val="en-US" w:eastAsia="zh-CN" w:bidi="ar"/>
              </w:rPr>
              <w:t>规模以上工业企业数量（家）</w:t>
            </w:r>
          </w:p>
        </w:tc>
        <w:tc>
          <w:tcPr>
            <w:tcW w:w="1204" w:type="dxa"/>
            <w:tcBorders>
              <w:tl2br w:val="nil"/>
              <w:tr2bl w:val="nil"/>
            </w:tcBorders>
            <w:shd w:val="clear" w:color="auto" w:fill="auto"/>
            <w:vAlign w:val="center"/>
          </w:tcPr>
          <w:p w14:paraId="41F98949">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bidi="ar"/>
              </w:rPr>
            </w:pPr>
            <w:r>
              <w:rPr>
                <w:rFonts w:hint="eastAsia" w:ascii="Times New Roman" w:hAnsi="Times New Roman" w:cs="Times New Roman"/>
                <w:color w:val="auto"/>
                <w:kern w:val="0"/>
                <w:sz w:val="21"/>
                <w:szCs w:val="21"/>
                <w:lang w:val="en-US" w:eastAsia="zh-CN" w:bidi="ar"/>
              </w:rPr>
              <w:t>26</w:t>
            </w:r>
          </w:p>
        </w:tc>
        <w:tc>
          <w:tcPr>
            <w:tcW w:w="1057" w:type="dxa"/>
            <w:tcBorders>
              <w:tl2br w:val="nil"/>
              <w:tr2bl w:val="nil"/>
            </w:tcBorders>
            <w:shd w:val="clear" w:color="auto" w:fill="auto"/>
            <w:vAlign w:val="center"/>
          </w:tcPr>
          <w:p w14:paraId="1458A336">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35</w:t>
            </w:r>
          </w:p>
        </w:tc>
        <w:tc>
          <w:tcPr>
            <w:tcW w:w="1023" w:type="dxa"/>
            <w:tcBorders>
              <w:tl2br w:val="nil"/>
              <w:tr2bl w:val="nil"/>
            </w:tcBorders>
            <w:shd w:val="clear" w:color="auto" w:fill="auto"/>
            <w:vAlign w:val="center"/>
          </w:tcPr>
          <w:p w14:paraId="448C784F">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70</w:t>
            </w:r>
          </w:p>
        </w:tc>
        <w:tc>
          <w:tcPr>
            <w:tcW w:w="881" w:type="dxa"/>
            <w:tcBorders>
              <w:tl2br w:val="nil"/>
              <w:tr2bl w:val="nil"/>
            </w:tcBorders>
            <w:shd w:val="clear" w:color="auto" w:fill="auto"/>
            <w:vAlign w:val="center"/>
          </w:tcPr>
          <w:p w14:paraId="55FBC6F6">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预期性</w:t>
            </w:r>
          </w:p>
        </w:tc>
      </w:tr>
      <w:tr w14:paraId="2B1066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3" w:hRule="atLeast"/>
          <w:jc w:val="center"/>
        </w:trPr>
        <w:tc>
          <w:tcPr>
            <w:tcW w:w="720" w:type="dxa"/>
            <w:vMerge w:val="restart"/>
            <w:tcBorders>
              <w:tl2br w:val="nil"/>
              <w:tr2bl w:val="nil"/>
            </w:tcBorders>
            <w:shd w:val="clear" w:color="auto" w:fill="auto"/>
            <w:vAlign w:val="center"/>
          </w:tcPr>
          <w:p w14:paraId="72916F4E">
            <w:pPr>
              <w:widowControl/>
              <w:spacing w:line="240" w:lineRule="auto"/>
              <w:ind w:firstLine="0" w:firstLineChars="0"/>
              <w:jc w:val="center"/>
              <w:textAlignment w:val="center"/>
              <w:rPr>
                <w:rFonts w:hint="default" w:ascii="Times New Roman" w:hAnsi="Times New Roman" w:eastAsia="仿宋" w:cs="Times New Roman"/>
                <w:color w:val="auto"/>
                <w:sz w:val="21"/>
                <w:szCs w:val="21"/>
                <w:lang w:val="en-US" w:eastAsia="zh-CN"/>
              </w:rPr>
            </w:pPr>
            <w:r>
              <w:rPr>
                <w:rFonts w:hint="eastAsia" w:ascii="Times New Roman" w:hAnsi="Times New Roman" w:cs="Times New Roman"/>
                <w:color w:val="auto"/>
                <w:kern w:val="0"/>
                <w:sz w:val="21"/>
                <w:szCs w:val="21"/>
                <w:lang w:val="en-US" w:eastAsia="zh-CN" w:bidi="ar"/>
              </w:rPr>
              <w:t>产业发展</w:t>
            </w:r>
          </w:p>
        </w:tc>
        <w:tc>
          <w:tcPr>
            <w:tcW w:w="3361" w:type="dxa"/>
            <w:tcBorders>
              <w:tl2br w:val="nil"/>
              <w:tr2bl w:val="nil"/>
            </w:tcBorders>
            <w:shd w:val="clear" w:color="auto" w:fill="auto"/>
            <w:vAlign w:val="center"/>
          </w:tcPr>
          <w:p w14:paraId="05773660">
            <w:pPr>
              <w:widowControl/>
              <w:spacing w:line="240" w:lineRule="auto"/>
              <w:ind w:firstLine="0" w:firstLineChars="0"/>
              <w:jc w:val="both"/>
              <w:textAlignment w:val="center"/>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3.年收入超20亿企业（家）</w:t>
            </w:r>
          </w:p>
        </w:tc>
        <w:tc>
          <w:tcPr>
            <w:tcW w:w="1204" w:type="dxa"/>
            <w:tcBorders>
              <w:tl2br w:val="nil"/>
              <w:tr2bl w:val="nil"/>
            </w:tcBorders>
            <w:shd w:val="clear" w:color="auto" w:fill="auto"/>
            <w:vAlign w:val="center"/>
          </w:tcPr>
          <w:p w14:paraId="1BF8CD55">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0</w:t>
            </w:r>
          </w:p>
        </w:tc>
        <w:tc>
          <w:tcPr>
            <w:tcW w:w="1057" w:type="dxa"/>
            <w:tcBorders>
              <w:tl2br w:val="nil"/>
              <w:tr2bl w:val="nil"/>
            </w:tcBorders>
            <w:shd w:val="clear" w:color="auto" w:fill="auto"/>
            <w:vAlign w:val="center"/>
          </w:tcPr>
          <w:p w14:paraId="580569B6">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1</w:t>
            </w:r>
          </w:p>
        </w:tc>
        <w:tc>
          <w:tcPr>
            <w:tcW w:w="1023" w:type="dxa"/>
            <w:tcBorders>
              <w:tl2br w:val="nil"/>
              <w:tr2bl w:val="nil"/>
            </w:tcBorders>
            <w:shd w:val="clear" w:color="auto" w:fill="auto"/>
            <w:vAlign w:val="center"/>
          </w:tcPr>
          <w:p w14:paraId="26B78D0E">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2</w:t>
            </w:r>
          </w:p>
        </w:tc>
        <w:tc>
          <w:tcPr>
            <w:tcW w:w="881" w:type="dxa"/>
            <w:tcBorders>
              <w:tl2br w:val="nil"/>
              <w:tr2bl w:val="nil"/>
            </w:tcBorders>
            <w:shd w:val="clear" w:color="auto" w:fill="auto"/>
            <w:vAlign w:val="center"/>
          </w:tcPr>
          <w:p w14:paraId="034007B7">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预期性</w:t>
            </w:r>
          </w:p>
        </w:tc>
      </w:tr>
      <w:tr w14:paraId="6C6546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30" w:hRule="atLeast"/>
          <w:jc w:val="center"/>
        </w:trPr>
        <w:tc>
          <w:tcPr>
            <w:tcW w:w="720" w:type="dxa"/>
            <w:vMerge w:val="continue"/>
            <w:tcBorders>
              <w:tl2br w:val="nil"/>
              <w:tr2bl w:val="nil"/>
            </w:tcBorders>
            <w:shd w:val="clear" w:color="auto" w:fill="auto"/>
            <w:vAlign w:val="center"/>
          </w:tcPr>
          <w:p w14:paraId="614F15FF">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lang w:bidi="ar"/>
              </w:rPr>
            </w:pPr>
          </w:p>
        </w:tc>
        <w:tc>
          <w:tcPr>
            <w:tcW w:w="3361" w:type="dxa"/>
            <w:tcBorders>
              <w:tl2br w:val="nil"/>
              <w:tr2bl w:val="nil"/>
            </w:tcBorders>
            <w:shd w:val="clear" w:color="auto" w:fill="auto"/>
            <w:vAlign w:val="center"/>
          </w:tcPr>
          <w:p w14:paraId="756FC11E">
            <w:pPr>
              <w:widowControl/>
              <w:spacing w:line="240" w:lineRule="auto"/>
              <w:ind w:firstLine="0" w:firstLineChars="0"/>
              <w:jc w:val="both"/>
              <w:textAlignment w:val="center"/>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4.年收入超10亿企业（家）</w:t>
            </w:r>
          </w:p>
        </w:tc>
        <w:tc>
          <w:tcPr>
            <w:tcW w:w="1204" w:type="dxa"/>
            <w:tcBorders>
              <w:tl2br w:val="nil"/>
              <w:tr2bl w:val="nil"/>
            </w:tcBorders>
            <w:shd w:val="clear" w:color="auto" w:fill="auto"/>
            <w:vAlign w:val="center"/>
          </w:tcPr>
          <w:p w14:paraId="2300E0B8">
            <w:pPr>
              <w:widowControl/>
              <w:spacing w:line="240" w:lineRule="auto"/>
              <w:ind w:firstLine="0" w:firstLineChars="0"/>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0</w:t>
            </w:r>
          </w:p>
        </w:tc>
        <w:tc>
          <w:tcPr>
            <w:tcW w:w="1057" w:type="dxa"/>
            <w:tcBorders>
              <w:tl2br w:val="nil"/>
              <w:tr2bl w:val="nil"/>
            </w:tcBorders>
            <w:shd w:val="clear" w:color="auto" w:fill="auto"/>
            <w:vAlign w:val="center"/>
          </w:tcPr>
          <w:p w14:paraId="129D3EFF">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1</w:t>
            </w:r>
          </w:p>
        </w:tc>
        <w:tc>
          <w:tcPr>
            <w:tcW w:w="1023" w:type="dxa"/>
            <w:tcBorders>
              <w:tl2br w:val="nil"/>
              <w:tr2bl w:val="nil"/>
            </w:tcBorders>
            <w:shd w:val="clear" w:color="auto" w:fill="auto"/>
            <w:vAlign w:val="center"/>
          </w:tcPr>
          <w:p w14:paraId="1BC3DB93">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3</w:t>
            </w:r>
          </w:p>
        </w:tc>
        <w:tc>
          <w:tcPr>
            <w:tcW w:w="881" w:type="dxa"/>
            <w:tcBorders>
              <w:tl2br w:val="nil"/>
              <w:tr2bl w:val="nil"/>
            </w:tcBorders>
            <w:shd w:val="clear" w:color="auto" w:fill="auto"/>
            <w:vAlign w:val="center"/>
          </w:tcPr>
          <w:p w14:paraId="0F1260AB">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预期性</w:t>
            </w:r>
          </w:p>
        </w:tc>
      </w:tr>
      <w:tr w14:paraId="7FE6AE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4" w:hRule="atLeast"/>
          <w:jc w:val="center"/>
        </w:trPr>
        <w:tc>
          <w:tcPr>
            <w:tcW w:w="720" w:type="dxa"/>
            <w:vMerge w:val="continue"/>
            <w:tcBorders>
              <w:tl2br w:val="nil"/>
              <w:tr2bl w:val="nil"/>
            </w:tcBorders>
            <w:shd w:val="clear" w:color="auto" w:fill="auto"/>
            <w:vAlign w:val="center"/>
          </w:tcPr>
          <w:p w14:paraId="2B9F89E0">
            <w:pPr>
              <w:widowControl/>
              <w:spacing w:line="240" w:lineRule="auto"/>
              <w:ind w:firstLine="0" w:firstLineChars="0"/>
              <w:jc w:val="center"/>
              <w:rPr>
                <w:rFonts w:hint="default" w:ascii="Times New Roman" w:hAnsi="Times New Roman" w:eastAsia="宋体" w:cs="Times New Roman"/>
                <w:color w:val="auto"/>
                <w:sz w:val="21"/>
                <w:szCs w:val="21"/>
              </w:rPr>
            </w:pPr>
          </w:p>
        </w:tc>
        <w:tc>
          <w:tcPr>
            <w:tcW w:w="3361" w:type="dxa"/>
            <w:tcBorders>
              <w:tl2br w:val="nil"/>
              <w:tr2bl w:val="nil"/>
            </w:tcBorders>
            <w:shd w:val="clear" w:color="auto" w:fill="auto"/>
            <w:vAlign w:val="center"/>
          </w:tcPr>
          <w:p w14:paraId="2603C4AD">
            <w:pPr>
              <w:widowControl/>
              <w:spacing w:line="240" w:lineRule="auto"/>
              <w:ind w:firstLine="0" w:firstLineChars="0"/>
              <w:jc w:val="both"/>
              <w:textAlignment w:val="center"/>
              <w:rPr>
                <w:rFonts w:hint="default" w:ascii="Times New Roman" w:hAnsi="Times New Roman" w:eastAsia="仿宋" w:cs="Times New Roman"/>
                <w:color w:val="auto"/>
                <w:kern w:val="0"/>
                <w:sz w:val="21"/>
                <w:szCs w:val="21"/>
                <w:lang w:val="en-US" w:bidi="ar"/>
              </w:rPr>
            </w:pPr>
            <w:r>
              <w:rPr>
                <w:rFonts w:hint="eastAsia" w:ascii="Times New Roman" w:hAnsi="Times New Roman" w:cs="Times New Roman"/>
                <w:color w:val="auto"/>
                <w:kern w:val="0"/>
                <w:sz w:val="21"/>
                <w:szCs w:val="21"/>
                <w:lang w:val="en-US" w:eastAsia="zh-CN" w:bidi="ar"/>
              </w:rPr>
              <w:t>5.新增上市企业（家）</w:t>
            </w:r>
          </w:p>
        </w:tc>
        <w:tc>
          <w:tcPr>
            <w:tcW w:w="1204" w:type="dxa"/>
            <w:tcBorders>
              <w:tl2br w:val="nil"/>
              <w:tr2bl w:val="nil"/>
            </w:tcBorders>
            <w:shd w:val="clear" w:color="auto" w:fill="auto"/>
            <w:vAlign w:val="center"/>
          </w:tcPr>
          <w:p w14:paraId="0296B9C9">
            <w:pPr>
              <w:widowControl/>
              <w:spacing w:line="240" w:lineRule="auto"/>
              <w:ind w:firstLine="0" w:firstLineChars="0"/>
              <w:jc w:val="center"/>
              <w:textAlignment w:val="center"/>
              <w:rPr>
                <w:rFonts w:hint="eastAsia" w:ascii="Times New Roman" w:hAnsi="Times New Roman" w:eastAsia="仿宋" w:cs="Times New Roman"/>
                <w:color w:val="auto"/>
                <w:kern w:val="0"/>
                <w:sz w:val="21"/>
                <w:szCs w:val="21"/>
                <w:lang w:eastAsia="zh-CN" w:bidi="ar"/>
              </w:rPr>
            </w:pPr>
            <w:r>
              <w:rPr>
                <w:rFonts w:hint="eastAsia" w:ascii="Times New Roman" w:hAnsi="Times New Roman" w:cs="Times New Roman"/>
                <w:color w:val="auto"/>
                <w:kern w:val="0"/>
                <w:sz w:val="21"/>
                <w:szCs w:val="21"/>
                <w:lang w:val="en-US" w:eastAsia="zh-CN" w:bidi="ar"/>
              </w:rPr>
              <w:t>0</w:t>
            </w:r>
          </w:p>
        </w:tc>
        <w:tc>
          <w:tcPr>
            <w:tcW w:w="1057" w:type="dxa"/>
            <w:tcBorders>
              <w:tl2br w:val="nil"/>
              <w:tr2bl w:val="nil"/>
            </w:tcBorders>
            <w:shd w:val="clear" w:color="auto" w:fill="auto"/>
            <w:vAlign w:val="center"/>
          </w:tcPr>
          <w:p w14:paraId="7E48227F">
            <w:pPr>
              <w:widowControl/>
              <w:spacing w:line="240" w:lineRule="auto"/>
              <w:ind w:firstLine="0" w:firstLineChars="0"/>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1</w:t>
            </w:r>
          </w:p>
        </w:tc>
        <w:tc>
          <w:tcPr>
            <w:tcW w:w="1023" w:type="dxa"/>
            <w:tcBorders>
              <w:tl2br w:val="nil"/>
              <w:tr2bl w:val="nil"/>
            </w:tcBorders>
            <w:shd w:val="clear" w:color="auto" w:fill="auto"/>
            <w:vAlign w:val="center"/>
          </w:tcPr>
          <w:p w14:paraId="27C3F465">
            <w:pPr>
              <w:widowControl/>
              <w:spacing w:line="240" w:lineRule="auto"/>
              <w:ind w:firstLine="0" w:firstLineChars="0"/>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2</w:t>
            </w:r>
          </w:p>
        </w:tc>
        <w:tc>
          <w:tcPr>
            <w:tcW w:w="881" w:type="dxa"/>
            <w:tcBorders>
              <w:tl2br w:val="nil"/>
              <w:tr2bl w:val="nil"/>
            </w:tcBorders>
            <w:shd w:val="clear" w:color="auto" w:fill="auto"/>
            <w:vAlign w:val="center"/>
          </w:tcPr>
          <w:p w14:paraId="142BB0E7">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预期性</w:t>
            </w:r>
          </w:p>
        </w:tc>
      </w:tr>
      <w:tr w14:paraId="5C18D8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8" w:hRule="atLeast"/>
          <w:jc w:val="center"/>
        </w:trPr>
        <w:tc>
          <w:tcPr>
            <w:tcW w:w="720" w:type="dxa"/>
            <w:vMerge w:val="continue"/>
            <w:tcBorders>
              <w:tl2br w:val="nil"/>
              <w:tr2bl w:val="nil"/>
            </w:tcBorders>
            <w:shd w:val="clear" w:color="auto" w:fill="auto"/>
            <w:vAlign w:val="center"/>
          </w:tcPr>
          <w:p w14:paraId="058563D4">
            <w:pPr>
              <w:widowControl/>
              <w:spacing w:line="240" w:lineRule="auto"/>
              <w:ind w:firstLine="0" w:firstLineChars="0"/>
              <w:jc w:val="center"/>
              <w:rPr>
                <w:rFonts w:hint="eastAsia" w:ascii="仿宋" w:hAnsi="仿宋" w:eastAsia="仿宋" w:cs="仿宋"/>
                <w:color w:val="auto"/>
                <w:sz w:val="21"/>
                <w:szCs w:val="21"/>
              </w:rPr>
            </w:pPr>
          </w:p>
        </w:tc>
        <w:tc>
          <w:tcPr>
            <w:tcW w:w="3361" w:type="dxa"/>
            <w:tcBorders>
              <w:tl2br w:val="nil"/>
              <w:tr2bl w:val="nil"/>
            </w:tcBorders>
            <w:shd w:val="clear" w:color="auto" w:fill="auto"/>
            <w:vAlign w:val="center"/>
          </w:tcPr>
          <w:p w14:paraId="2ACB0EDD">
            <w:pPr>
              <w:widowControl/>
              <w:spacing w:line="240" w:lineRule="auto"/>
              <w:ind w:firstLine="0" w:firstLineChars="0"/>
              <w:jc w:val="both"/>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6.</w:t>
            </w:r>
            <w:r>
              <w:rPr>
                <w:rFonts w:hint="eastAsia" w:ascii="Times New Roman" w:hAnsi="Times New Roman" w:eastAsia="仿宋" w:cs="Times New Roman"/>
                <w:color w:val="auto"/>
                <w:kern w:val="0"/>
                <w:sz w:val="21"/>
                <w:szCs w:val="21"/>
                <w:lang w:val="en-US" w:eastAsia="zh-CN" w:bidi="ar"/>
              </w:rPr>
              <w:t>新引进重大项目数（个）</w:t>
            </w:r>
          </w:p>
        </w:tc>
        <w:tc>
          <w:tcPr>
            <w:tcW w:w="1204" w:type="dxa"/>
            <w:tcBorders>
              <w:tl2br w:val="nil"/>
              <w:tr2bl w:val="nil"/>
            </w:tcBorders>
            <w:shd w:val="clear" w:color="auto" w:fill="auto"/>
            <w:vAlign w:val="center"/>
          </w:tcPr>
          <w:p w14:paraId="63AC18D9">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1</w:t>
            </w:r>
          </w:p>
        </w:tc>
        <w:tc>
          <w:tcPr>
            <w:tcW w:w="1057" w:type="dxa"/>
            <w:tcBorders>
              <w:tl2br w:val="nil"/>
              <w:tr2bl w:val="nil"/>
            </w:tcBorders>
            <w:shd w:val="clear" w:color="auto" w:fill="auto"/>
            <w:vAlign w:val="center"/>
          </w:tcPr>
          <w:p w14:paraId="3FF1EC18">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3</w:t>
            </w:r>
          </w:p>
        </w:tc>
        <w:tc>
          <w:tcPr>
            <w:tcW w:w="1023" w:type="dxa"/>
            <w:tcBorders>
              <w:tl2br w:val="nil"/>
              <w:tr2bl w:val="nil"/>
            </w:tcBorders>
            <w:shd w:val="clear" w:color="auto" w:fill="auto"/>
            <w:vAlign w:val="center"/>
          </w:tcPr>
          <w:p w14:paraId="46D3DEA5">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6</w:t>
            </w:r>
          </w:p>
        </w:tc>
        <w:tc>
          <w:tcPr>
            <w:tcW w:w="881" w:type="dxa"/>
            <w:tcBorders>
              <w:tl2br w:val="nil"/>
              <w:tr2bl w:val="nil"/>
            </w:tcBorders>
            <w:shd w:val="clear" w:color="auto" w:fill="auto"/>
            <w:vAlign w:val="center"/>
          </w:tcPr>
          <w:p w14:paraId="64594D9C">
            <w:pPr>
              <w:widowControl/>
              <w:spacing w:line="240" w:lineRule="auto"/>
              <w:ind w:firstLine="0" w:firstLineChars="0"/>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预期性</w:t>
            </w:r>
          </w:p>
        </w:tc>
      </w:tr>
      <w:tr w14:paraId="4F1585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8" w:hRule="atLeast"/>
          <w:jc w:val="center"/>
        </w:trPr>
        <w:tc>
          <w:tcPr>
            <w:tcW w:w="720" w:type="dxa"/>
            <w:vMerge w:val="continue"/>
            <w:tcBorders>
              <w:tl2br w:val="nil"/>
              <w:tr2bl w:val="nil"/>
            </w:tcBorders>
            <w:shd w:val="clear" w:color="auto" w:fill="auto"/>
            <w:vAlign w:val="center"/>
          </w:tcPr>
          <w:p w14:paraId="67ACD280">
            <w:pPr>
              <w:widowControl/>
              <w:spacing w:line="240" w:lineRule="auto"/>
              <w:ind w:firstLine="0" w:firstLineChars="0"/>
              <w:jc w:val="center"/>
              <w:rPr>
                <w:rFonts w:hint="eastAsia" w:ascii="仿宋" w:hAnsi="仿宋" w:eastAsia="仿宋" w:cs="仿宋"/>
                <w:color w:val="auto"/>
                <w:sz w:val="21"/>
                <w:szCs w:val="21"/>
              </w:rPr>
            </w:pPr>
          </w:p>
        </w:tc>
        <w:tc>
          <w:tcPr>
            <w:tcW w:w="3361" w:type="dxa"/>
            <w:tcBorders>
              <w:tl2br w:val="nil"/>
              <w:tr2bl w:val="nil"/>
            </w:tcBorders>
            <w:shd w:val="clear" w:color="auto" w:fill="auto"/>
            <w:vAlign w:val="center"/>
          </w:tcPr>
          <w:p w14:paraId="3C9F8C30">
            <w:pPr>
              <w:widowControl/>
              <w:spacing w:line="240" w:lineRule="auto"/>
              <w:ind w:firstLine="0" w:firstLineChars="0"/>
              <w:jc w:val="both"/>
              <w:textAlignment w:val="center"/>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7.省级及以上产业集群（个）</w:t>
            </w:r>
          </w:p>
        </w:tc>
        <w:tc>
          <w:tcPr>
            <w:tcW w:w="1204" w:type="dxa"/>
            <w:tcBorders>
              <w:tl2br w:val="nil"/>
              <w:tr2bl w:val="nil"/>
            </w:tcBorders>
            <w:shd w:val="clear" w:color="auto" w:fill="auto"/>
            <w:vAlign w:val="center"/>
          </w:tcPr>
          <w:p w14:paraId="43197CD7">
            <w:pPr>
              <w:widowControl/>
              <w:spacing w:line="240" w:lineRule="auto"/>
              <w:ind w:firstLine="0" w:firstLineChars="0"/>
              <w:jc w:val="center"/>
              <w:textAlignment w:val="center"/>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0</w:t>
            </w:r>
          </w:p>
        </w:tc>
        <w:tc>
          <w:tcPr>
            <w:tcW w:w="1057" w:type="dxa"/>
            <w:tcBorders>
              <w:tl2br w:val="nil"/>
              <w:tr2bl w:val="nil"/>
            </w:tcBorders>
            <w:shd w:val="clear" w:color="auto" w:fill="auto"/>
            <w:vAlign w:val="center"/>
          </w:tcPr>
          <w:p w14:paraId="74E35687">
            <w:pPr>
              <w:widowControl/>
              <w:spacing w:line="240" w:lineRule="auto"/>
              <w:ind w:firstLine="0" w:firstLineChars="0"/>
              <w:jc w:val="center"/>
              <w:textAlignment w:val="center"/>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0</w:t>
            </w:r>
          </w:p>
        </w:tc>
        <w:tc>
          <w:tcPr>
            <w:tcW w:w="1023" w:type="dxa"/>
            <w:tcBorders>
              <w:tl2br w:val="nil"/>
              <w:tr2bl w:val="nil"/>
            </w:tcBorders>
            <w:shd w:val="clear" w:color="auto" w:fill="auto"/>
            <w:vAlign w:val="center"/>
          </w:tcPr>
          <w:p w14:paraId="16A6D761">
            <w:pPr>
              <w:widowControl/>
              <w:spacing w:line="240" w:lineRule="auto"/>
              <w:ind w:firstLine="0" w:firstLineChars="0"/>
              <w:jc w:val="center"/>
              <w:textAlignment w:val="center"/>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1</w:t>
            </w:r>
          </w:p>
        </w:tc>
        <w:tc>
          <w:tcPr>
            <w:tcW w:w="881" w:type="dxa"/>
            <w:tcBorders>
              <w:tl2br w:val="nil"/>
              <w:tr2bl w:val="nil"/>
            </w:tcBorders>
            <w:shd w:val="clear" w:color="auto" w:fill="auto"/>
            <w:vAlign w:val="center"/>
          </w:tcPr>
          <w:p w14:paraId="0BEF2B52">
            <w:pPr>
              <w:widowControl/>
              <w:spacing w:line="240" w:lineRule="auto"/>
              <w:ind w:firstLine="0" w:firstLineChars="0"/>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预期性</w:t>
            </w:r>
          </w:p>
        </w:tc>
      </w:tr>
      <w:tr w14:paraId="363B14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720" w:type="dxa"/>
            <w:vMerge w:val="restart"/>
            <w:tcBorders>
              <w:tl2br w:val="nil"/>
              <w:tr2bl w:val="nil"/>
            </w:tcBorders>
            <w:shd w:val="clear" w:color="auto" w:fill="auto"/>
            <w:vAlign w:val="center"/>
          </w:tcPr>
          <w:p w14:paraId="6BC33E86">
            <w:pPr>
              <w:widowControl/>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1"/>
                <w:szCs w:val="21"/>
                <w:lang w:val="en-US" w:eastAsia="zh-CN" w:bidi="ar"/>
              </w:rPr>
              <w:t>科技创新</w:t>
            </w:r>
          </w:p>
        </w:tc>
        <w:tc>
          <w:tcPr>
            <w:tcW w:w="3361" w:type="dxa"/>
            <w:tcBorders>
              <w:tl2br w:val="nil"/>
              <w:tr2bl w:val="nil"/>
            </w:tcBorders>
            <w:shd w:val="clear" w:color="auto" w:fill="auto"/>
            <w:vAlign w:val="center"/>
          </w:tcPr>
          <w:p w14:paraId="26555A2D">
            <w:pPr>
              <w:widowControl/>
              <w:spacing w:line="240" w:lineRule="auto"/>
              <w:ind w:firstLine="0" w:firstLineChars="0"/>
              <w:jc w:val="both"/>
              <w:textAlignment w:val="center"/>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8.省级及以上科技孵化器、众创空间、星创天地（家）</w:t>
            </w:r>
          </w:p>
        </w:tc>
        <w:tc>
          <w:tcPr>
            <w:tcW w:w="1204" w:type="dxa"/>
            <w:tcBorders>
              <w:tl2br w:val="nil"/>
              <w:tr2bl w:val="nil"/>
            </w:tcBorders>
            <w:shd w:val="clear" w:color="auto" w:fill="auto"/>
            <w:vAlign w:val="center"/>
          </w:tcPr>
          <w:p w14:paraId="34116046">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1</w:t>
            </w:r>
          </w:p>
        </w:tc>
        <w:tc>
          <w:tcPr>
            <w:tcW w:w="1057" w:type="dxa"/>
            <w:tcBorders>
              <w:tl2br w:val="nil"/>
              <w:tr2bl w:val="nil"/>
            </w:tcBorders>
            <w:shd w:val="clear" w:color="auto" w:fill="auto"/>
            <w:vAlign w:val="center"/>
          </w:tcPr>
          <w:p w14:paraId="53F95C14">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3</w:t>
            </w:r>
          </w:p>
        </w:tc>
        <w:tc>
          <w:tcPr>
            <w:tcW w:w="1023" w:type="dxa"/>
            <w:tcBorders>
              <w:tl2br w:val="nil"/>
              <w:tr2bl w:val="nil"/>
            </w:tcBorders>
            <w:shd w:val="clear" w:color="auto" w:fill="auto"/>
            <w:vAlign w:val="center"/>
          </w:tcPr>
          <w:p w14:paraId="409B98B0">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5</w:t>
            </w:r>
          </w:p>
        </w:tc>
        <w:tc>
          <w:tcPr>
            <w:tcW w:w="881" w:type="dxa"/>
            <w:tcBorders>
              <w:tl2br w:val="nil"/>
              <w:tr2bl w:val="nil"/>
            </w:tcBorders>
            <w:shd w:val="clear" w:color="auto" w:fill="auto"/>
            <w:vAlign w:val="center"/>
          </w:tcPr>
          <w:p w14:paraId="640852C8">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预期性</w:t>
            </w:r>
          </w:p>
        </w:tc>
      </w:tr>
      <w:tr w14:paraId="47717F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720" w:type="dxa"/>
            <w:vMerge w:val="continue"/>
            <w:tcBorders>
              <w:tl2br w:val="nil"/>
              <w:tr2bl w:val="nil"/>
            </w:tcBorders>
            <w:shd w:val="clear" w:color="auto" w:fill="auto"/>
            <w:vAlign w:val="center"/>
          </w:tcPr>
          <w:p w14:paraId="28335911">
            <w:pPr>
              <w:widowControl/>
              <w:spacing w:line="240" w:lineRule="auto"/>
              <w:ind w:firstLine="0" w:firstLineChars="0"/>
              <w:jc w:val="center"/>
              <w:rPr>
                <w:rFonts w:hint="default" w:ascii="Times New Roman" w:hAnsi="Times New Roman" w:eastAsia="宋体" w:cs="Times New Roman"/>
                <w:color w:val="auto"/>
                <w:sz w:val="21"/>
                <w:szCs w:val="21"/>
              </w:rPr>
            </w:pPr>
          </w:p>
        </w:tc>
        <w:tc>
          <w:tcPr>
            <w:tcW w:w="3361" w:type="dxa"/>
            <w:tcBorders>
              <w:tl2br w:val="nil"/>
              <w:tr2bl w:val="nil"/>
            </w:tcBorders>
            <w:shd w:val="clear" w:color="auto" w:fill="auto"/>
            <w:vAlign w:val="center"/>
          </w:tcPr>
          <w:p w14:paraId="54BDE2A4">
            <w:pPr>
              <w:widowControl/>
              <w:spacing w:line="240" w:lineRule="auto"/>
              <w:ind w:firstLine="0" w:firstLineChars="0"/>
              <w:jc w:val="both"/>
              <w:textAlignment w:val="center"/>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9</w:t>
            </w:r>
            <w:r>
              <w:rPr>
                <w:rFonts w:hint="default" w:ascii="Times New Roman" w:hAnsi="Times New Roman" w:eastAsia="仿宋" w:cs="Times New Roman"/>
                <w:color w:val="auto"/>
                <w:kern w:val="0"/>
                <w:sz w:val="21"/>
                <w:szCs w:val="21"/>
                <w:lang w:val="en-US" w:eastAsia="zh-CN" w:bidi="ar"/>
              </w:rPr>
              <w:t>.</w:t>
            </w:r>
            <w:r>
              <w:rPr>
                <w:rFonts w:hint="eastAsia" w:ascii="Times New Roman" w:hAnsi="Times New Roman" w:cs="Times New Roman"/>
                <w:color w:val="auto"/>
                <w:kern w:val="0"/>
                <w:sz w:val="21"/>
                <w:szCs w:val="21"/>
                <w:lang w:val="en-US" w:eastAsia="zh-CN" w:bidi="ar"/>
              </w:rPr>
              <w:t>高新技术企业（家）</w:t>
            </w:r>
          </w:p>
        </w:tc>
        <w:tc>
          <w:tcPr>
            <w:tcW w:w="1204" w:type="dxa"/>
            <w:tcBorders>
              <w:tl2br w:val="nil"/>
              <w:tr2bl w:val="nil"/>
            </w:tcBorders>
            <w:shd w:val="clear" w:color="auto" w:fill="auto"/>
            <w:vAlign w:val="center"/>
          </w:tcPr>
          <w:p w14:paraId="7D3EDB8B">
            <w:pPr>
              <w:widowControl/>
              <w:spacing w:line="240" w:lineRule="auto"/>
              <w:ind w:firstLine="0" w:firstLineChars="0"/>
              <w:jc w:val="center"/>
              <w:textAlignment w:val="center"/>
              <w:rPr>
                <w:rFonts w:hint="eastAsia" w:ascii="Times New Roman" w:hAnsi="Times New Roman" w:eastAsia="仿宋" w:cs="Times New Roman"/>
                <w:color w:val="auto"/>
                <w:kern w:val="0"/>
                <w:sz w:val="21"/>
                <w:szCs w:val="21"/>
                <w:lang w:eastAsia="zh-CN" w:bidi="ar"/>
              </w:rPr>
            </w:pPr>
            <w:r>
              <w:rPr>
                <w:rFonts w:hint="eastAsia" w:ascii="Times New Roman" w:hAnsi="Times New Roman" w:cs="Times New Roman"/>
                <w:color w:val="auto"/>
                <w:kern w:val="0"/>
                <w:sz w:val="21"/>
                <w:szCs w:val="21"/>
                <w:lang w:val="en-US" w:eastAsia="zh-CN" w:bidi="ar"/>
              </w:rPr>
              <w:t>7</w:t>
            </w:r>
          </w:p>
        </w:tc>
        <w:tc>
          <w:tcPr>
            <w:tcW w:w="1057" w:type="dxa"/>
            <w:tcBorders>
              <w:tl2br w:val="nil"/>
              <w:tr2bl w:val="nil"/>
            </w:tcBorders>
            <w:shd w:val="clear" w:color="auto" w:fill="auto"/>
            <w:vAlign w:val="center"/>
          </w:tcPr>
          <w:p w14:paraId="2CCD7A7A">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15</w:t>
            </w:r>
          </w:p>
        </w:tc>
        <w:tc>
          <w:tcPr>
            <w:tcW w:w="1023" w:type="dxa"/>
            <w:tcBorders>
              <w:tl2br w:val="nil"/>
              <w:tr2bl w:val="nil"/>
            </w:tcBorders>
            <w:shd w:val="clear" w:color="auto" w:fill="auto"/>
            <w:vAlign w:val="center"/>
          </w:tcPr>
          <w:p w14:paraId="3AAC2B55">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40</w:t>
            </w:r>
          </w:p>
        </w:tc>
        <w:tc>
          <w:tcPr>
            <w:tcW w:w="881" w:type="dxa"/>
            <w:tcBorders>
              <w:tl2br w:val="nil"/>
              <w:tr2bl w:val="nil"/>
            </w:tcBorders>
            <w:shd w:val="clear" w:color="auto" w:fill="auto"/>
            <w:vAlign w:val="center"/>
          </w:tcPr>
          <w:p w14:paraId="5A20A987">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预期性</w:t>
            </w:r>
          </w:p>
        </w:tc>
      </w:tr>
      <w:tr w14:paraId="4D6DDA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56" w:hRule="atLeast"/>
          <w:jc w:val="center"/>
        </w:trPr>
        <w:tc>
          <w:tcPr>
            <w:tcW w:w="720" w:type="dxa"/>
            <w:vMerge w:val="restart"/>
            <w:tcBorders>
              <w:tl2br w:val="nil"/>
              <w:tr2bl w:val="nil"/>
            </w:tcBorders>
            <w:shd w:val="clear" w:color="auto" w:fill="auto"/>
            <w:vAlign w:val="center"/>
          </w:tcPr>
          <w:p w14:paraId="1A4C0289">
            <w:pPr>
              <w:widowControl/>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1"/>
                <w:szCs w:val="21"/>
                <w:lang w:val="en-US" w:eastAsia="zh-CN" w:bidi="ar"/>
              </w:rPr>
              <w:t>品牌培育</w:t>
            </w:r>
          </w:p>
        </w:tc>
        <w:tc>
          <w:tcPr>
            <w:tcW w:w="3361" w:type="dxa"/>
            <w:tcBorders>
              <w:tl2br w:val="nil"/>
              <w:tr2bl w:val="nil"/>
            </w:tcBorders>
            <w:shd w:val="clear" w:color="auto" w:fill="auto"/>
            <w:vAlign w:val="center"/>
          </w:tcPr>
          <w:p w14:paraId="5D4B10A5">
            <w:pPr>
              <w:widowControl/>
              <w:spacing w:line="240" w:lineRule="auto"/>
              <w:ind w:firstLine="0" w:firstLineChars="0"/>
              <w:jc w:val="both"/>
              <w:textAlignment w:val="center"/>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10</w:t>
            </w:r>
            <w:r>
              <w:rPr>
                <w:rFonts w:hint="default" w:ascii="Times New Roman" w:hAnsi="Times New Roman" w:eastAsia="仿宋" w:cs="Times New Roman"/>
                <w:color w:val="auto"/>
                <w:kern w:val="0"/>
                <w:sz w:val="21"/>
                <w:szCs w:val="21"/>
                <w:lang w:val="en-US" w:eastAsia="zh-CN" w:bidi="ar"/>
              </w:rPr>
              <w:t>.“绿色食品”认证企业</w:t>
            </w:r>
            <w:r>
              <w:rPr>
                <w:rFonts w:hint="eastAsia" w:ascii="Times New Roman" w:hAnsi="Times New Roman" w:cs="Times New Roman"/>
                <w:color w:val="auto"/>
                <w:kern w:val="0"/>
                <w:sz w:val="21"/>
                <w:szCs w:val="21"/>
                <w:lang w:val="en-US" w:eastAsia="zh-CN" w:bidi="ar"/>
              </w:rPr>
              <w:t>（个）</w:t>
            </w:r>
          </w:p>
        </w:tc>
        <w:tc>
          <w:tcPr>
            <w:tcW w:w="1204" w:type="dxa"/>
            <w:tcBorders>
              <w:tl2br w:val="nil"/>
              <w:tr2bl w:val="nil"/>
            </w:tcBorders>
            <w:shd w:val="clear" w:color="auto" w:fill="auto"/>
            <w:vAlign w:val="center"/>
          </w:tcPr>
          <w:p w14:paraId="37D54235">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20</w:t>
            </w:r>
          </w:p>
        </w:tc>
        <w:tc>
          <w:tcPr>
            <w:tcW w:w="1057" w:type="dxa"/>
            <w:tcBorders>
              <w:tl2br w:val="nil"/>
              <w:tr2bl w:val="nil"/>
            </w:tcBorders>
            <w:shd w:val="clear" w:color="auto" w:fill="auto"/>
            <w:vAlign w:val="center"/>
          </w:tcPr>
          <w:p w14:paraId="1D7D3F8B">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30</w:t>
            </w:r>
          </w:p>
        </w:tc>
        <w:tc>
          <w:tcPr>
            <w:tcW w:w="1023" w:type="dxa"/>
            <w:tcBorders>
              <w:tl2br w:val="nil"/>
              <w:tr2bl w:val="nil"/>
            </w:tcBorders>
            <w:shd w:val="clear" w:color="auto" w:fill="auto"/>
            <w:vAlign w:val="center"/>
          </w:tcPr>
          <w:p w14:paraId="09E4BDC1">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50</w:t>
            </w:r>
          </w:p>
        </w:tc>
        <w:tc>
          <w:tcPr>
            <w:tcW w:w="881" w:type="dxa"/>
            <w:tcBorders>
              <w:tl2br w:val="nil"/>
              <w:tr2bl w:val="nil"/>
            </w:tcBorders>
            <w:shd w:val="clear" w:color="auto" w:fill="auto"/>
            <w:vAlign w:val="center"/>
          </w:tcPr>
          <w:p w14:paraId="624C68D0">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预期性</w:t>
            </w:r>
          </w:p>
        </w:tc>
      </w:tr>
      <w:tr w14:paraId="0FAC36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56" w:hRule="atLeast"/>
          <w:jc w:val="center"/>
        </w:trPr>
        <w:tc>
          <w:tcPr>
            <w:tcW w:w="720" w:type="dxa"/>
            <w:vMerge w:val="continue"/>
            <w:tcBorders>
              <w:tl2br w:val="nil"/>
              <w:tr2bl w:val="nil"/>
            </w:tcBorders>
            <w:shd w:val="clear" w:color="auto" w:fill="auto"/>
            <w:vAlign w:val="center"/>
          </w:tcPr>
          <w:p w14:paraId="0B802A5C">
            <w:pPr>
              <w:widowControl/>
              <w:spacing w:line="240" w:lineRule="auto"/>
              <w:ind w:firstLine="0" w:firstLineChars="0"/>
              <w:jc w:val="center"/>
              <w:rPr>
                <w:rFonts w:hint="default" w:ascii="Times New Roman" w:hAnsi="Times New Roman" w:eastAsia="宋体" w:cs="Times New Roman"/>
                <w:color w:val="auto"/>
                <w:sz w:val="21"/>
                <w:szCs w:val="21"/>
              </w:rPr>
            </w:pPr>
          </w:p>
        </w:tc>
        <w:tc>
          <w:tcPr>
            <w:tcW w:w="3361" w:type="dxa"/>
            <w:tcBorders>
              <w:tl2br w:val="nil"/>
              <w:tr2bl w:val="nil"/>
            </w:tcBorders>
            <w:shd w:val="clear" w:color="auto" w:fill="auto"/>
            <w:vAlign w:val="center"/>
          </w:tcPr>
          <w:p w14:paraId="601ED2FB">
            <w:pPr>
              <w:widowControl/>
              <w:spacing w:line="240" w:lineRule="auto"/>
              <w:ind w:firstLine="0" w:firstLineChars="0"/>
              <w:jc w:val="both"/>
              <w:textAlignment w:val="center"/>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11.“绿色食品”认证产品（个）</w:t>
            </w:r>
          </w:p>
        </w:tc>
        <w:tc>
          <w:tcPr>
            <w:tcW w:w="1204" w:type="dxa"/>
            <w:tcBorders>
              <w:tl2br w:val="nil"/>
              <w:tr2bl w:val="nil"/>
            </w:tcBorders>
            <w:shd w:val="clear" w:color="auto" w:fill="auto"/>
            <w:vAlign w:val="center"/>
          </w:tcPr>
          <w:p w14:paraId="502021B5">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68</w:t>
            </w:r>
          </w:p>
        </w:tc>
        <w:tc>
          <w:tcPr>
            <w:tcW w:w="1057" w:type="dxa"/>
            <w:tcBorders>
              <w:tl2br w:val="nil"/>
              <w:tr2bl w:val="nil"/>
            </w:tcBorders>
            <w:shd w:val="clear" w:color="auto" w:fill="auto"/>
            <w:vAlign w:val="center"/>
          </w:tcPr>
          <w:p w14:paraId="69C86016">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85</w:t>
            </w:r>
          </w:p>
        </w:tc>
        <w:tc>
          <w:tcPr>
            <w:tcW w:w="1023" w:type="dxa"/>
            <w:tcBorders>
              <w:tl2br w:val="nil"/>
              <w:tr2bl w:val="nil"/>
            </w:tcBorders>
            <w:shd w:val="clear" w:color="auto" w:fill="auto"/>
            <w:vAlign w:val="center"/>
          </w:tcPr>
          <w:p w14:paraId="3FC83FCE">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120</w:t>
            </w:r>
          </w:p>
        </w:tc>
        <w:tc>
          <w:tcPr>
            <w:tcW w:w="881" w:type="dxa"/>
            <w:tcBorders>
              <w:tl2br w:val="nil"/>
              <w:tr2bl w:val="nil"/>
            </w:tcBorders>
            <w:shd w:val="clear" w:color="auto" w:fill="auto"/>
            <w:vAlign w:val="center"/>
          </w:tcPr>
          <w:p w14:paraId="0DB4160C">
            <w:pPr>
              <w:widowControl/>
              <w:spacing w:line="240" w:lineRule="auto"/>
              <w:ind w:firstLine="0" w:firstLineChars="0"/>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预期性</w:t>
            </w:r>
          </w:p>
        </w:tc>
      </w:tr>
    </w:tbl>
    <w:p w14:paraId="37B63E06">
      <w:pPr>
        <w:pStyle w:val="3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68" w:firstLineChars="200"/>
        <w:jc w:val="both"/>
        <w:textAlignment w:val="auto"/>
        <w:rPr>
          <w:rStyle w:val="37"/>
          <w:rFonts w:hint="default" w:ascii="Times New Roman" w:hAnsi="Times New Roman" w:cs="Times New Roman"/>
          <w:b w:val="0"/>
          <w:bCs w:val="0"/>
          <w:i w:val="0"/>
          <w:iCs w:val="0"/>
          <w:caps w:val="0"/>
          <w:color w:val="000000"/>
          <w:spacing w:val="17"/>
          <w:sz w:val="30"/>
          <w:szCs w:val="30"/>
          <w:shd w:val="clear" w:fill="FFFFFF"/>
          <w:lang w:val="en-US" w:eastAsia="zh-CN"/>
        </w:rPr>
        <w:sectPr>
          <w:headerReference r:id="rId8" w:type="default"/>
          <w:footerReference r:id="rId9" w:type="default"/>
          <w:pgSz w:w="11907" w:h="16839"/>
          <w:pgMar w:top="1440" w:right="1797" w:bottom="1440" w:left="1797" w:header="850" w:footer="853" w:gutter="0"/>
          <w:pgNumType w:fmt="decimal" w:start="1"/>
          <w:cols w:space="720" w:num="1"/>
          <w:docGrid w:linePitch="381" w:charSpace="0"/>
        </w:sectPr>
      </w:pPr>
    </w:p>
    <w:p w14:paraId="311496DC">
      <w:pPr>
        <w:pStyle w:val="2"/>
        <w:keepNext/>
        <w:keepLines/>
        <w:pageBreakBefore/>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i w:val="0"/>
          <w:iCs w:val="0"/>
          <w:caps w:val="0"/>
          <w:color w:val="000000"/>
          <w:spacing w:val="2"/>
          <w:sz w:val="30"/>
          <w:szCs w:val="30"/>
          <w:shd w:val="clear" w:fill="FFFFFF"/>
          <w:lang w:val="en-US" w:eastAsia="zh-CN"/>
        </w:rPr>
      </w:pPr>
      <w:bookmarkStart w:id="70" w:name="_Toc11563"/>
      <w:r>
        <w:rPr>
          <w:rFonts w:ascii="Times New Roman" w:hAnsi="Times New Roman"/>
        </w:rPr>
        <w:t>第</w:t>
      </w:r>
      <w:r>
        <w:rPr>
          <w:rFonts w:hint="eastAsia" w:ascii="Times New Roman" w:hAnsi="Times New Roman"/>
          <w:lang w:val="en-US" w:eastAsia="zh-CN"/>
        </w:rPr>
        <w:t>三</w:t>
      </w:r>
      <w:r>
        <w:rPr>
          <w:rFonts w:ascii="Times New Roman" w:hAnsi="Times New Roman"/>
        </w:rPr>
        <w:t xml:space="preserve">章 </w:t>
      </w:r>
      <w:r>
        <w:rPr>
          <w:rFonts w:hint="eastAsia" w:ascii="Times New Roman" w:hAnsi="Times New Roman"/>
          <w:lang w:val="en-US" w:eastAsia="zh-CN"/>
        </w:rPr>
        <w:t>空间布局</w:t>
      </w:r>
      <w:bookmarkEnd w:id="70"/>
    </w:p>
    <w:p w14:paraId="7BDFDBD7">
      <w:pPr>
        <w:ind w:firstLine="600"/>
        <w:rPr>
          <w:rFonts w:hint="eastAsia" w:ascii="Times New Roman" w:hAnsi="Times New Roman" w:cs="Times New Roman"/>
          <w:i w:val="0"/>
          <w:iCs w:val="0"/>
          <w:caps w:val="0"/>
          <w:color w:val="auto"/>
          <w:spacing w:val="0"/>
          <w:sz w:val="30"/>
          <w:szCs w:val="30"/>
          <w:shd w:val="clear" w:color="auto" w:fill="FFFFFF"/>
          <w:lang w:val="en-US" w:eastAsia="zh-CN"/>
        </w:rPr>
      </w:pPr>
      <w:r>
        <w:rPr>
          <w:rFonts w:hint="eastAsia" w:ascii="Times New Roman" w:hAnsi="Times New Roman" w:cs="Times New Roman"/>
          <w:i w:val="0"/>
          <w:iCs w:val="0"/>
          <w:caps w:val="0"/>
          <w:color w:val="auto"/>
          <w:spacing w:val="0"/>
          <w:sz w:val="30"/>
          <w:szCs w:val="30"/>
          <w:shd w:val="clear" w:color="auto" w:fill="FFFFFF"/>
          <w:lang w:val="en-US" w:eastAsia="zh-CN"/>
        </w:rPr>
        <w:t>基于桃江县的资源特色和产业现状，结合县内产业布局的战略方向及园区、乡镇的整体发展规划，桃江县将遵循“全域规划、资源统筹、特色鲜明、功能协同”的基本原则，精心布局生态绿色食品产业的各个环节，包括育种育苗、种植养殖、生产加工、商贸流通等，以构建“一园一区多基地”的生态绿色食品产业空间发展格局。通过资源的有效整合和功能的合理配置，实现生态绿色食品产业的全链条发展，提升产业的整体竞争力和市场影响力。同时，通过产业与旅游、文化的深度融合，打造一批集观光、体验、科普、购物于一体的农旅示范基地，为消费者提供全方位的绿色生活体验，推动桃江县成为湖南领先的绿色食品产业示范区，为乡村振兴和可持续发展注入强大动力。</w:t>
      </w:r>
    </w:p>
    <w:p w14:paraId="5C314CBE">
      <w:pPr>
        <w:bidi w:val="0"/>
        <w:rPr>
          <w:rFonts w:hint="default" w:ascii="宋体" w:hAnsi="宋体" w:eastAsia="仿宋" w:cs="Times New Roman"/>
          <w:snapToGrid w:val="0"/>
          <w:sz w:val="30"/>
          <w:lang w:val="en-US" w:eastAsia="zh-CN" w:bidi="ar-SA"/>
        </w:rPr>
      </w:pPr>
    </w:p>
    <w:p w14:paraId="01F07ABC">
      <w:pPr>
        <w:bidi w:val="0"/>
        <w:rPr>
          <w:rFonts w:hint="default"/>
          <w:lang w:val="en-US" w:eastAsia="zh-CN"/>
        </w:rPr>
      </w:pPr>
    </w:p>
    <w:p w14:paraId="7AEAB108">
      <w:pPr>
        <w:bidi w:val="0"/>
        <w:rPr>
          <w:rFonts w:hint="default"/>
          <w:lang w:val="en-US" w:eastAsia="zh-CN"/>
        </w:rPr>
      </w:pPr>
    </w:p>
    <w:p w14:paraId="5C4C3B2C">
      <w:pPr>
        <w:bidi w:val="0"/>
        <w:rPr>
          <w:rFonts w:hint="default"/>
          <w:lang w:val="en-US" w:eastAsia="zh-CN"/>
        </w:rPr>
      </w:pPr>
    </w:p>
    <w:p w14:paraId="54945567">
      <w:pPr>
        <w:bidi w:val="0"/>
        <w:rPr>
          <w:rFonts w:hint="default"/>
          <w:lang w:val="en-US" w:eastAsia="zh-CN"/>
        </w:rPr>
      </w:pPr>
    </w:p>
    <w:p w14:paraId="25EE9082">
      <w:pPr>
        <w:bidi w:val="0"/>
        <w:rPr>
          <w:rFonts w:hint="default"/>
          <w:lang w:val="en-US" w:eastAsia="zh-CN"/>
        </w:rPr>
      </w:pPr>
    </w:p>
    <w:p w14:paraId="74AF66E1">
      <w:pPr>
        <w:bidi w:val="0"/>
        <w:rPr>
          <w:rFonts w:hint="default"/>
          <w:lang w:val="en-US" w:eastAsia="zh-CN"/>
        </w:rPr>
      </w:pPr>
    </w:p>
    <w:p w14:paraId="1AF01DD7">
      <w:pPr>
        <w:bidi w:val="0"/>
        <w:rPr>
          <w:rFonts w:hint="default"/>
          <w:lang w:val="en-US" w:eastAsia="zh-CN"/>
        </w:rPr>
      </w:pPr>
    </w:p>
    <w:p w14:paraId="29104AD3">
      <w:pPr>
        <w:bidi w:val="0"/>
        <w:rPr>
          <w:rFonts w:hint="default"/>
          <w:lang w:val="en-US" w:eastAsia="zh-CN"/>
        </w:rPr>
      </w:pPr>
    </w:p>
    <w:p w14:paraId="2E062BA7">
      <w:pPr>
        <w:pStyle w:val="17"/>
        <w:ind w:left="0" w:leftChars="0" w:firstLine="0" w:firstLineChars="0"/>
        <w:jc w:val="center"/>
        <w:rPr>
          <w:rFonts w:hint="default" w:ascii="Times New Roman" w:hAnsi="Times New Roman" w:eastAsia="黑体" w:cs="Times New Roman"/>
          <w:snapToGrid w:val="0"/>
          <w:sz w:val="24"/>
          <w:szCs w:val="24"/>
          <w:lang w:val="en-US" w:eastAsia="zh-CN" w:bidi="ar-SA"/>
        </w:rPr>
      </w:pPr>
      <w:r>
        <w:drawing>
          <wp:anchor distT="0" distB="0" distL="114300" distR="114300" simplePos="0" relativeHeight="251663360" behindDoc="0" locked="0" layoutInCell="1" allowOverlap="1">
            <wp:simplePos x="0" y="0"/>
            <wp:positionH relativeFrom="column">
              <wp:posOffset>-232410</wp:posOffset>
            </wp:positionH>
            <wp:positionV relativeFrom="paragraph">
              <wp:posOffset>101600</wp:posOffset>
            </wp:positionV>
            <wp:extent cx="5810885" cy="3810000"/>
            <wp:effectExtent l="0" t="0" r="18415" b="0"/>
            <wp:wrapTopAndBottom/>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2"/>
                    <a:stretch>
                      <a:fillRect/>
                    </a:stretch>
                  </pic:blipFill>
                  <pic:spPr>
                    <a:xfrm>
                      <a:off x="0" y="0"/>
                      <a:ext cx="5810885" cy="3810000"/>
                    </a:xfrm>
                    <a:prstGeom prst="rect">
                      <a:avLst/>
                    </a:prstGeom>
                    <a:noFill/>
                    <a:ln>
                      <a:noFill/>
                    </a:ln>
                  </pic:spPr>
                </pic:pic>
              </a:graphicData>
            </a:graphic>
          </wp:anchor>
        </w:drawing>
      </w:r>
      <w:r>
        <w:rPr>
          <w:rFonts w:hint="default" w:ascii="Times New Roman" w:hAnsi="Times New Roman" w:eastAsia="黑体" w:cs="Times New Roman"/>
          <w:sz w:val="24"/>
          <w:szCs w:val="24"/>
        </w:rPr>
        <w:t>图</w:t>
      </w:r>
      <w:r>
        <w:rPr>
          <w:rFonts w:hint="eastAsia" w:ascii="Times New Roman" w:hAnsi="Times New Roman" w:eastAsia="黑体" w:cs="Times New Roman"/>
          <w:sz w:val="24"/>
          <w:szCs w:val="24"/>
          <w:lang w:val="en-US" w:eastAsia="zh-CN"/>
        </w:rPr>
        <w:t>3</w:t>
      </w:r>
      <w:r>
        <w:rPr>
          <w:rFonts w:hint="default" w:ascii="Times New Roman" w:hAnsi="Times New Roman" w:eastAsia="黑体" w:cs="Times New Roman"/>
          <w:sz w:val="24"/>
          <w:szCs w:val="24"/>
        </w:rPr>
        <w:t>.</w:t>
      </w:r>
      <w:r>
        <w:rPr>
          <w:rFonts w:hint="default" w:ascii="Times New Roman" w:hAnsi="Times New Roman" w:eastAsia="黑体" w:cs="Times New Roman"/>
          <w:sz w:val="24"/>
          <w:szCs w:val="24"/>
          <w:lang w:val="en-US" w:eastAsia="zh-CN"/>
        </w:rPr>
        <w:t>1</w:t>
      </w:r>
      <w:r>
        <w:rPr>
          <w:rFonts w:hint="default" w:ascii="Times New Roman" w:hAnsi="Times New Roman" w:eastAsia="黑体" w:cs="Times New Roman"/>
          <w:sz w:val="24"/>
          <w:szCs w:val="24"/>
        </w:rPr>
        <w:t>-1 桃江</w:t>
      </w:r>
      <w:r>
        <w:rPr>
          <w:rFonts w:hint="default" w:ascii="Times New Roman" w:hAnsi="Times New Roman" w:eastAsia="黑体" w:cs="Times New Roman"/>
          <w:sz w:val="24"/>
          <w:szCs w:val="24"/>
          <w:lang w:val="en-US" w:eastAsia="zh-CN"/>
        </w:rPr>
        <w:t>生态绿色食品</w:t>
      </w:r>
      <w:r>
        <w:rPr>
          <w:rFonts w:hint="default" w:ascii="Times New Roman" w:hAnsi="Times New Roman" w:eastAsia="黑体" w:cs="Times New Roman"/>
          <w:sz w:val="24"/>
          <w:szCs w:val="24"/>
        </w:rPr>
        <w:t>产业发展空间布局</w:t>
      </w:r>
    </w:p>
    <w:p w14:paraId="47A63328">
      <w:pPr>
        <w:ind w:firstLine="602"/>
        <w:rPr>
          <w:rFonts w:hint="default" w:ascii="Times New Roman" w:hAnsi="Times New Roman" w:eastAsia="仿宋" w:cs="Times New Roman"/>
          <w:b/>
          <w:bCs/>
          <w:lang w:val="en-US" w:eastAsia="zh-CN"/>
        </w:rPr>
      </w:pPr>
      <w:r>
        <w:rPr>
          <w:rFonts w:ascii="Times New Roman" w:hAnsi="Times New Roman" w:cs="Times New Roman"/>
          <w:b/>
          <w:bCs/>
        </w:rPr>
        <w:t>1.一</w:t>
      </w:r>
      <w:r>
        <w:rPr>
          <w:rFonts w:hint="eastAsia" w:ascii="Times New Roman" w:hAnsi="Times New Roman" w:cs="Times New Roman"/>
          <w:b/>
          <w:bCs/>
          <w:lang w:val="en-US" w:eastAsia="zh-CN"/>
        </w:rPr>
        <w:t>园</w:t>
      </w:r>
      <w:r>
        <w:rPr>
          <w:rFonts w:ascii="Times New Roman" w:hAnsi="Times New Roman" w:cs="Times New Roman"/>
          <w:b/>
          <w:bCs/>
        </w:rPr>
        <w:t>——</w:t>
      </w:r>
      <w:r>
        <w:rPr>
          <w:rFonts w:hint="eastAsia" w:ascii="Times New Roman" w:hAnsi="Times New Roman" w:cs="Times New Roman"/>
          <w:b/>
          <w:bCs/>
        </w:rPr>
        <w:t>以“国家</w:t>
      </w:r>
      <w:r>
        <w:rPr>
          <w:rFonts w:hint="eastAsia" w:ascii="Times New Roman" w:hAnsi="Times New Roman" w:cs="Times New Roman"/>
          <w:b/>
          <w:bCs/>
          <w:lang w:eastAsia="zh-CN"/>
        </w:rPr>
        <w:t>（</w:t>
      </w:r>
      <w:r>
        <w:rPr>
          <w:rFonts w:hint="eastAsia" w:ascii="Times New Roman" w:hAnsi="Times New Roman" w:cs="Times New Roman"/>
          <w:b/>
          <w:bCs/>
        </w:rPr>
        <w:t>桃江</w:t>
      </w:r>
      <w:r>
        <w:rPr>
          <w:rFonts w:hint="eastAsia" w:ascii="Times New Roman" w:hAnsi="Times New Roman" w:cs="Times New Roman"/>
          <w:b/>
          <w:bCs/>
          <w:lang w:eastAsia="zh-CN"/>
        </w:rPr>
        <w:t>）</w:t>
      </w:r>
      <w:r>
        <w:rPr>
          <w:rFonts w:hint="eastAsia" w:ascii="Times New Roman" w:hAnsi="Times New Roman" w:cs="Times New Roman"/>
          <w:b/>
          <w:bCs/>
        </w:rPr>
        <w:t>楠竹产业示范园”为核心</w:t>
      </w:r>
      <w:r>
        <w:rPr>
          <w:rFonts w:hint="eastAsia" w:ascii="Times New Roman" w:hAnsi="Times New Roman" w:cs="Times New Roman"/>
          <w:b/>
          <w:bCs/>
          <w:lang w:eastAsia="zh-CN"/>
        </w:rPr>
        <w:t>，</w:t>
      </w:r>
      <w:r>
        <w:rPr>
          <w:rFonts w:hint="eastAsia" w:ascii="Times New Roman" w:hAnsi="Times New Roman" w:cs="Times New Roman"/>
          <w:b/>
          <w:bCs/>
          <w:lang w:val="en-US" w:eastAsia="zh-CN"/>
        </w:rPr>
        <w:t>重点建设</w:t>
      </w:r>
      <w:r>
        <w:rPr>
          <w:rFonts w:hint="eastAsia" w:ascii="Times New Roman" w:hAnsi="Times New Roman" w:cs="Times New Roman"/>
          <w:b/>
          <w:bCs/>
        </w:rPr>
        <w:t>“马迹塘笋竹特色产业园”</w:t>
      </w:r>
    </w:p>
    <w:p w14:paraId="5209E302">
      <w:pPr>
        <w:ind w:firstLine="600"/>
        <w:rPr>
          <w:rFonts w:hint="eastAsia" w:cs="Times New Roman"/>
          <w:snapToGrid w:val="0"/>
          <w:sz w:val="30"/>
          <w:lang w:val="en-US" w:eastAsia="zh-CN" w:bidi="ar-SA"/>
        </w:rPr>
      </w:pPr>
      <w:r>
        <w:rPr>
          <w:rFonts w:hint="eastAsia" w:ascii="Times New Roman" w:hAnsi="Times New Roman" w:cs="Times New Roman"/>
        </w:rPr>
        <w:t>作为全县竹笋产业发展的</w:t>
      </w:r>
      <w:r>
        <w:rPr>
          <w:rFonts w:hint="eastAsia" w:ascii="Times New Roman" w:hAnsi="Times New Roman" w:cs="Times New Roman"/>
          <w:lang w:val="en-US" w:eastAsia="zh-CN"/>
        </w:rPr>
        <w:t>主</w:t>
      </w:r>
      <w:r>
        <w:rPr>
          <w:rFonts w:hint="eastAsia" w:ascii="Times New Roman" w:hAnsi="Times New Roman" w:cs="Times New Roman"/>
        </w:rPr>
        <w:t>阵地，</w:t>
      </w:r>
      <w:r>
        <w:rPr>
          <w:rFonts w:hint="eastAsia" w:ascii="Times New Roman" w:hAnsi="Times New Roman" w:cs="Times New Roman"/>
          <w:lang w:val="en-US" w:eastAsia="zh-CN"/>
        </w:rPr>
        <w:t>打造</w:t>
      </w:r>
      <w:r>
        <w:rPr>
          <w:rFonts w:hint="eastAsia" w:ascii="Times New Roman" w:hAnsi="Times New Roman" w:cs="Times New Roman"/>
        </w:rPr>
        <w:t>现代化的竹笋食品加工生产线，引入先进的食品加工技术和设备，提升竹笋食品的品质和安全标准。同时，建设</w:t>
      </w:r>
      <w:r>
        <w:rPr>
          <w:rFonts w:hint="eastAsia" w:ascii="Times New Roman" w:hAnsi="Times New Roman" w:cs="Times New Roman"/>
          <w:lang w:val="en-US" w:eastAsia="zh-CN"/>
        </w:rPr>
        <w:t>竹笋</w:t>
      </w:r>
      <w:r>
        <w:rPr>
          <w:rFonts w:hint="eastAsia" w:ascii="Times New Roman" w:hAnsi="Times New Roman" w:cs="Times New Roman"/>
        </w:rPr>
        <w:t>研发中心、检验检测中心、冷链物流中心等配套设施，形成从原料采购、生产加工到物流配送的完整产业链条</w:t>
      </w:r>
      <w:r>
        <w:rPr>
          <w:rFonts w:hint="eastAsia" w:ascii="Times New Roman" w:hAnsi="Times New Roman" w:cs="Times New Roman"/>
          <w:lang w:eastAsia="zh-CN"/>
        </w:rPr>
        <w:t>，</w:t>
      </w:r>
      <w:r>
        <w:rPr>
          <w:rFonts w:hint="eastAsia" w:ascii="Times New Roman" w:hAnsi="Times New Roman" w:cs="Times New Roman"/>
        </w:rPr>
        <w:t>通过产业集聚、科技创新、品牌塑造等手段，全面提升竹笋食品的附加值和市场竞争力，推动竹笋产业向绿色、高效、品牌化方向转型升级</w:t>
      </w:r>
      <w:r>
        <w:rPr>
          <w:rFonts w:hint="eastAsia" w:cs="Times New Roman"/>
          <w:snapToGrid w:val="0"/>
          <w:sz w:val="30"/>
          <w:lang w:val="en-US" w:eastAsia="zh-CN" w:bidi="ar-SA"/>
        </w:rPr>
        <w:t>。</w:t>
      </w:r>
    </w:p>
    <w:p w14:paraId="6A51C0DB">
      <w:pPr>
        <w:ind w:firstLine="602"/>
        <w:rPr>
          <w:rFonts w:hint="default" w:ascii="Times New Roman" w:hAnsi="Times New Roman" w:cs="Times New Roman"/>
          <w:b/>
          <w:bCs/>
          <w:lang w:val="en-US" w:eastAsia="zh-CN"/>
        </w:rPr>
      </w:pPr>
      <w:r>
        <w:rPr>
          <w:rFonts w:hint="eastAsia" w:ascii="Times New Roman" w:hAnsi="Times New Roman" w:cs="Times New Roman"/>
          <w:b/>
          <w:bCs/>
          <w:lang w:val="en-US" w:eastAsia="zh-CN"/>
        </w:rPr>
        <w:t>2</w:t>
      </w:r>
      <w:r>
        <w:rPr>
          <w:rFonts w:ascii="Times New Roman" w:hAnsi="Times New Roman" w:cs="Times New Roman"/>
          <w:b/>
          <w:bCs/>
        </w:rPr>
        <w:t>.</w:t>
      </w:r>
      <w:r>
        <w:rPr>
          <w:rFonts w:hint="eastAsia" w:ascii="Times New Roman" w:hAnsi="Times New Roman" w:cs="Times New Roman"/>
          <w:b/>
          <w:bCs/>
          <w:lang w:val="en-US" w:eastAsia="zh-CN"/>
        </w:rPr>
        <w:t>一区</w:t>
      </w:r>
      <w:r>
        <w:rPr>
          <w:rFonts w:ascii="Times New Roman" w:hAnsi="Times New Roman" w:cs="Times New Roman"/>
          <w:b/>
          <w:bCs/>
        </w:rPr>
        <w:t>——</w:t>
      </w:r>
      <w:r>
        <w:rPr>
          <w:rFonts w:hint="eastAsia" w:ascii="Times New Roman" w:hAnsi="Times New Roman" w:cs="Times New Roman"/>
          <w:b/>
          <w:bCs/>
          <w:lang w:val="en-US" w:eastAsia="zh-CN"/>
        </w:rPr>
        <w:t>桃江高新区绿色食品精深加工产业聚集区</w:t>
      </w:r>
    </w:p>
    <w:p w14:paraId="61A96275">
      <w:pPr>
        <w:ind w:firstLine="600"/>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以高新区为载体，旨在打造集茶叶、蔬菜、修山面以及休闲食品（桃花江擂茶、武潭鱼、</w:t>
      </w:r>
      <w:r>
        <w:rPr>
          <w:rFonts w:hint="default" w:ascii="Times New Roman" w:hAnsi="Times New Roman" w:cs="Times New Roman"/>
          <w:lang w:val="en-US" w:eastAsia="zh-CN"/>
        </w:rPr>
        <w:t>鲊埠牛肉</w:t>
      </w:r>
      <w:r>
        <w:rPr>
          <w:rFonts w:hint="eastAsia" w:ascii="Times New Roman" w:hAnsi="Times New Roman" w:cs="Times New Roman"/>
          <w:b w:val="0"/>
          <w:bCs w:val="0"/>
          <w:lang w:val="en-US" w:eastAsia="zh-CN"/>
        </w:rPr>
        <w:t>）等地方特色食品加工为一体的绿色食品精深加工产业集聚区，构建从原材料供应、加工制造到市场销售的完整产业链，促进上下游企业的协同发展，形成产业集聚效应，降低企业运营成本，提升产业整体竞争力。</w:t>
      </w:r>
    </w:p>
    <w:p w14:paraId="762F4E51">
      <w:pPr>
        <w:ind w:firstLine="602"/>
        <w:rPr>
          <w:rFonts w:hint="default" w:ascii="Times New Roman" w:hAnsi="Times New Roman" w:cs="Times New Roman"/>
          <w:b w:val="0"/>
          <w:bCs w:val="0"/>
          <w:lang w:val="en-US" w:eastAsia="zh-CN"/>
        </w:rPr>
      </w:pPr>
      <w:r>
        <w:rPr>
          <w:rFonts w:hint="eastAsia" w:ascii="Times New Roman" w:hAnsi="Times New Roman" w:cs="Times New Roman"/>
          <w:b/>
          <w:bCs/>
          <w:lang w:val="en-US" w:eastAsia="zh-CN"/>
        </w:rPr>
        <w:t>3</w:t>
      </w:r>
      <w:r>
        <w:rPr>
          <w:rFonts w:ascii="Times New Roman" w:hAnsi="Times New Roman" w:cs="Times New Roman"/>
          <w:b/>
          <w:bCs/>
        </w:rPr>
        <w:t>.</w:t>
      </w:r>
      <w:r>
        <w:rPr>
          <w:rFonts w:hint="eastAsia" w:ascii="Times New Roman" w:hAnsi="Times New Roman" w:cs="Times New Roman"/>
          <w:b/>
          <w:bCs/>
          <w:lang w:val="en-US" w:eastAsia="zh-CN"/>
        </w:rPr>
        <w:t>多基地</w:t>
      </w:r>
    </w:p>
    <w:p w14:paraId="3C363712">
      <w:pPr>
        <w:ind w:firstLine="600"/>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根据各乡镇的气候、土壤和水资源等自然条件，发展适合当地生长的特色农作物，建设一批绿色农产品种养基地。如武潭镇绿色茶叶基地、修山镇绿色蔬菜基地、牛田镇绿色竹泉米基地、鲊埠</w:t>
      </w:r>
      <w:r>
        <w:rPr>
          <w:rFonts w:hint="default" w:ascii="Times New Roman" w:hAnsi="Times New Roman" w:cs="Times New Roman"/>
          <w:b w:val="0"/>
          <w:bCs w:val="0"/>
          <w:lang w:val="en-US" w:eastAsia="zh-CN"/>
        </w:rPr>
        <w:t>回族乡</w:t>
      </w:r>
      <w:r>
        <w:rPr>
          <w:rFonts w:hint="eastAsia" w:ascii="Times New Roman" w:hAnsi="Times New Roman" w:cs="Times New Roman"/>
          <w:b w:val="0"/>
          <w:bCs w:val="0"/>
          <w:lang w:val="en-US" w:eastAsia="zh-CN"/>
        </w:rPr>
        <w:t>绿色养殖基地、浮邱山乡绿色养殖基地、大栗港镇绿色水产养殖基地等。通过推广智能灌溉、精准施肥、立体养殖等现代化种养技术等，提高农产品产量和品质，确保农产品符合绿色食品或有机食品标准。</w:t>
      </w:r>
    </w:p>
    <w:p w14:paraId="0371118F">
      <w:pPr>
        <w:bidi w:val="0"/>
        <w:ind w:left="0" w:leftChars="0" w:firstLine="0" w:firstLineChars="0"/>
        <w:rPr>
          <w:rFonts w:hint="default"/>
          <w:lang w:val="en-US" w:eastAsia="zh-CN"/>
        </w:rPr>
      </w:pPr>
    </w:p>
    <w:p w14:paraId="1B042EE0">
      <w:pPr>
        <w:pStyle w:val="2"/>
        <w:keepNext/>
        <w:keepLines/>
        <w:pageBreakBefore/>
        <w:widowControl w:val="0"/>
        <w:kinsoku/>
        <w:wordWrap/>
        <w:overflowPunct/>
        <w:topLinePunct w:val="0"/>
        <w:autoSpaceDE/>
        <w:autoSpaceDN/>
        <w:bidi w:val="0"/>
        <w:adjustRightInd/>
        <w:snapToGrid/>
        <w:jc w:val="center"/>
        <w:textAlignment w:val="auto"/>
        <w:rPr>
          <w:rFonts w:hint="eastAsia" w:ascii="Times New Roman" w:hAnsi="Times New Roman"/>
          <w:lang w:val="en-US" w:eastAsia="zh-CN"/>
        </w:rPr>
      </w:pPr>
      <w:bookmarkStart w:id="71" w:name="_Toc32126"/>
      <w:r>
        <w:rPr>
          <w:rFonts w:ascii="Times New Roman" w:hAnsi="Times New Roman"/>
        </w:rPr>
        <w:t>第</w:t>
      </w:r>
      <w:r>
        <w:rPr>
          <w:rFonts w:hint="eastAsia" w:ascii="Times New Roman" w:hAnsi="Times New Roman"/>
          <w:lang w:val="en-US" w:eastAsia="zh-CN"/>
        </w:rPr>
        <w:t>四</w:t>
      </w:r>
      <w:r>
        <w:rPr>
          <w:rFonts w:ascii="Times New Roman" w:hAnsi="Times New Roman"/>
        </w:rPr>
        <w:t xml:space="preserve">章 </w:t>
      </w:r>
      <w:r>
        <w:rPr>
          <w:rFonts w:hint="eastAsia" w:ascii="Times New Roman" w:hAnsi="Times New Roman"/>
          <w:lang w:val="en-US" w:eastAsia="zh-CN"/>
        </w:rPr>
        <w:t>发展重点</w:t>
      </w:r>
      <w:bookmarkEnd w:id="71"/>
    </w:p>
    <w:p w14:paraId="64DFAFF2">
      <w:pPr>
        <w:rPr>
          <w:rFonts w:hint="eastAsia"/>
          <w:lang w:val="en-US" w:eastAsia="zh-CN"/>
        </w:rPr>
      </w:pPr>
      <w:r>
        <w:rPr>
          <w:rFonts w:hint="eastAsia"/>
        </w:rPr>
        <w:t>充分利用桃江得天独厚的自然条件和丰富的农业资源，结合现代绿色农业技术，</w:t>
      </w:r>
      <w:r>
        <w:rPr>
          <w:rFonts w:hint="eastAsia" w:ascii="Times New Roman" w:hAnsi="Times New Roman"/>
          <w:snapToGrid/>
          <w:lang w:val="en-US" w:eastAsia="zh-CN"/>
        </w:rPr>
        <w:t>打造以竹笋产业为核心，</w:t>
      </w:r>
      <w:r>
        <w:rPr>
          <w:rFonts w:hint="eastAsia"/>
          <w:lang w:val="en-US" w:eastAsia="zh-CN"/>
        </w:rPr>
        <w:t>蔬菜、茶叶、</w:t>
      </w:r>
      <w:r>
        <w:rPr>
          <w:rFonts w:hint="eastAsia"/>
        </w:rPr>
        <w:t>修山面、</w:t>
      </w:r>
      <w:r>
        <w:rPr>
          <w:rFonts w:hint="eastAsia"/>
          <w:lang w:val="en-US" w:eastAsia="zh-CN"/>
        </w:rPr>
        <w:t>生态养殖、休闲食品等产业联动发展</w:t>
      </w:r>
      <w:r>
        <w:rPr>
          <w:rFonts w:hint="eastAsia" w:ascii="Times New Roman" w:hAnsi="Times New Roman"/>
          <w:snapToGrid/>
          <w:lang w:val="en-US" w:eastAsia="zh-CN"/>
        </w:rPr>
        <w:t>的生态绿色食品</w:t>
      </w:r>
      <w:r>
        <w:rPr>
          <w:rFonts w:hint="eastAsia"/>
          <w:lang w:val="en-US" w:eastAsia="zh-CN"/>
        </w:rPr>
        <w:t>产业链群。</w:t>
      </w:r>
    </w:p>
    <w:p w14:paraId="71571CCB">
      <w:pPr>
        <w:pStyle w:val="3"/>
        <w:rPr>
          <w:rFonts w:hint="default"/>
          <w:lang w:val="en-US" w:eastAsia="zh-CN"/>
        </w:rPr>
      </w:pPr>
      <w:bookmarkStart w:id="72" w:name="_Toc26669"/>
      <w:bookmarkStart w:id="73" w:name="_Toc138161505"/>
      <w:bookmarkStart w:id="74" w:name="_Toc9147"/>
      <w:r>
        <w:rPr>
          <w:rFonts w:hint="eastAsia" w:ascii="Times New Roman" w:hAnsi="Times New Roman" w:cs="Times New Roman"/>
          <w:snapToGrid/>
          <w:lang w:val="en-US" w:eastAsia="zh-CN"/>
        </w:rPr>
        <w:t>一、</w:t>
      </w:r>
      <w:r>
        <w:rPr>
          <w:rFonts w:ascii="Times New Roman" w:hAnsi="Times New Roman" w:cs="Times New Roman"/>
          <w:snapToGrid/>
        </w:rPr>
        <w:t>做</w:t>
      </w:r>
      <w:r>
        <w:rPr>
          <w:rFonts w:hint="eastAsia" w:ascii="Times New Roman" w:hAnsi="Times New Roman" w:cs="Times New Roman"/>
          <w:snapToGrid/>
          <w:lang w:val="en-US" w:eastAsia="zh-CN"/>
        </w:rPr>
        <w:t>大</w:t>
      </w:r>
      <w:r>
        <w:rPr>
          <w:rFonts w:ascii="Times New Roman" w:hAnsi="Times New Roman" w:cs="Times New Roman"/>
          <w:snapToGrid/>
        </w:rPr>
        <w:t>做</w:t>
      </w:r>
      <w:r>
        <w:rPr>
          <w:rFonts w:hint="eastAsia" w:ascii="Times New Roman" w:hAnsi="Times New Roman" w:cs="Times New Roman"/>
          <w:snapToGrid/>
          <w:lang w:val="en-US" w:eastAsia="zh-CN"/>
        </w:rPr>
        <w:t>强竹笋</w:t>
      </w:r>
      <w:r>
        <w:rPr>
          <w:rFonts w:ascii="Times New Roman" w:hAnsi="Times New Roman" w:cs="Times New Roman"/>
          <w:snapToGrid/>
        </w:rPr>
        <w:t>产业</w:t>
      </w:r>
      <w:bookmarkEnd w:id="72"/>
      <w:bookmarkEnd w:id="73"/>
      <w:bookmarkEnd w:id="74"/>
    </w:p>
    <w:p w14:paraId="160B705F">
      <w:pPr>
        <w:pStyle w:val="183"/>
        <w:rPr>
          <w:rFonts w:hint="default" w:eastAsia="黑体"/>
          <w:lang w:val="en-US" w:eastAsia="zh-CN"/>
        </w:rPr>
      </w:pPr>
      <w:bookmarkStart w:id="75" w:name="_Toc10097"/>
      <w:bookmarkStart w:id="76" w:name="_Toc31334"/>
      <w:bookmarkStart w:id="77" w:name="_Toc8036"/>
      <w:bookmarkStart w:id="78" w:name="_Toc9874"/>
      <w:bookmarkStart w:id="79" w:name="_Toc15582"/>
      <w:bookmarkStart w:id="80" w:name="_Toc28694"/>
      <w:bookmarkStart w:id="81" w:name="_Toc20622"/>
      <w:r>
        <w:rPr>
          <w:rFonts w:ascii="Times New Roman" w:hAnsi="Times New Roman"/>
          <w:snapToGrid/>
        </w:rPr>
        <w:t>（一）</w:t>
      </w:r>
      <w:r>
        <w:rPr>
          <w:rFonts w:hint="eastAsia"/>
          <w:lang w:val="en-US" w:eastAsia="zh-CN"/>
        </w:rPr>
        <w:t>市场</w:t>
      </w:r>
      <w:bookmarkEnd w:id="75"/>
      <w:bookmarkEnd w:id="76"/>
      <w:bookmarkEnd w:id="77"/>
      <w:bookmarkEnd w:id="78"/>
      <w:r>
        <w:rPr>
          <w:rFonts w:hint="eastAsia"/>
          <w:lang w:val="en-US" w:eastAsia="zh-CN"/>
        </w:rPr>
        <w:t>前景</w:t>
      </w:r>
      <w:bookmarkEnd w:id="79"/>
      <w:bookmarkEnd w:id="80"/>
      <w:bookmarkEnd w:id="81"/>
    </w:p>
    <w:p w14:paraId="459D7765">
      <w:pPr>
        <w:ind w:firstLine="600"/>
        <w:rPr>
          <w:rFonts w:hint="eastAsia" w:ascii="Times New Roman" w:hAnsi="Times New Roman"/>
          <w:snapToGrid/>
          <w:lang w:eastAsia="zh-CN"/>
        </w:rPr>
      </w:pPr>
      <w:r>
        <w:rPr>
          <w:rFonts w:hint="eastAsia" w:ascii="Times New Roman" w:hAnsi="Times New Roman"/>
          <w:snapToGrid/>
          <w:lang w:eastAsia="zh-CN"/>
        </w:rPr>
        <w:t>中国是全球最大的竹笋食品生产国和消费国，2023年竹笋食品市场总销售额预计达到450亿元，同比增长7%。中国竹林面积超过700万公顷，主要分布在浙江、福建、四川、湖南等省份，年产竹笋1500万吨，占全球产量的60%。未来几年，全球和中国竹笋食品市场预计将继续保持稳定增长，主要驱动因素包括消费者对健康食品的需求增加、亚洲美食文化的全球传播以及竹笋食品加工技术的创新。预计到20</w:t>
      </w:r>
      <w:r>
        <w:rPr>
          <w:rFonts w:hint="eastAsia" w:ascii="Times New Roman" w:hAnsi="Times New Roman"/>
          <w:snapToGrid/>
          <w:lang w:val="en-US" w:eastAsia="zh-CN"/>
        </w:rPr>
        <w:t>30</w:t>
      </w:r>
      <w:r>
        <w:rPr>
          <w:rFonts w:hint="eastAsia" w:ascii="Times New Roman" w:hAnsi="Times New Roman"/>
          <w:snapToGrid/>
          <w:lang w:eastAsia="zh-CN"/>
        </w:rPr>
        <w:t>年，全球竹笋食品市场规模将</w:t>
      </w:r>
      <w:r>
        <w:rPr>
          <w:rFonts w:hint="eastAsia" w:ascii="Times New Roman" w:hAnsi="Times New Roman"/>
          <w:snapToGrid/>
          <w:lang w:val="en-US" w:eastAsia="zh-CN"/>
        </w:rPr>
        <w:t>超过</w:t>
      </w:r>
      <w:r>
        <w:rPr>
          <w:rFonts w:hint="eastAsia" w:ascii="Times New Roman" w:hAnsi="Times New Roman"/>
          <w:snapToGrid/>
          <w:lang w:eastAsia="zh-CN"/>
        </w:rPr>
        <w:t>1</w:t>
      </w:r>
      <w:r>
        <w:rPr>
          <w:rFonts w:hint="eastAsia" w:ascii="Times New Roman" w:hAnsi="Times New Roman"/>
          <w:snapToGrid/>
          <w:lang w:val="en-US" w:eastAsia="zh-CN"/>
        </w:rPr>
        <w:t>60</w:t>
      </w:r>
      <w:r>
        <w:rPr>
          <w:rFonts w:hint="eastAsia" w:ascii="Times New Roman" w:hAnsi="Times New Roman"/>
          <w:snapToGrid/>
          <w:lang w:eastAsia="zh-CN"/>
        </w:rPr>
        <w:t>亿美元，年复合增长率约为4%；中国竹笋食品市场规模预计将突破6</w:t>
      </w:r>
      <w:r>
        <w:rPr>
          <w:rFonts w:hint="eastAsia" w:ascii="Times New Roman" w:hAnsi="Times New Roman"/>
          <w:snapToGrid/>
          <w:lang w:val="en-US" w:eastAsia="zh-CN"/>
        </w:rPr>
        <w:t>70</w:t>
      </w:r>
      <w:r>
        <w:rPr>
          <w:rFonts w:hint="eastAsia" w:ascii="Times New Roman" w:hAnsi="Times New Roman"/>
          <w:snapToGrid/>
          <w:lang w:eastAsia="zh-CN"/>
        </w:rPr>
        <w:t>亿元，年复合增长率超过5%。</w:t>
      </w:r>
    </w:p>
    <w:p w14:paraId="4B3D0C5C">
      <w:pPr>
        <w:ind w:left="0" w:leftChars="0" w:firstLine="600" w:firstLineChars="200"/>
        <w:rPr>
          <w:rFonts w:hint="default" w:ascii="Times New Roman" w:hAnsi="Times New Roman"/>
          <w:snapToGrid/>
          <w:lang w:val="en-US" w:eastAsia="zh-CN"/>
        </w:rPr>
      </w:pPr>
      <w:r>
        <w:rPr>
          <w:rFonts w:hint="eastAsia" w:ascii="Times New Roman" w:hAnsi="Times New Roman"/>
          <w:snapToGrid/>
          <w:lang w:eastAsia="zh-CN"/>
        </w:rPr>
        <w:t>目前</w:t>
      </w:r>
      <w:r>
        <w:rPr>
          <w:rFonts w:hint="eastAsia" w:ascii="Times New Roman" w:hAnsi="Times New Roman"/>
          <w:snapToGrid/>
          <w:lang w:val="en-US" w:eastAsia="zh-CN"/>
        </w:rPr>
        <w:t>桃江有</w:t>
      </w:r>
      <w:r>
        <w:rPr>
          <w:rFonts w:hint="eastAsia" w:ascii="Times New Roman" w:hAnsi="Times New Roman"/>
          <w:snapToGrid/>
          <w:lang w:eastAsia="zh-CN"/>
        </w:rPr>
        <w:t>高产笋竹两用林12.4万亩</w:t>
      </w:r>
      <w:r>
        <w:rPr>
          <w:rFonts w:hint="eastAsia" w:ascii="Times New Roman" w:hAnsi="Times New Roman"/>
          <w:snapToGrid/>
          <w:lang w:val="en-US" w:eastAsia="zh-CN"/>
        </w:rPr>
        <w:t>，</w:t>
      </w:r>
      <w:r>
        <w:rPr>
          <w:rFonts w:hint="eastAsia" w:ascii="Times New Roman" w:hAnsi="Times New Roman"/>
          <w:snapToGrid/>
          <w:lang w:eastAsia="zh-CN"/>
        </w:rPr>
        <w:t>竹笋生产加工获证企业10家，年产鲜笋5760万公斤、年产复水笋、清水笋约1920万公斤</w:t>
      </w:r>
      <w:r>
        <w:rPr>
          <w:rFonts w:hint="eastAsia" w:ascii="Times New Roman" w:hAnsi="Times New Roman"/>
          <w:snapToGrid/>
          <w:lang w:val="en-US" w:eastAsia="zh-CN"/>
        </w:rPr>
        <w:t>。</w:t>
      </w:r>
      <w:r>
        <w:rPr>
          <w:rFonts w:hint="default"/>
          <w:lang w:val="en-US" w:eastAsia="zh-CN"/>
        </w:rPr>
        <w:t>“桃江竹笋”获得国家地理标志证明商标和国家农产品地理标志登记。现有“竹聚缘”“洗耳溪”“羞女湖”“黄金塘”等注册商标，生产鲜笋、玉兰片、笋干、水笋、榨笋、烟笋和笋丝等十余个产品</w:t>
      </w:r>
      <w:r>
        <w:rPr>
          <w:rFonts w:hint="eastAsia"/>
          <w:lang w:val="en-US" w:eastAsia="zh-CN"/>
        </w:rPr>
        <w:t>，</w:t>
      </w:r>
      <w:r>
        <w:rPr>
          <w:rFonts w:hint="eastAsia" w:ascii="Times New Roman" w:hAnsi="Times New Roman"/>
          <w:snapToGrid/>
          <w:lang w:eastAsia="zh-CN"/>
        </w:rPr>
        <w:t>销售已覆盖全国25个省份。线下主要通过在长沙、武汉、成都、广州等地设置专卖店和代销店铺</w:t>
      </w:r>
      <w:r>
        <w:rPr>
          <w:rFonts w:hint="eastAsia" w:ascii="Times New Roman" w:hAnsi="Times New Roman"/>
          <w:snapToGrid/>
          <w:lang w:val="en-US" w:eastAsia="zh-CN"/>
        </w:rPr>
        <w:t>进行</w:t>
      </w:r>
      <w:r>
        <w:rPr>
          <w:rFonts w:hint="eastAsia" w:ascii="Times New Roman" w:hAnsi="Times New Roman"/>
          <w:snapToGrid/>
          <w:lang w:eastAsia="zh-CN"/>
        </w:rPr>
        <w:t>销售；线上销售主要通过美团平台、抖音直播平台、拼多多“多多买菜”平台、兴盛优选“菜配配”平台、阿里巴巴和淘宝批发网站、邮政邮乐购等线上平台销售。2023年，实现销售收入</w:t>
      </w:r>
      <w:r>
        <w:rPr>
          <w:rFonts w:hint="eastAsia" w:ascii="Times New Roman" w:hAnsi="Times New Roman"/>
          <w:snapToGrid/>
          <w:lang w:val="en-US" w:eastAsia="zh-CN"/>
        </w:rPr>
        <w:t>超</w:t>
      </w:r>
      <w:r>
        <w:rPr>
          <w:rFonts w:hint="eastAsia" w:ascii="Times New Roman" w:hAnsi="Times New Roman"/>
          <w:snapToGrid/>
          <w:lang w:eastAsia="zh-CN"/>
        </w:rPr>
        <w:t>过1.3亿元（桃江县竹缘林科开发有限公司8285万</w:t>
      </w:r>
      <w:r>
        <w:rPr>
          <w:rFonts w:hint="eastAsia" w:ascii="Times New Roman" w:hAnsi="Times New Roman"/>
          <w:snapToGrid/>
          <w:lang w:val="en-US" w:eastAsia="zh-CN"/>
        </w:rPr>
        <w:t>元</w:t>
      </w:r>
      <w:r>
        <w:rPr>
          <w:rFonts w:hint="eastAsia" w:ascii="Times New Roman" w:hAnsi="Times New Roman"/>
          <w:snapToGrid/>
          <w:lang w:eastAsia="zh-CN"/>
        </w:rPr>
        <w:t>、桃江县亿阳仑生态食品有限公司3000万</w:t>
      </w:r>
      <w:r>
        <w:rPr>
          <w:rFonts w:hint="eastAsia" w:ascii="Times New Roman" w:hAnsi="Times New Roman"/>
          <w:snapToGrid/>
          <w:lang w:val="en-US" w:eastAsia="zh-CN"/>
        </w:rPr>
        <w:t>元</w:t>
      </w:r>
      <w:r>
        <w:rPr>
          <w:rFonts w:hint="eastAsia" w:ascii="Times New Roman" w:hAnsi="Times New Roman"/>
          <w:snapToGrid/>
          <w:lang w:eastAsia="zh-CN"/>
        </w:rPr>
        <w:t>、国泰农业1000万</w:t>
      </w:r>
      <w:r>
        <w:rPr>
          <w:rFonts w:hint="eastAsia" w:ascii="Times New Roman" w:hAnsi="Times New Roman"/>
          <w:snapToGrid/>
          <w:lang w:val="en-US" w:eastAsia="zh-CN"/>
        </w:rPr>
        <w:t>元</w:t>
      </w:r>
      <w:r>
        <w:rPr>
          <w:rFonts w:hint="eastAsia" w:ascii="Times New Roman" w:hAnsi="Times New Roman"/>
          <w:snapToGrid/>
          <w:lang w:eastAsia="zh-CN"/>
        </w:rPr>
        <w:t>、民食竹笋500万</w:t>
      </w:r>
      <w:r>
        <w:rPr>
          <w:rFonts w:hint="eastAsia" w:ascii="Times New Roman" w:hAnsi="Times New Roman"/>
          <w:snapToGrid/>
          <w:lang w:val="en-US" w:eastAsia="zh-CN"/>
        </w:rPr>
        <w:t>元</w:t>
      </w:r>
      <w:r>
        <w:rPr>
          <w:rFonts w:hint="eastAsia" w:ascii="Times New Roman" w:hAnsi="Times New Roman"/>
          <w:snapToGrid/>
          <w:lang w:eastAsia="zh-CN"/>
        </w:rPr>
        <w:t>）。</w:t>
      </w:r>
    </w:p>
    <w:p w14:paraId="5F4FCBB8">
      <w:pPr>
        <w:ind w:left="0" w:leftChars="0" w:firstLine="0" w:firstLineChars="0"/>
        <w:jc w:val="center"/>
        <w:rPr>
          <w:rFonts w:hint="eastAsia" w:ascii="Times New Roman" w:hAnsi="Times New Roman"/>
          <w:snapToGrid/>
          <w:lang w:val="en-US" w:eastAsia="zh-CN"/>
        </w:rPr>
      </w:pPr>
      <w:r>
        <w:rPr>
          <w:rFonts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-24130</wp:posOffset>
            </wp:positionH>
            <wp:positionV relativeFrom="paragraph">
              <wp:posOffset>13335</wp:posOffset>
            </wp:positionV>
            <wp:extent cx="5377815" cy="3332480"/>
            <wp:effectExtent l="0" t="0" r="13335" b="1270"/>
            <wp:wrapTopAndBottom/>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3"/>
                    <a:stretch>
                      <a:fillRect/>
                    </a:stretch>
                  </pic:blipFill>
                  <pic:spPr>
                    <a:xfrm>
                      <a:off x="0" y="0"/>
                      <a:ext cx="5377815" cy="3332480"/>
                    </a:xfrm>
                    <a:prstGeom prst="rect">
                      <a:avLst/>
                    </a:prstGeom>
                    <a:noFill/>
                    <a:ln w="9525">
                      <a:noFill/>
                    </a:ln>
                  </pic:spPr>
                </pic:pic>
              </a:graphicData>
            </a:graphic>
          </wp:anchor>
        </w:drawing>
      </w:r>
      <w:r>
        <w:rPr>
          <w:rFonts w:ascii="Times New Roman" w:hAnsi="Times New Roman" w:eastAsia="黑体" w:cs="Times New Roman"/>
          <w:snapToGrid w:val="0"/>
          <w:sz w:val="24"/>
          <w:szCs w:val="22"/>
          <w:lang w:val="en-US" w:eastAsia="zh-CN" w:bidi="ar-SA"/>
          <w14:ligatures w14:val="none"/>
        </w:rPr>
        <w:t>图</w:t>
      </w:r>
      <w:r>
        <w:rPr>
          <w:rFonts w:hint="eastAsia" w:ascii="Times New Roman" w:hAnsi="Times New Roman" w:eastAsia="黑体" w:cs="Times New Roman"/>
          <w:snapToGrid w:val="0"/>
          <w:sz w:val="24"/>
          <w:szCs w:val="22"/>
          <w:lang w:val="en-US" w:eastAsia="zh-CN" w:bidi="ar-SA"/>
          <w14:ligatures w14:val="none"/>
        </w:rPr>
        <w:t>4</w:t>
      </w:r>
      <w:r>
        <w:rPr>
          <w:rFonts w:ascii="Times New Roman" w:hAnsi="Times New Roman" w:eastAsia="黑体" w:cs="Times New Roman"/>
          <w:snapToGrid w:val="0"/>
          <w:sz w:val="24"/>
          <w:szCs w:val="22"/>
          <w:lang w:val="en-US" w:eastAsia="zh-CN" w:bidi="ar-SA"/>
          <w14:ligatures w14:val="none"/>
        </w:rPr>
        <w:t>.</w:t>
      </w:r>
      <w:r>
        <w:rPr>
          <w:rFonts w:hint="eastAsia" w:ascii="Times New Roman" w:hAnsi="Times New Roman" w:eastAsia="黑体" w:cs="Times New Roman"/>
          <w:snapToGrid w:val="0"/>
          <w:sz w:val="24"/>
          <w:szCs w:val="22"/>
          <w:lang w:val="en-US" w:eastAsia="zh-CN" w:bidi="ar-SA"/>
          <w14:ligatures w14:val="none"/>
        </w:rPr>
        <w:t>1</w:t>
      </w:r>
      <w:r>
        <w:rPr>
          <w:rFonts w:ascii="Times New Roman" w:hAnsi="Times New Roman" w:eastAsia="黑体" w:cs="Times New Roman"/>
          <w:snapToGrid w:val="0"/>
          <w:sz w:val="24"/>
          <w:szCs w:val="22"/>
          <w:lang w:val="en-US" w:eastAsia="zh-CN" w:bidi="ar-SA"/>
          <w14:ligatures w14:val="none"/>
        </w:rPr>
        <w:t xml:space="preserve">-1 </w:t>
      </w:r>
      <w:r>
        <w:rPr>
          <w:rFonts w:hint="eastAsia" w:ascii="Times New Roman" w:hAnsi="Times New Roman" w:eastAsia="黑体" w:cs="Times New Roman"/>
          <w:snapToGrid w:val="0"/>
          <w:sz w:val="24"/>
          <w:szCs w:val="22"/>
          <w:lang w:val="en-US" w:eastAsia="zh-CN" w:bidi="ar-SA"/>
          <w14:ligatures w14:val="none"/>
        </w:rPr>
        <w:t>冰雪映衬下的桃江“竹笋”</w:t>
      </w:r>
    </w:p>
    <w:p w14:paraId="1E2F54B9">
      <w:pPr>
        <w:pStyle w:val="183"/>
        <w:rPr>
          <w:rFonts w:hint="default" w:eastAsia="黑体"/>
          <w:lang w:val="en-US" w:eastAsia="zh-CN"/>
        </w:rPr>
      </w:pPr>
      <w:bookmarkStart w:id="82" w:name="_Toc23415"/>
      <w:bookmarkStart w:id="83" w:name="_Toc31543"/>
      <w:bookmarkStart w:id="84" w:name="_Toc26019"/>
      <w:bookmarkStart w:id="85" w:name="_Toc18818"/>
      <w:bookmarkStart w:id="86" w:name="_Toc18921"/>
      <w:bookmarkStart w:id="87" w:name="_Toc5003"/>
      <w:bookmarkStart w:id="88" w:name="_Toc28675"/>
      <w:r>
        <w:rPr>
          <w:rFonts w:ascii="Times New Roman" w:hAnsi="Times New Roman"/>
          <w:snapToGrid/>
        </w:rPr>
        <w:t>（</w:t>
      </w:r>
      <w:r>
        <w:rPr>
          <w:rFonts w:hint="eastAsia"/>
          <w:snapToGrid/>
          <w:lang w:val="en-US" w:eastAsia="zh-CN"/>
        </w:rPr>
        <w:t>二</w:t>
      </w:r>
      <w:r>
        <w:rPr>
          <w:rFonts w:ascii="Times New Roman" w:hAnsi="Times New Roman"/>
          <w:snapToGrid/>
        </w:rPr>
        <w:t>）</w:t>
      </w:r>
      <w:r>
        <w:rPr>
          <w:rFonts w:hint="eastAsia"/>
          <w:lang w:val="en-US" w:eastAsia="zh-CN"/>
        </w:rPr>
        <w:t>发展目标</w:t>
      </w:r>
      <w:bookmarkEnd w:id="82"/>
      <w:bookmarkEnd w:id="83"/>
      <w:bookmarkEnd w:id="84"/>
      <w:bookmarkEnd w:id="85"/>
      <w:bookmarkEnd w:id="86"/>
      <w:bookmarkEnd w:id="87"/>
      <w:bookmarkEnd w:id="88"/>
    </w:p>
    <w:p w14:paraId="73BAC108">
      <w:pPr>
        <w:pStyle w:val="181"/>
      </w:pPr>
      <w:r>
        <w:rPr>
          <w:rFonts w:hint="eastAsia"/>
          <w:lang w:bidi="ar"/>
        </w:rPr>
        <w:t>到20</w:t>
      </w:r>
      <w:r>
        <w:rPr>
          <w:rFonts w:hint="eastAsia"/>
          <w:lang w:val="en-US" w:eastAsia="zh-CN" w:bidi="ar"/>
        </w:rPr>
        <w:t>30</w:t>
      </w:r>
      <w:r>
        <w:rPr>
          <w:rFonts w:hint="eastAsia"/>
          <w:lang w:bidi="ar"/>
        </w:rPr>
        <w:t>年，</w:t>
      </w:r>
      <w:r>
        <w:rPr>
          <w:rFonts w:hint="eastAsia"/>
          <w:lang w:val="en-US" w:eastAsia="zh-CN" w:bidi="ar"/>
        </w:rPr>
        <w:t>竹笋产业</w:t>
      </w:r>
      <w:r>
        <w:rPr>
          <w:rFonts w:hint="eastAsia"/>
          <w:lang w:bidi="ar"/>
        </w:rPr>
        <w:t>实现</w:t>
      </w:r>
      <w:r>
        <w:rPr>
          <w:rFonts w:hint="eastAsia"/>
        </w:rPr>
        <w:t>产值</w:t>
      </w:r>
      <w:r>
        <w:rPr>
          <w:rFonts w:hint="eastAsia"/>
          <w:lang w:val="en-US" w:eastAsia="zh-CN"/>
        </w:rPr>
        <w:t>50</w:t>
      </w:r>
      <w:r>
        <w:rPr>
          <w:rFonts w:hint="eastAsia"/>
          <w:lang w:bidi="ar"/>
        </w:rPr>
        <w:t>亿</w:t>
      </w:r>
      <w:r>
        <w:rPr>
          <w:rFonts w:hint="eastAsia"/>
          <w:lang w:val="en-US" w:eastAsia="zh-CN" w:bidi="ar"/>
        </w:rPr>
        <w:t>元</w:t>
      </w:r>
      <w:r>
        <w:rPr>
          <w:rFonts w:hint="eastAsia"/>
          <w:lang w:bidi="ar"/>
        </w:rPr>
        <w:t>以上</w:t>
      </w:r>
      <w:r>
        <w:rPr>
          <w:rFonts w:hint="eastAsia"/>
          <w:lang w:eastAsia="zh-CN" w:bidi="ar"/>
        </w:rPr>
        <w:t>，</w:t>
      </w:r>
      <w:r>
        <w:rPr>
          <w:rFonts w:hint="eastAsia"/>
        </w:rPr>
        <w:t>培育</w:t>
      </w:r>
      <w:r>
        <w:rPr>
          <w:rFonts w:hint="eastAsia"/>
          <w:lang w:val="en-US" w:eastAsia="zh-CN"/>
        </w:rPr>
        <w:t>或引进</w:t>
      </w:r>
      <w:r>
        <w:rPr>
          <w:rFonts w:hint="eastAsia"/>
        </w:rPr>
        <w:t>年</w:t>
      </w:r>
      <w:r>
        <w:rPr>
          <w:rFonts w:hint="eastAsia"/>
          <w:lang w:val="en-US" w:eastAsia="zh-CN"/>
        </w:rPr>
        <w:t>产值超20</w:t>
      </w:r>
      <w:r>
        <w:rPr>
          <w:rFonts w:hint="eastAsia"/>
        </w:rPr>
        <w:t>亿</w:t>
      </w:r>
      <w:r>
        <w:rPr>
          <w:rFonts w:hint="eastAsia"/>
          <w:lang w:val="en-US" w:eastAsia="zh-CN"/>
        </w:rPr>
        <w:t>元</w:t>
      </w:r>
      <w:r>
        <w:rPr>
          <w:rFonts w:hint="eastAsia"/>
        </w:rPr>
        <w:t>的龙头企业</w:t>
      </w:r>
      <w:r>
        <w:rPr>
          <w:rFonts w:hint="eastAsia"/>
          <w:lang w:val="en-US" w:eastAsia="zh-CN"/>
        </w:rPr>
        <w:t>1</w:t>
      </w:r>
      <w:r>
        <w:rPr>
          <w:rFonts w:hint="eastAsia"/>
        </w:rPr>
        <w:t>家，培育年营收</w:t>
      </w:r>
      <w:r>
        <w:rPr>
          <w:rFonts w:hint="eastAsia"/>
          <w:lang w:val="en-US" w:eastAsia="zh-CN"/>
        </w:rPr>
        <w:t>超1亿元</w:t>
      </w:r>
      <w:r>
        <w:rPr>
          <w:rFonts w:hint="eastAsia"/>
        </w:rPr>
        <w:t>的重点企业</w:t>
      </w:r>
      <w:r>
        <w:rPr>
          <w:rFonts w:hint="eastAsia"/>
          <w:lang w:val="en-US" w:eastAsia="zh-CN"/>
        </w:rPr>
        <w:t>3</w:t>
      </w:r>
      <w:r>
        <w:rPr>
          <w:rFonts w:hint="eastAsia"/>
        </w:rPr>
        <w:t>家，</w:t>
      </w:r>
      <w:r>
        <w:rPr>
          <w:rFonts w:hint="eastAsia" w:ascii="Times New Roman" w:hAnsi="Times New Roman" w:cs="Times New Roman"/>
          <w:b w:val="0"/>
          <w:bCs w:val="0"/>
          <w:lang w:val="en-US" w:eastAsia="zh-CN"/>
        </w:rPr>
        <w:t>规模以上</w:t>
      </w:r>
      <w:r>
        <w:rPr>
          <w:rFonts w:hint="eastAsia"/>
        </w:rPr>
        <w:t>竹笋</w:t>
      </w:r>
      <w:r>
        <w:rPr>
          <w:rFonts w:hint="eastAsia"/>
          <w:lang w:val="en-US" w:eastAsia="zh-CN"/>
        </w:rPr>
        <w:t>精深</w:t>
      </w:r>
      <w:r>
        <w:rPr>
          <w:rFonts w:hint="eastAsia"/>
        </w:rPr>
        <w:t>加工企业</w:t>
      </w:r>
      <w:r>
        <w:rPr>
          <w:rFonts w:hint="eastAsia"/>
          <w:lang w:val="en-US" w:eastAsia="zh-CN"/>
        </w:rPr>
        <w:t>超20</w:t>
      </w:r>
      <w:r>
        <w:rPr>
          <w:rFonts w:hint="eastAsia"/>
        </w:rPr>
        <w:t>家。</w:t>
      </w:r>
    </w:p>
    <w:p w14:paraId="71176FEE">
      <w:pPr>
        <w:pStyle w:val="183"/>
        <w:rPr>
          <w:rFonts w:hint="default" w:eastAsia="黑体"/>
          <w:lang w:val="en-US" w:eastAsia="zh-CN"/>
        </w:rPr>
      </w:pPr>
      <w:bookmarkStart w:id="89" w:name="_Toc13412"/>
      <w:bookmarkStart w:id="90" w:name="_Toc25180"/>
      <w:bookmarkStart w:id="91" w:name="_Toc21020"/>
      <w:bookmarkStart w:id="92" w:name="_Toc26784"/>
      <w:bookmarkStart w:id="93" w:name="_Toc9437"/>
      <w:bookmarkStart w:id="94" w:name="_Toc31415"/>
      <w:bookmarkStart w:id="95" w:name="_Toc10125"/>
      <w:r>
        <w:rPr>
          <w:rFonts w:ascii="Times New Roman" w:hAnsi="Times New Roman"/>
          <w:snapToGrid/>
        </w:rPr>
        <w:t>（</w:t>
      </w:r>
      <w:r>
        <w:rPr>
          <w:rFonts w:hint="eastAsia"/>
          <w:snapToGrid/>
          <w:lang w:val="en-US" w:eastAsia="zh-CN"/>
        </w:rPr>
        <w:t>三</w:t>
      </w:r>
      <w:r>
        <w:rPr>
          <w:rFonts w:ascii="Times New Roman" w:hAnsi="Times New Roman"/>
          <w:snapToGrid/>
        </w:rPr>
        <w:t>）</w:t>
      </w:r>
      <w:r>
        <w:rPr>
          <w:rFonts w:hint="eastAsia"/>
          <w:lang w:val="en-US" w:eastAsia="zh-CN"/>
        </w:rPr>
        <w:t>发展重点及路径</w:t>
      </w:r>
      <w:bookmarkEnd w:id="89"/>
      <w:bookmarkEnd w:id="90"/>
      <w:bookmarkEnd w:id="91"/>
      <w:bookmarkEnd w:id="92"/>
      <w:bookmarkEnd w:id="93"/>
      <w:bookmarkEnd w:id="94"/>
      <w:bookmarkEnd w:id="95"/>
    </w:p>
    <w:p w14:paraId="5CA05A25">
      <w:pPr>
        <w:ind w:firstLine="602"/>
        <w:rPr>
          <w:rFonts w:ascii="Times New Roman" w:hAnsi="Times New Roman" w:cs="Times New Roman"/>
          <w:b/>
          <w:bCs/>
        </w:rPr>
      </w:pPr>
    </w:p>
    <w:p w14:paraId="18F84659">
      <w:pPr>
        <w:ind w:firstLine="602"/>
        <w:rPr>
          <w:rFonts w:hint="eastAsia" w:ascii="Times New Roman" w:hAnsi="Times New Roman" w:cs="Times New Roman"/>
          <w:b/>
          <w:bCs/>
        </w:rPr>
      </w:pPr>
      <w:r>
        <w:rPr>
          <w:rFonts w:ascii="Times New Roman" w:hAnsi="Times New Roman" w:cs="Times New Roman"/>
          <w:b/>
          <w:bCs/>
        </w:rPr>
        <w:t>1.</w:t>
      </w:r>
      <w:r>
        <w:rPr>
          <w:rFonts w:hint="eastAsia" w:ascii="Times New Roman" w:hAnsi="Times New Roman" w:cs="Times New Roman"/>
          <w:b/>
          <w:bCs/>
          <w:lang w:val="en-US" w:eastAsia="zh-CN"/>
        </w:rPr>
        <w:t>培育</w:t>
      </w:r>
      <w:r>
        <w:rPr>
          <w:rFonts w:hint="eastAsia" w:ascii="Times New Roman" w:hAnsi="Times New Roman" w:cs="Times New Roman"/>
          <w:b/>
          <w:bCs/>
        </w:rPr>
        <w:t>高效笋竹两用林基地</w:t>
      </w:r>
    </w:p>
    <w:p w14:paraId="2224CF52">
      <w:pPr>
        <w:ind w:firstLine="602"/>
        <w:rPr>
          <w:rFonts w:hint="default" w:ascii="Times New Roman" w:hAnsi="Times New Roman" w:eastAsia="仿宋" w:cs="Times New Roman"/>
          <w:b w:val="0"/>
          <w:bCs w:val="0"/>
          <w:lang w:val="en-US" w:eastAsia="zh-CN"/>
        </w:rPr>
      </w:pPr>
      <w:r>
        <w:rPr>
          <w:rFonts w:ascii="Times New Roman" w:hAnsi="Times New Roman" w:cs="Times New Roman"/>
        </w:rPr>
        <w:t>发挥桃江</w:t>
      </w:r>
      <w:r>
        <w:rPr>
          <w:rFonts w:hint="eastAsia" w:ascii="仿宋" w:hAnsi="仿宋" w:eastAsia="仿宋" w:cs="仿宋"/>
        </w:rPr>
        <w:t>“中国楠竹之乡”</w:t>
      </w:r>
      <w:r>
        <w:rPr>
          <w:rFonts w:ascii="Times New Roman" w:hAnsi="Times New Roman" w:cs="Times New Roman"/>
        </w:rPr>
        <w:t>资源优势，以现有的</w:t>
      </w:r>
      <w:r>
        <w:rPr>
          <w:rFonts w:hint="eastAsia" w:ascii="仿宋" w:hAnsi="仿宋" w:eastAsia="仿宋" w:cs="仿宋"/>
        </w:rPr>
        <w:t>“村（竹林）</w:t>
      </w:r>
      <w:r>
        <w:rPr>
          <w:rFonts w:hint="eastAsia" w:ascii="仿宋" w:hAnsi="仿宋" w:cs="仿宋"/>
          <w:lang w:eastAsia="zh-CN"/>
        </w:rPr>
        <w:t>—</w:t>
      </w:r>
      <w:r>
        <w:rPr>
          <w:rFonts w:hint="eastAsia" w:ascii="仿宋" w:hAnsi="仿宋" w:eastAsia="仿宋" w:cs="仿宋"/>
        </w:rPr>
        <w:t>乡镇（预处理场）</w:t>
      </w:r>
      <w:r>
        <w:rPr>
          <w:rFonts w:hint="eastAsia" w:ascii="仿宋" w:hAnsi="仿宋" w:cs="仿宋"/>
          <w:lang w:eastAsia="zh-CN"/>
        </w:rPr>
        <w:t>—</w:t>
      </w:r>
      <w:r>
        <w:rPr>
          <w:rFonts w:hint="eastAsia" w:ascii="仿宋" w:hAnsi="仿宋" w:eastAsia="仿宋" w:cs="仿宋"/>
        </w:rPr>
        <w:t>产业园区（竹产品生产）”</w:t>
      </w:r>
      <w:r>
        <w:rPr>
          <w:rFonts w:ascii="Times New Roman" w:hAnsi="Times New Roman" w:cs="Times New Roman"/>
        </w:rPr>
        <w:t>竹产业三级体系为基础，优化竹林种植结构，</w:t>
      </w:r>
      <w:r>
        <w:rPr>
          <w:rFonts w:hint="eastAsia" w:ascii="Times New Roman" w:hAnsi="Times New Roman" w:cs="Times New Roman"/>
          <w:b w:val="0"/>
          <w:bCs w:val="0"/>
          <w:lang w:eastAsia="zh-CN"/>
        </w:rPr>
        <w:t>选用适合当地环境的高效笋竹品种，采用科学施肥、</w:t>
      </w:r>
      <w:r>
        <w:rPr>
          <w:rFonts w:hint="eastAsia" w:ascii="Times New Roman" w:hAnsi="Times New Roman" w:cs="Times New Roman"/>
          <w:b w:val="0"/>
          <w:bCs w:val="0"/>
          <w:lang w:val="en-US" w:eastAsia="zh-CN"/>
        </w:rPr>
        <w:t>生物防治</w:t>
      </w:r>
      <w:r>
        <w:rPr>
          <w:rFonts w:hint="eastAsia" w:ascii="Times New Roman" w:hAnsi="Times New Roman" w:cs="Times New Roman"/>
          <w:b w:val="0"/>
          <w:bCs w:val="0"/>
          <w:lang w:eastAsia="zh-CN"/>
        </w:rPr>
        <w:t>、合理采伐等现代化竹林管理技术，</w:t>
      </w:r>
      <w:r>
        <w:rPr>
          <w:rFonts w:hint="eastAsia" w:ascii="Times New Roman" w:hAnsi="Times New Roman" w:cs="Times New Roman"/>
          <w:b w:val="0"/>
          <w:bCs w:val="0"/>
        </w:rPr>
        <w:t>培育高效笋竹两用林基地。</w:t>
      </w:r>
      <w:r>
        <w:rPr>
          <w:rFonts w:hint="eastAsia" w:ascii="Times New Roman" w:hAnsi="Times New Roman" w:cs="Times New Roman"/>
          <w:b w:val="0"/>
          <w:bCs w:val="0"/>
          <w:lang w:val="en-US" w:eastAsia="zh-CN"/>
        </w:rPr>
        <w:t>依托马迹塘笋竹特色产业园</w:t>
      </w:r>
      <w:r>
        <w:rPr>
          <w:rFonts w:hint="eastAsia" w:ascii="Times New Roman" w:hAnsi="Times New Roman" w:cs="Times New Roman"/>
          <w:b w:val="0"/>
          <w:bCs w:val="0"/>
        </w:rPr>
        <w:t>，重点在马迹塘镇、武潭镇、三堂街镇、灰山港镇、松木塘镇、高桥镇、修山镇等乡（镇）培育高效笋竹两用林</w:t>
      </w:r>
      <w:r>
        <w:rPr>
          <w:rFonts w:hint="eastAsia" w:ascii="Times New Roman" w:hAnsi="Times New Roman" w:cs="Times New Roman"/>
          <w:b w:val="0"/>
          <w:bCs w:val="0"/>
          <w:lang w:eastAsia="zh-CN"/>
        </w:rPr>
        <w:t>，</w:t>
      </w:r>
      <w:r>
        <w:rPr>
          <w:rFonts w:hint="eastAsia" w:ascii="Times New Roman" w:hAnsi="Times New Roman" w:cs="Times New Roman"/>
          <w:b w:val="0"/>
          <w:bCs w:val="0"/>
        </w:rPr>
        <w:t>提升竹笋和竹材产量与质量</w:t>
      </w:r>
      <w:r>
        <w:rPr>
          <w:rFonts w:hint="eastAsia" w:ascii="Times New Roman" w:hAnsi="Times New Roman" w:cs="Times New Roman"/>
          <w:b w:val="0"/>
          <w:bCs w:val="0"/>
          <w:lang w:eastAsia="zh-CN"/>
        </w:rPr>
        <w:t>，</w:t>
      </w:r>
      <w:r>
        <w:rPr>
          <w:rFonts w:hint="eastAsia" w:ascii="Times New Roman" w:hAnsi="Times New Roman" w:cs="Times New Roman"/>
          <w:b w:val="0"/>
          <w:bCs w:val="0"/>
          <w:lang w:val="en-US" w:eastAsia="zh-CN"/>
        </w:rPr>
        <w:t>有效解决当下竹林产笋培育不足，产笋量低，笋干本地原料不足等问题。到2030年，绿色</w:t>
      </w:r>
      <w:r>
        <w:rPr>
          <w:rFonts w:hint="eastAsia" w:ascii="Times New Roman" w:hAnsi="Times New Roman"/>
          <w:snapToGrid/>
          <w:lang w:eastAsia="zh-CN"/>
        </w:rPr>
        <w:t>笋用林基地发展到15万亩以上，</w:t>
      </w:r>
      <w:r>
        <w:rPr>
          <w:rFonts w:hint="eastAsia" w:ascii="Times New Roman" w:hAnsi="Times New Roman"/>
          <w:snapToGrid/>
          <w:lang w:val="en-US" w:eastAsia="zh-CN"/>
        </w:rPr>
        <w:t>绿色</w:t>
      </w:r>
      <w:r>
        <w:rPr>
          <w:rFonts w:hint="eastAsia" w:ascii="Times New Roman" w:hAnsi="Times New Roman"/>
          <w:snapToGrid/>
          <w:lang w:eastAsia="zh-CN"/>
        </w:rPr>
        <w:t>笋竹两用林基地30万亩以上，年产鲜笋</w:t>
      </w:r>
      <w:r>
        <w:rPr>
          <w:rFonts w:hint="eastAsia" w:ascii="Times New Roman" w:hAnsi="Times New Roman"/>
          <w:snapToGrid/>
          <w:lang w:val="en-US" w:eastAsia="zh-CN"/>
        </w:rPr>
        <w:t>超过15万吨。</w:t>
      </w:r>
    </w:p>
    <w:p w14:paraId="6EE5C0E6">
      <w:pPr>
        <w:ind w:firstLine="602"/>
        <w:rPr>
          <w:rFonts w:hint="default" w:ascii="Times New Roman" w:hAnsi="Times New Roman" w:eastAsia="仿宋" w:cs="Times New Roman"/>
          <w:b/>
          <w:bCs/>
          <w:lang w:val="en-US" w:eastAsia="zh-CN"/>
        </w:rPr>
      </w:pPr>
      <w:r>
        <w:rPr>
          <w:rFonts w:hint="eastAsia" w:ascii="Times New Roman" w:hAnsi="Times New Roman" w:cs="Times New Roman"/>
          <w:b/>
          <w:bCs/>
          <w:lang w:val="en-US" w:eastAsia="zh-CN"/>
        </w:rPr>
        <w:t>2</w:t>
      </w:r>
      <w:r>
        <w:rPr>
          <w:rFonts w:ascii="Times New Roman" w:hAnsi="Times New Roman" w:cs="Times New Roman"/>
          <w:b/>
          <w:bCs/>
        </w:rPr>
        <w:t>.</w:t>
      </w:r>
      <w:r>
        <w:rPr>
          <w:rFonts w:hint="eastAsia" w:ascii="Times New Roman" w:hAnsi="Times New Roman" w:cs="Times New Roman"/>
          <w:b/>
          <w:bCs/>
          <w:lang w:val="en-US" w:eastAsia="zh-CN"/>
        </w:rPr>
        <w:t>开发全笋精深加工食品</w:t>
      </w:r>
    </w:p>
    <w:p w14:paraId="374AC22C">
      <w:pPr>
        <w:ind w:firstLine="602"/>
        <w:rPr>
          <w:rFonts w:hint="default" w:ascii="Times New Roman" w:hAnsi="Times New Roman" w:eastAsia="仿宋" w:cs="Times New Roman"/>
          <w:b w:val="0"/>
          <w:bCs w:val="0"/>
          <w:sz w:val="30"/>
          <w:szCs w:val="30"/>
          <w:lang w:val="en-US" w:eastAsia="zh-CN"/>
        </w:rPr>
      </w:pPr>
      <w:r>
        <w:rPr>
          <w:rFonts w:hint="eastAsia" w:ascii="Times New Roman" w:hAnsi="Times New Roman" w:cs="Times New Roman"/>
          <w:sz w:val="30"/>
          <w:szCs w:val="30"/>
          <w:lang w:val="en-US" w:eastAsia="zh-CN"/>
        </w:rPr>
        <w:t>目</w:t>
      </w:r>
      <w:r>
        <w:rPr>
          <w:rFonts w:hint="eastAsia" w:ascii="Times New Roman" w:hAnsi="Times New Roman" w:cs="Times New Roman"/>
          <w:sz w:val="30"/>
          <w:szCs w:val="30"/>
        </w:rPr>
        <w:t>前竹笋生产企业主要生产复水笋，产品</w:t>
      </w:r>
      <w:r>
        <w:rPr>
          <w:rFonts w:hint="eastAsia" w:ascii="Times New Roman" w:hAnsi="Times New Roman" w:cs="Times New Roman"/>
          <w:sz w:val="30"/>
          <w:szCs w:val="30"/>
          <w:lang w:val="en-US" w:eastAsia="zh-CN"/>
        </w:rPr>
        <w:t>较为</w:t>
      </w:r>
      <w:r>
        <w:rPr>
          <w:rFonts w:hint="eastAsia" w:ascii="Times New Roman" w:hAnsi="Times New Roman" w:cs="Times New Roman"/>
          <w:sz w:val="30"/>
          <w:szCs w:val="30"/>
        </w:rPr>
        <w:t>单一</w:t>
      </w:r>
      <w:r>
        <w:rPr>
          <w:rFonts w:hint="eastAsia" w:ascii="Times New Roman" w:hAnsi="Times New Roman" w:cs="Times New Roman"/>
          <w:sz w:val="30"/>
          <w:szCs w:val="30"/>
          <w:lang w:eastAsia="zh-CN"/>
        </w:rPr>
        <w:t>，亟须有</w:t>
      </w:r>
      <w:r>
        <w:rPr>
          <w:rFonts w:hint="eastAsia" w:ascii="Times New Roman" w:hAnsi="Times New Roman" w:cs="Times New Roman"/>
          <w:sz w:val="30"/>
          <w:szCs w:val="30"/>
        </w:rPr>
        <w:t>针对性地引导有特色、有实力、产品有市场、管理水平高、经济效益好的企业</w:t>
      </w:r>
      <w:r>
        <w:rPr>
          <w:rFonts w:hint="eastAsia" w:ascii="仿宋" w:hAnsi="仿宋" w:eastAsia="仿宋" w:cs="仿宋"/>
          <w:sz w:val="30"/>
          <w:szCs w:val="30"/>
        </w:rPr>
        <w:t>优化产品结构</w:t>
      </w:r>
      <w:r>
        <w:rPr>
          <w:rFonts w:hint="eastAsia" w:ascii="仿宋" w:hAnsi="仿宋" w:cs="仿宋"/>
          <w:sz w:val="30"/>
          <w:szCs w:val="30"/>
          <w:lang w:eastAsia="zh-CN"/>
        </w:rPr>
        <w:t>，</w:t>
      </w:r>
      <w:r>
        <w:rPr>
          <w:rFonts w:hint="eastAsia" w:ascii="Times New Roman" w:hAnsi="Times New Roman" w:cs="Times New Roman"/>
          <w:sz w:val="30"/>
          <w:szCs w:val="30"/>
          <w:lang w:val="en-US" w:eastAsia="zh-CN"/>
        </w:rPr>
        <w:t>开发</w:t>
      </w:r>
      <w:r>
        <w:rPr>
          <w:rFonts w:hint="eastAsia" w:ascii="Times New Roman" w:hAnsi="Times New Roman" w:cs="Times New Roman"/>
          <w:sz w:val="30"/>
          <w:szCs w:val="30"/>
        </w:rPr>
        <w:t>多元化竹笋产品</w:t>
      </w:r>
      <w:r>
        <w:rPr>
          <w:rFonts w:hint="eastAsia" w:ascii="Times New Roman" w:hAnsi="Times New Roman" w:cs="Times New Roman"/>
          <w:sz w:val="30"/>
          <w:szCs w:val="30"/>
          <w:lang w:eastAsia="zh-CN"/>
        </w:rPr>
        <w:t>，</w:t>
      </w:r>
      <w:r>
        <w:rPr>
          <w:rFonts w:hint="eastAsia" w:ascii="Times New Roman" w:hAnsi="Times New Roman" w:cs="Times New Roman"/>
          <w:sz w:val="30"/>
          <w:szCs w:val="30"/>
          <w:lang w:val="en-US" w:eastAsia="zh-CN"/>
        </w:rPr>
        <w:t>包括</w:t>
      </w:r>
      <w:r>
        <w:rPr>
          <w:rFonts w:hint="eastAsia" w:ascii="仿宋" w:hAnsi="仿宋" w:cs="仿宋"/>
          <w:sz w:val="30"/>
          <w:szCs w:val="30"/>
          <w:lang w:eastAsia="zh-CN"/>
        </w:rPr>
        <w:t>竹笋罐头、</w:t>
      </w:r>
      <w:r>
        <w:rPr>
          <w:rFonts w:hint="eastAsia" w:ascii="Times New Roman" w:hAnsi="Times New Roman" w:cs="Times New Roman"/>
          <w:sz w:val="30"/>
          <w:szCs w:val="30"/>
        </w:rPr>
        <w:t>竹笋脆片</w:t>
      </w:r>
      <w:r>
        <w:rPr>
          <w:rFonts w:hint="eastAsia" w:ascii="Times New Roman" w:hAnsi="Times New Roman" w:cs="Times New Roman"/>
          <w:sz w:val="30"/>
          <w:szCs w:val="30"/>
          <w:lang w:eastAsia="zh-CN"/>
        </w:rPr>
        <w:t>、</w:t>
      </w:r>
      <w:r>
        <w:rPr>
          <w:rFonts w:hint="eastAsia" w:ascii="仿宋" w:hAnsi="仿宋" w:eastAsia="仿宋" w:cs="仿宋"/>
          <w:sz w:val="30"/>
          <w:szCs w:val="30"/>
          <w:lang w:val="en-US" w:eastAsia="zh-CN"/>
        </w:rPr>
        <w:t>即食竹笋、腌制竹笋</w:t>
      </w:r>
      <w:r>
        <w:rPr>
          <w:rFonts w:hint="eastAsia" w:ascii="仿宋" w:hAnsi="仿宋" w:cs="仿宋"/>
          <w:sz w:val="30"/>
          <w:szCs w:val="30"/>
          <w:lang w:val="en-US" w:eastAsia="zh-CN"/>
        </w:rPr>
        <w:t>等</w:t>
      </w:r>
      <w:r>
        <w:rPr>
          <w:rFonts w:hint="eastAsia" w:ascii="仿宋" w:hAnsi="仿宋" w:eastAsia="仿宋" w:cs="仿宋"/>
          <w:sz w:val="30"/>
          <w:szCs w:val="30"/>
          <w:lang w:val="en-US" w:eastAsia="zh-CN"/>
        </w:rPr>
        <w:t>休闲食品</w:t>
      </w:r>
      <w:r>
        <w:rPr>
          <w:rFonts w:hint="eastAsia" w:ascii="仿宋" w:hAnsi="仿宋" w:cs="仿宋"/>
          <w:sz w:val="30"/>
          <w:szCs w:val="30"/>
          <w:lang w:eastAsia="zh-CN"/>
        </w:rPr>
        <w:t>。</w:t>
      </w:r>
      <w:r>
        <w:rPr>
          <w:rFonts w:hint="eastAsia" w:ascii="仿宋" w:hAnsi="仿宋" w:cs="仿宋"/>
          <w:sz w:val="30"/>
          <w:szCs w:val="30"/>
          <w:lang w:val="en-US" w:eastAsia="zh-CN"/>
        </w:rPr>
        <w:t>做好全笋加工利用开发，进一步拓宽精深加工产品库。</w:t>
      </w:r>
      <w:r>
        <w:rPr>
          <w:rFonts w:hint="eastAsia" w:ascii="Times New Roman" w:hAnsi="Times New Roman" w:cs="Times New Roman"/>
          <w:sz w:val="30"/>
          <w:szCs w:val="30"/>
          <w:lang w:eastAsia="zh-CN"/>
        </w:rPr>
        <w:t>利用竹笋加工余料，拓宽竹笋膳食纤维粉生产路径。将笋壳、笋头等加工剩余物质作为原料，配合使用超高压处理技术、超微粉碎技术，生产出更多满足消费者需求的新型产品。</w:t>
      </w:r>
      <w:r>
        <w:rPr>
          <w:rFonts w:hint="eastAsia" w:ascii="Times New Roman" w:hAnsi="Times New Roman" w:cs="Times New Roman"/>
          <w:sz w:val="30"/>
          <w:szCs w:val="30"/>
          <w:lang w:val="en-US" w:eastAsia="zh-CN"/>
        </w:rPr>
        <w:t>重点</w:t>
      </w:r>
      <w:r>
        <w:rPr>
          <w:rFonts w:hint="eastAsia" w:ascii="Times New Roman" w:hAnsi="Times New Roman" w:cs="Times New Roman"/>
          <w:sz w:val="30"/>
          <w:szCs w:val="30"/>
          <w:lang w:eastAsia="zh-CN"/>
        </w:rPr>
        <w:t>研究竹笋膳食纤维的特有理化性能与生物学性能，可将竹笋膳食纤维深加工与饼干、糕点等烘焙食品产业结合在一起，进一步提升竹笋产业经营期间的经济效益。</w:t>
      </w:r>
      <w:r>
        <w:rPr>
          <w:rFonts w:hint="eastAsia" w:ascii="Times New Roman" w:hAnsi="Times New Roman" w:cs="Times New Roman"/>
          <w:sz w:val="30"/>
          <w:szCs w:val="30"/>
          <w:lang w:val="en-US" w:eastAsia="zh-CN"/>
        </w:rPr>
        <w:t>同时，可</w:t>
      </w:r>
      <w:r>
        <w:rPr>
          <w:rFonts w:hint="eastAsia" w:ascii="Times New Roman" w:hAnsi="Times New Roman" w:cs="Times New Roman"/>
          <w:sz w:val="30"/>
          <w:szCs w:val="30"/>
          <w:lang w:eastAsia="zh-CN"/>
        </w:rPr>
        <w:t>将笋壳作为原材料培养食用菌，进一步优化食用菌丰产栽培技术手段。</w:t>
      </w:r>
      <w:r>
        <w:rPr>
          <w:rFonts w:hint="eastAsia" w:ascii="Times New Roman" w:hAnsi="Times New Roman" w:cs="Times New Roman"/>
          <w:sz w:val="30"/>
          <w:szCs w:val="30"/>
          <w:lang w:val="en-US" w:eastAsia="zh-CN"/>
        </w:rPr>
        <w:t>此外，探索</w:t>
      </w:r>
      <w:r>
        <w:rPr>
          <w:rFonts w:hint="eastAsia" w:ascii="Times New Roman" w:hAnsi="Times New Roman" w:cs="Times New Roman"/>
          <w:sz w:val="30"/>
          <w:szCs w:val="30"/>
          <w:lang w:eastAsia="zh-CN"/>
        </w:rPr>
        <w:t>利用竹笋氨基酸肽类提取物</w:t>
      </w:r>
      <w:r>
        <w:rPr>
          <w:rFonts w:hint="eastAsia" w:ascii="Times New Roman" w:hAnsi="Times New Roman" w:cs="Times New Roman"/>
          <w:sz w:val="30"/>
          <w:szCs w:val="30"/>
          <w:lang w:val="en-US" w:eastAsia="zh-CN"/>
        </w:rPr>
        <w:t>开发</w:t>
      </w:r>
      <w:r>
        <w:rPr>
          <w:rFonts w:hint="eastAsia" w:ascii="Times New Roman" w:hAnsi="Times New Roman" w:cs="Times New Roman"/>
          <w:sz w:val="30"/>
          <w:szCs w:val="30"/>
          <w:lang w:eastAsia="zh-CN"/>
        </w:rPr>
        <w:t>高质量的氨基酸肽产品、调味品</w:t>
      </w:r>
      <w:r>
        <w:rPr>
          <w:rFonts w:hint="eastAsia" w:ascii="Times New Roman" w:hAnsi="Times New Roman" w:cs="Times New Roman"/>
          <w:sz w:val="30"/>
          <w:szCs w:val="30"/>
          <w:lang w:val="en-US" w:eastAsia="zh-CN"/>
        </w:rPr>
        <w:t>以及</w:t>
      </w:r>
      <w:r>
        <w:rPr>
          <w:rFonts w:hint="eastAsia" w:ascii="Times New Roman" w:hAnsi="Times New Roman" w:cs="Times New Roman"/>
          <w:sz w:val="30"/>
          <w:szCs w:val="30"/>
          <w:lang w:eastAsia="zh-CN"/>
        </w:rPr>
        <w:t>各类功能性饮料</w:t>
      </w:r>
      <w:r>
        <w:rPr>
          <w:rFonts w:hint="eastAsia" w:ascii="Times New Roman" w:hAnsi="Times New Roman" w:cs="Times New Roman"/>
          <w:sz w:val="30"/>
          <w:szCs w:val="30"/>
          <w:lang w:val="en-US" w:eastAsia="zh-CN"/>
        </w:rPr>
        <w:t>等高端产品</w:t>
      </w:r>
      <w:r>
        <w:rPr>
          <w:rFonts w:hint="eastAsia" w:ascii="Times New Roman" w:hAnsi="Times New Roman" w:cs="Times New Roman"/>
          <w:sz w:val="30"/>
          <w:szCs w:val="30"/>
          <w:lang w:eastAsia="zh-CN"/>
        </w:rPr>
        <w:t>。</w:t>
      </w:r>
    </w:p>
    <w:tbl>
      <w:tblPr>
        <w:tblStyle w:val="35"/>
        <w:tblW w:w="827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276"/>
      </w:tblGrid>
      <w:tr w14:paraId="7BBD7B0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276" w:type="dxa"/>
          </w:tcPr>
          <w:p w14:paraId="0CBF28C6">
            <w:pPr>
              <w:pStyle w:val="175"/>
              <w:ind w:firstLine="0" w:firstLineChars="0"/>
              <w:jc w:val="center"/>
              <w:rPr>
                <w:rFonts w:hint="default" w:asciiTheme="minorEastAsia" w:hAnsiTheme="minorEastAsia" w:eastAsiaTheme="minorEastAsia" w:cstheme="minorEastAsia"/>
                <w:b/>
                <w:bCs/>
                <w:sz w:val="28"/>
                <w:szCs w:val="28"/>
                <w:lang w:val="en-US" w:eastAsia="zh-CN"/>
              </w:rPr>
            </w:pPr>
            <w:r>
              <w:rPr>
                <w:rFonts w:hint="eastAsia" w:ascii="Times New Roman" w:hAnsi="Times New Roman" w:eastAsia="仿宋" w:cs="Times New Roman"/>
                <w:b/>
                <w:bCs/>
                <w:snapToGrid w:val="0"/>
                <w:kern w:val="0"/>
                <w:sz w:val="30"/>
                <w:szCs w:val="30"/>
                <w:lang w:val="en-US" w:eastAsia="zh-CN" w:bidi="ar-SA"/>
              </w:rPr>
              <w:t>专栏1：全笋精深加工食品</w:t>
            </w:r>
          </w:p>
        </w:tc>
      </w:tr>
      <w:tr w14:paraId="5501CF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276" w:type="dxa"/>
          </w:tcPr>
          <w:p w14:paraId="6358C9A5">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b w:val="0"/>
                <w:bCs w:val="0"/>
                <w:color w:val="000000" w:themeColor="text1"/>
                <w:sz w:val="28"/>
                <w:szCs w:val="36"/>
                <w:highlight w:val="none"/>
                <w:lang w:val="en-US" w:eastAsia="zh-CN"/>
                <w14:textFill>
                  <w14:solidFill>
                    <w14:schemeClr w14:val="tx1"/>
                  </w14:solidFill>
                </w14:textFill>
              </w:rPr>
            </w:pPr>
            <w:r>
              <w:rPr>
                <w:rFonts w:hint="eastAsia" w:ascii="Times New Roman" w:hAnsi="Times New Roman" w:cs="Times New Roman"/>
                <w:b/>
                <w:bCs/>
                <w:color w:val="000000" w:themeColor="text1"/>
                <w:sz w:val="28"/>
                <w:szCs w:val="36"/>
                <w:highlight w:val="none"/>
                <w:lang w:val="en-US" w:eastAsia="zh-CN"/>
                <w14:textFill>
                  <w14:solidFill>
                    <w14:schemeClr w14:val="tx1"/>
                  </w14:solidFill>
                </w14:textFill>
              </w:rPr>
              <w:t>笋干：</w:t>
            </w:r>
            <w:r>
              <w:rPr>
                <w:rFonts w:hint="eastAsia" w:ascii="Times New Roman" w:hAnsi="Times New Roman" w:cs="Times New Roman"/>
                <w:b w:val="0"/>
                <w:bCs w:val="0"/>
                <w:color w:val="000000" w:themeColor="text1"/>
                <w:sz w:val="28"/>
                <w:szCs w:val="36"/>
                <w:highlight w:val="none"/>
                <w:lang w:val="en-US" w:eastAsia="zh-CN"/>
                <w14:textFill>
                  <w14:solidFill>
                    <w14:schemeClr w14:val="tx1"/>
                  </w14:solidFill>
                </w14:textFill>
              </w:rPr>
              <w:t>通过将竹笋进行切片、烘干等工艺制成，保留了竹笋的营养和风味，便于储存和携带。</w:t>
            </w:r>
          </w:p>
          <w:p w14:paraId="30A06CF3">
            <w:pPr>
              <w:keepNext w:val="0"/>
              <w:keepLines w:val="0"/>
              <w:pageBreakBefore w:val="0"/>
              <w:widowControl w:val="0"/>
              <w:kinsoku/>
              <w:wordWrap/>
              <w:overflowPunct/>
              <w:topLinePunct w:val="0"/>
              <w:autoSpaceDE/>
              <w:autoSpaceDN/>
              <w:bidi w:val="0"/>
              <w:adjustRightInd/>
              <w:snapToGrid/>
              <w:ind w:firstLine="0"/>
              <w:textAlignment w:val="auto"/>
              <w:rPr>
                <w:rFonts w:hint="eastAsia" w:ascii="Times New Roman" w:hAnsi="Times New Roman" w:cs="Times New Roman"/>
                <w:b w:val="0"/>
                <w:bCs w:val="0"/>
                <w:color w:val="000000" w:themeColor="text1"/>
                <w:sz w:val="28"/>
                <w:szCs w:val="36"/>
                <w:highlight w:val="none"/>
                <w:lang w:val="en-US" w:eastAsia="zh-CN"/>
                <w14:textFill>
                  <w14:solidFill>
                    <w14:schemeClr w14:val="tx1"/>
                  </w14:solidFill>
                </w14:textFill>
              </w:rPr>
            </w:pPr>
            <w:r>
              <w:rPr>
                <w:rFonts w:hint="eastAsia" w:ascii="Times New Roman" w:hAnsi="Times New Roman" w:cs="Times New Roman"/>
                <w:b/>
                <w:bCs/>
                <w:color w:val="000000" w:themeColor="text1"/>
                <w:sz w:val="28"/>
                <w:szCs w:val="36"/>
                <w:highlight w:val="none"/>
                <w:lang w:val="en-US" w:eastAsia="zh-CN"/>
                <w14:textFill>
                  <w14:solidFill>
                    <w14:schemeClr w14:val="tx1"/>
                  </w14:solidFill>
                </w14:textFill>
              </w:rPr>
              <w:t>即食笋：</w:t>
            </w:r>
            <w:r>
              <w:rPr>
                <w:rFonts w:hint="eastAsia" w:ascii="Times New Roman" w:hAnsi="Times New Roman" w:cs="Times New Roman"/>
                <w:b w:val="0"/>
                <w:bCs w:val="0"/>
                <w:color w:val="000000" w:themeColor="text1"/>
                <w:sz w:val="28"/>
                <w:szCs w:val="36"/>
                <w:highlight w:val="none"/>
                <w:lang w:val="en-US" w:eastAsia="zh-CN"/>
                <w14:textFill>
                  <w14:solidFill>
                    <w14:schemeClr w14:val="tx1"/>
                  </w14:solidFill>
                </w14:textFill>
              </w:rPr>
              <w:t>经过特殊处理后，可以直接食用的竹笋产品，方便快捷。</w:t>
            </w:r>
          </w:p>
          <w:p w14:paraId="60B06F02">
            <w:pPr>
              <w:keepNext w:val="0"/>
              <w:keepLines w:val="0"/>
              <w:pageBreakBefore w:val="0"/>
              <w:widowControl w:val="0"/>
              <w:kinsoku/>
              <w:wordWrap/>
              <w:overflowPunct/>
              <w:topLinePunct w:val="0"/>
              <w:autoSpaceDE/>
              <w:autoSpaceDN/>
              <w:bidi w:val="0"/>
              <w:adjustRightInd/>
              <w:snapToGrid/>
              <w:ind w:left="0" w:leftChars="0" w:firstLine="562" w:firstLineChars="200"/>
              <w:textAlignment w:val="auto"/>
              <w:rPr>
                <w:rFonts w:hint="eastAsia" w:ascii="Times New Roman" w:hAnsi="Times New Roman" w:cs="Times New Roman"/>
                <w:b w:val="0"/>
                <w:bCs w:val="0"/>
                <w:color w:val="000000" w:themeColor="text1"/>
                <w:sz w:val="28"/>
                <w:szCs w:val="36"/>
                <w:highlight w:val="none"/>
                <w:lang w:val="en-US" w:eastAsia="zh-CN"/>
                <w14:textFill>
                  <w14:solidFill>
                    <w14:schemeClr w14:val="tx1"/>
                  </w14:solidFill>
                </w14:textFill>
              </w:rPr>
            </w:pPr>
            <w:r>
              <w:rPr>
                <w:rFonts w:hint="eastAsia" w:ascii="Times New Roman" w:hAnsi="Times New Roman" w:cs="Times New Roman"/>
                <w:b/>
                <w:bCs/>
                <w:color w:val="000000" w:themeColor="text1"/>
                <w:sz w:val="28"/>
                <w:szCs w:val="36"/>
                <w:highlight w:val="none"/>
                <w:lang w:val="en-US" w:eastAsia="zh-CN"/>
                <w14:textFill>
                  <w14:solidFill>
                    <w14:schemeClr w14:val="tx1"/>
                  </w14:solidFill>
                </w14:textFill>
              </w:rPr>
              <w:t>腌笋、酸笋：</w:t>
            </w:r>
            <w:r>
              <w:rPr>
                <w:rFonts w:hint="eastAsia" w:ascii="Times New Roman" w:hAnsi="Times New Roman" w:cs="Times New Roman"/>
                <w:b w:val="0"/>
                <w:bCs w:val="0"/>
                <w:color w:val="000000" w:themeColor="text1"/>
                <w:sz w:val="28"/>
                <w:szCs w:val="36"/>
                <w:highlight w:val="none"/>
                <w:lang w:val="en-US" w:eastAsia="zh-CN"/>
                <w14:textFill>
                  <w14:solidFill>
                    <w14:schemeClr w14:val="tx1"/>
                  </w14:solidFill>
                </w14:textFill>
              </w:rPr>
              <w:t>竹笋经过腌制或发酵制成，具有独特的风味，常用于烹饪或作为调料。</w:t>
            </w:r>
          </w:p>
          <w:p w14:paraId="374D2CA1">
            <w:pPr>
              <w:pStyle w:val="17"/>
              <w:keepNext w:val="0"/>
              <w:keepLines w:val="0"/>
              <w:pageBreakBefore w:val="0"/>
              <w:widowControl w:val="0"/>
              <w:kinsoku/>
              <w:wordWrap/>
              <w:overflowPunct/>
              <w:topLinePunct w:val="0"/>
              <w:autoSpaceDE/>
              <w:autoSpaceDN/>
              <w:bidi w:val="0"/>
              <w:ind w:left="0" w:leftChars="0" w:firstLine="602" w:firstLineChars="200"/>
              <w:textAlignment w:val="auto"/>
              <w:rPr>
                <w:rFonts w:hint="default"/>
                <w:b/>
                <w:bCs/>
                <w:lang w:val="en-US" w:eastAsia="zh-CN"/>
              </w:rPr>
            </w:pPr>
            <w:r>
              <w:rPr>
                <w:rFonts w:hint="eastAsia"/>
                <w:b/>
                <w:bCs/>
                <w:lang w:val="en-US" w:eastAsia="zh-CN"/>
              </w:rPr>
              <w:t>笋罐头：</w:t>
            </w:r>
            <w:r>
              <w:rPr>
                <w:rFonts w:hint="eastAsia" w:ascii="Times New Roman" w:hAnsi="Times New Roman" w:eastAsia="仿宋" w:cs="Times New Roman"/>
                <w:b w:val="0"/>
                <w:bCs w:val="0"/>
                <w:snapToGrid w:val="0"/>
                <w:color w:val="000000" w:themeColor="text1"/>
                <w:kern w:val="0"/>
                <w:sz w:val="28"/>
                <w:szCs w:val="36"/>
                <w:highlight w:val="none"/>
                <w:lang w:val="en-US" w:eastAsia="zh-CN" w:bidi="ar-SA"/>
                <w14:textFill>
                  <w14:solidFill>
                    <w14:schemeClr w14:val="tx1"/>
                  </w14:solidFill>
                </w14:textFill>
              </w:rPr>
              <w:t>一种常见的食品加工产品，通过特定的工艺将竹笋保存在密封的金属罐中，以便长期储存而不变质</w:t>
            </w:r>
            <w:r>
              <w:rPr>
                <w:rFonts w:hint="eastAsia" w:ascii="Times New Roman" w:hAnsi="Times New Roman" w:cs="Times New Roman"/>
                <w:b w:val="0"/>
                <w:bCs w:val="0"/>
                <w:snapToGrid w:val="0"/>
                <w:color w:val="000000" w:themeColor="text1"/>
                <w:kern w:val="0"/>
                <w:sz w:val="28"/>
                <w:szCs w:val="36"/>
                <w:highlight w:val="none"/>
                <w:lang w:val="en-US" w:eastAsia="zh-CN" w:bidi="ar-SA"/>
                <w14:textFill>
                  <w14:solidFill>
                    <w14:schemeClr w14:val="tx1"/>
                  </w14:solidFill>
                </w14:textFill>
              </w:rPr>
              <w:t>。</w:t>
            </w:r>
          </w:p>
          <w:p w14:paraId="0D5609BB">
            <w:pPr>
              <w:keepNext w:val="0"/>
              <w:keepLines w:val="0"/>
              <w:pageBreakBefore w:val="0"/>
              <w:widowControl w:val="0"/>
              <w:kinsoku/>
              <w:wordWrap/>
              <w:overflowPunct/>
              <w:topLinePunct w:val="0"/>
              <w:autoSpaceDE/>
              <w:autoSpaceDN/>
              <w:bidi w:val="0"/>
              <w:adjustRightInd/>
              <w:snapToGrid/>
              <w:ind w:left="0" w:leftChars="0" w:firstLine="602" w:firstLineChars="200"/>
              <w:textAlignment w:val="auto"/>
              <w:rPr>
                <w:rFonts w:hint="eastAsia" w:ascii="Times New Roman" w:hAnsi="Times New Roman" w:cs="Times New Roman"/>
                <w:b w:val="0"/>
                <w:bCs w:val="0"/>
                <w:color w:val="000000" w:themeColor="text1"/>
                <w:sz w:val="28"/>
                <w:szCs w:val="36"/>
                <w:highlight w:val="none"/>
                <w:lang w:val="en-US" w:eastAsia="zh-CN"/>
                <w14:textFill>
                  <w14:solidFill>
                    <w14:schemeClr w14:val="tx1"/>
                  </w14:solidFill>
                </w14:textFill>
              </w:rPr>
            </w:pPr>
            <w:r>
              <w:rPr>
                <w:rFonts w:hint="eastAsia" w:ascii="Times New Roman" w:hAnsi="Times New Roman" w:cs="Times New Roman"/>
                <w:b/>
                <w:bCs/>
                <w:sz w:val="30"/>
                <w:szCs w:val="30"/>
                <w:lang w:eastAsia="zh-CN"/>
              </w:rPr>
              <w:t>笋膳食纤维</w:t>
            </w:r>
            <w:r>
              <w:rPr>
                <w:rFonts w:hint="eastAsia" w:ascii="Times New Roman" w:hAnsi="Times New Roman" w:cs="Times New Roman"/>
                <w:b/>
                <w:bCs/>
                <w:sz w:val="30"/>
                <w:szCs w:val="30"/>
                <w:lang w:val="en-US" w:eastAsia="zh-CN"/>
              </w:rPr>
              <w:t>食品</w:t>
            </w:r>
            <w:r>
              <w:rPr>
                <w:rFonts w:hint="eastAsia" w:ascii="Times New Roman" w:hAnsi="Times New Roman" w:cs="Times New Roman"/>
                <w:b/>
                <w:bCs/>
                <w:color w:val="000000" w:themeColor="text1"/>
                <w:sz w:val="28"/>
                <w:szCs w:val="36"/>
                <w:highlight w:val="none"/>
                <w:lang w:val="en-US" w:eastAsia="zh-CN"/>
                <w14:textFill>
                  <w14:solidFill>
                    <w14:schemeClr w14:val="tx1"/>
                  </w14:solidFill>
                </w14:textFill>
              </w:rPr>
              <w:t>：</w:t>
            </w:r>
            <w:r>
              <w:rPr>
                <w:rFonts w:hint="eastAsia" w:ascii="Times New Roman" w:hAnsi="Times New Roman" w:cs="Times New Roman"/>
                <w:b w:val="0"/>
                <w:bCs w:val="0"/>
                <w:color w:val="000000" w:themeColor="text1"/>
                <w:sz w:val="28"/>
                <w:szCs w:val="36"/>
                <w:highlight w:val="none"/>
                <w:lang w:val="en-US" w:eastAsia="zh-CN"/>
                <w14:textFill>
                  <w14:solidFill>
                    <w14:schemeClr w14:val="tx1"/>
                  </w14:solidFill>
                </w14:textFill>
              </w:rPr>
              <w:t>将笋类膳食纤维添加到烘焙糕点和奶茶饮品中，增添笋类风味的同时减少糖类添加，生产出竹笋口味的奶茶、蛋糕等产品。</w:t>
            </w:r>
          </w:p>
          <w:p w14:paraId="513D86EE">
            <w:pPr>
              <w:keepNext w:val="0"/>
              <w:keepLines w:val="0"/>
              <w:pageBreakBefore w:val="0"/>
              <w:widowControl w:val="0"/>
              <w:kinsoku/>
              <w:wordWrap/>
              <w:overflowPunct/>
              <w:topLinePunct w:val="0"/>
              <w:autoSpaceDE/>
              <w:autoSpaceDN/>
              <w:bidi w:val="0"/>
              <w:adjustRightInd/>
              <w:snapToGrid/>
              <w:ind w:left="0" w:leftChars="0" w:firstLine="602" w:firstLineChars="200"/>
              <w:textAlignment w:val="auto"/>
              <w:rPr>
                <w:rFonts w:hint="eastAsia"/>
                <w:lang w:val="en-US" w:eastAsia="zh-CN"/>
              </w:rPr>
            </w:pPr>
            <w:r>
              <w:rPr>
                <w:rFonts w:hint="eastAsia" w:ascii="Times New Roman" w:hAnsi="Times New Roman" w:cs="Times New Roman"/>
                <w:b/>
                <w:bCs/>
                <w:sz w:val="30"/>
                <w:szCs w:val="30"/>
                <w:lang w:val="en-US" w:eastAsia="zh-CN"/>
              </w:rPr>
              <w:t>氨</w:t>
            </w:r>
            <w:r>
              <w:rPr>
                <w:rFonts w:hint="eastAsia" w:ascii="Times New Roman" w:hAnsi="Times New Roman" w:cs="Times New Roman"/>
                <w:b/>
                <w:bCs/>
                <w:sz w:val="30"/>
                <w:szCs w:val="30"/>
                <w:lang w:eastAsia="zh-CN"/>
              </w:rPr>
              <w:t>基酸肽类</w:t>
            </w:r>
            <w:r>
              <w:rPr>
                <w:rFonts w:hint="eastAsia" w:ascii="Times New Roman" w:hAnsi="Times New Roman" w:cs="Times New Roman"/>
                <w:b/>
                <w:bCs/>
                <w:sz w:val="30"/>
                <w:szCs w:val="30"/>
                <w:lang w:val="en-US" w:eastAsia="zh-CN"/>
              </w:rPr>
              <w:t>等高端食品：</w:t>
            </w:r>
            <w:r>
              <w:rPr>
                <w:rFonts w:hint="eastAsia" w:ascii="Times New Roman" w:hAnsi="Times New Roman" w:cs="Times New Roman"/>
                <w:b w:val="0"/>
                <w:bCs w:val="0"/>
                <w:color w:val="000000" w:themeColor="text1"/>
                <w:sz w:val="28"/>
                <w:szCs w:val="36"/>
                <w:highlight w:val="none"/>
                <w:lang w:val="en-US" w:eastAsia="zh-CN"/>
                <w14:textFill>
                  <w14:solidFill>
                    <w14:schemeClr w14:val="tx1"/>
                  </w14:solidFill>
                </w14:textFill>
              </w:rPr>
              <w:t>利用竹笋中的天然成分，通过特定的加工技术和提取方法得到的一种功能性食品。这些食品通常含有高浓度的氨基酸肽和其他有益成分。‌</w:t>
            </w:r>
            <w:r>
              <w:rPr>
                <w:rFonts w:hint="eastAsia"/>
                <w:lang w:val="en-US" w:eastAsia="zh-CN"/>
              </w:rPr>
              <w:t>‌</w:t>
            </w:r>
          </w:p>
        </w:tc>
      </w:tr>
    </w:tbl>
    <w:p w14:paraId="2222B1D5">
      <w:pPr>
        <w:numPr>
          <w:ilvl w:val="0"/>
          <w:numId w:val="0"/>
        </w:numPr>
        <w:ind w:firstLine="602" w:firstLineChars="200"/>
        <w:rPr>
          <w:rFonts w:hint="eastAsia" w:ascii="Times New Roman" w:hAnsi="Times New Roman" w:cs="Times New Roman"/>
          <w:b/>
          <w:bCs/>
        </w:rPr>
      </w:pPr>
      <w:r>
        <w:rPr>
          <w:rFonts w:hint="eastAsia" w:ascii="Times New Roman" w:hAnsi="Times New Roman" w:cs="Times New Roman"/>
          <w:b/>
          <w:bCs/>
          <w:lang w:val="en-US" w:eastAsia="zh-CN"/>
        </w:rPr>
        <w:t>3.培育</w:t>
      </w:r>
      <w:r>
        <w:rPr>
          <w:rFonts w:hint="eastAsia" w:ascii="Times New Roman" w:hAnsi="Times New Roman" w:cs="Times New Roman"/>
          <w:b/>
          <w:bCs/>
        </w:rPr>
        <w:t>竹笋加工龙头企业</w:t>
      </w:r>
    </w:p>
    <w:p w14:paraId="7FADF22A">
      <w:pPr>
        <w:numPr>
          <w:ilvl w:val="0"/>
          <w:numId w:val="0"/>
        </w:numPr>
        <w:ind w:firstLine="600" w:firstLineChars="200"/>
        <w:rPr>
          <w:rFonts w:hint="eastAsia" w:ascii="Times New Roman" w:hAnsi="Times New Roman" w:cs="Times New Roman"/>
          <w:b w:val="0"/>
          <w:bCs w:val="0"/>
        </w:rPr>
      </w:pPr>
      <w:r>
        <w:rPr>
          <w:rFonts w:hint="eastAsia" w:ascii="Times New Roman" w:hAnsi="Times New Roman" w:cs="Times New Roman"/>
          <w:b w:val="0"/>
          <w:bCs w:val="0"/>
          <w:lang w:eastAsia="zh-CN"/>
        </w:rPr>
        <w:t>充分发挥</w:t>
      </w:r>
      <w:r>
        <w:rPr>
          <w:rFonts w:hint="eastAsia" w:ascii="Times New Roman" w:hAnsi="Times New Roman" w:cs="Times New Roman"/>
          <w:b w:val="0"/>
          <w:bCs w:val="0"/>
          <w:lang w:val="en-US" w:eastAsia="zh-CN"/>
        </w:rPr>
        <w:t>龙头</w:t>
      </w:r>
      <w:r>
        <w:rPr>
          <w:rFonts w:hint="eastAsia" w:ascii="Times New Roman" w:hAnsi="Times New Roman" w:cs="Times New Roman"/>
          <w:b w:val="0"/>
          <w:bCs w:val="0"/>
        </w:rPr>
        <w:t>引领作用，</w:t>
      </w:r>
      <w:r>
        <w:rPr>
          <w:rFonts w:hint="eastAsia" w:ascii="Times New Roman" w:hAnsi="Times New Roman" w:cs="Times New Roman"/>
          <w:b w:val="0"/>
          <w:bCs w:val="0"/>
          <w:lang w:val="en-US" w:eastAsia="zh-CN"/>
        </w:rPr>
        <w:t>引进竹笋产业链上下游关联项目，推动产业集群</w:t>
      </w:r>
      <w:r>
        <w:rPr>
          <w:rFonts w:hint="eastAsia" w:ascii="Times New Roman" w:hAnsi="Times New Roman" w:cs="Times New Roman"/>
          <w:b w:val="0"/>
          <w:bCs w:val="0"/>
        </w:rPr>
        <w:t>发展。</w:t>
      </w:r>
      <w:r>
        <w:rPr>
          <w:rFonts w:hint="eastAsia" w:ascii="Times New Roman" w:hAnsi="Times New Roman" w:cs="Times New Roman"/>
          <w:b w:val="0"/>
          <w:bCs w:val="0"/>
          <w:lang w:val="en-US" w:eastAsia="zh-CN"/>
        </w:rPr>
        <w:t>力争到2030年，培育国家级龙头企业1家，省级龙头企业8家，规模以上竹笋精深加工企业超20家。重点培育</w:t>
      </w:r>
      <w:r>
        <w:rPr>
          <w:rFonts w:hint="eastAsia" w:ascii="Times New Roman" w:hAnsi="Times New Roman" w:cs="Times New Roman"/>
          <w:b w:val="0"/>
          <w:bCs w:val="0"/>
        </w:rPr>
        <w:t>竹缘林科、</w:t>
      </w:r>
      <w:r>
        <w:rPr>
          <w:rFonts w:hint="eastAsia" w:ascii="Times New Roman" w:hAnsi="Times New Roman" w:cs="Times New Roman"/>
          <w:b w:val="0"/>
          <w:bCs w:val="0"/>
          <w:lang w:val="en-US" w:eastAsia="zh-CN"/>
        </w:rPr>
        <w:t>极野食品、</w:t>
      </w:r>
      <w:r>
        <w:rPr>
          <w:rFonts w:hint="eastAsia" w:ascii="Times New Roman" w:hAnsi="Times New Roman" w:cs="Times New Roman"/>
          <w:b w:val="0"/>
          <w:bCs w:val="0"/>
        </w:rPr>
        <w:t>亿阳仑生态食品</w:t>
      </w:r>
      <w:r>
        <w:rPr>
          <w:rFonts w:hint="eastAsia" w:ascii="Times New Roman" w:hAnsi="Times New Roman" w:cs="Times New Roman"/>
          <w:b w:val="0"/>
          <w:bCs w:val="0"/>
          <w:lang w:val="en-US" w:eastAsia="zh-CN"/>
        </w:rPr>
        <w:t>等</w:t>
      </w:r>
      <w:r>
        <w:rPr>
          <w:rFonts w:hint="eastAsia" w:ascii="Times New Roman" w:hAnsi="Times New Roman" w:cs="Times New Roman"/>
          <w:b w:val="0"/>
          <w:bCs w:val="0"/>
        </w:rPr>
        <w:t>发展前景良好、生产效率较高的</w:t>
      </w:r>
      <w:r>
        <w:rPr>
          <w:rFonts w:hint="eastAsia" w:ascii="Times New Roman" w:hAnsi="Times New Roman" w:cs="Times New Roman"/>
          <w:b w:val="0"/>
          <w:bCs w:val="0"/>
          <w:lang w:val="en-US" w:eastAsia="zh-CN"/>
        </w:rPr>
        <w:t>竹笋</w:t>
      </w:r>
      <w:r>
        <w:rPr>
          <w:rFonts w:hint="eastAsia" w:ascii="Times New Roman" w:hAnsi="Times New Roman" w:cs="Times New Roman"/>
          <w:b w:val="0"/>
          <w:bCs w:val="0"/>
        </w:rPr>
        <w:t>加工企业，</w:t>
      </w:r>
      <w:r>
        <w:rPr>
          <w:rFonts w:hint="eastAsia" w:ascii="Times New Roman" w:hAnsi="Times New Roman" w:cs="Times New Roman"/>
          <w:b w:val="0"/>
          <w:bCs w:val="0"/>
          <w:lang w:val="en-US" w:eastAsia="zh-CN"/>
        </w:rPr>
        <w:t>鼓励企业加大研发投入，</w:t>
      </w:r>
      <w:r>
        <w:rPr>
          <w:rFonts w:hint="eastAsia" w:ascii="Times New Roman" w:hAnsi="Times New Roman" w:cs="Times New Roman"/>
          <w:b w:val="0"/>
          <w:bCs w:val="0"/>
        </w:rPr>
        <w:t>最大限度提升竹笋产品质量。</w:t>
      </w:r>
      <w:r>
        <w:rPr>
          <w:rFonts w:hint="eastAsia" w:ascii="Times New Roman" w:hAnsi="Times New Roman" w:cs="Times New Roman"/>
          <w:b w:val="0"/>
          <w:bCs w:val="0"/>
          <w:lang w:val="en-US" w:eastAsia="zh-CN"/>
        </w:rPr>
        <w:t>同时，依托马迹塘笋竹特色产业园</w:t>
      </w:r>
      <w:r>
        <w:rPr>
          <w:rFonts w:hint="eastAsia" w:ascii="Times New Roman" w:hAnsi="Times New Roman" w:cs="Times New Roman"/>
          <w:b w:val="0"/>
          <w:bCs w:val="0"/>
        </w:rPr>
        <w:t>，</w:t>
      </w:r>
      <w:r>
        <w:rPr>
          <w:rFonts w:hint="eastAsia" w:ascii="Times New Roman" w:hAnsi="Times New Roman" w:cs="Times New Roman"/>
          <w:b w:val="0"/>
          <w:bCs w:val="0"/>
          <w:lang w:val="en-US" w:eastAsia="zh-CN"/>
        </w:rPr>
        <w:t>推进</w:t>
      </w:r>
      <w:r>
        <w:rPr>
          <w:rFonts w:hint="eastAsia" w:ascii="Times New Roman" w:hAnsi="Times New Roman" w:cs="Times New Roman"/>
          <w:b w:val="0"/>
          <w:bCs w:val="0"/>
        </w:rPr>
        <w:t>竹笋加工企业联合</w:t>
      </w:r>
      <w:r>
        <w:rPr>
          <w:rFonts w:hint="eastAsia" w:ascii="Times New Roman" w:hAnsi="Times New Roman" w:cs="Times New Roman"/>
          <w:b w:val="0"/>
          <w:bCs w:val="0"/>
          <w:lang w:val="en-US" w:eastAsia="zh-CN"/>
        </w:rPr>
        <w:t>发展</w:t>
      </w:r>
      <w:r>
        <w:rPr>
          <w:rFonts w:hint="eastAsia" w:ascii="Times New Roman" w:hAnsi="Times New Roman" w:cs="Times New Roman"/>
          <w:b w:val="0"/>
          <w:bCs w:val="0"/>
        </w:rPr>
        <w:t>，综合当地产业资金、人才、市场等各类发展要素，有效扩大产业结构。鼓励竹笋加工产业发展有机食品、绿色食品，做好</w:t>
      </w:r>
      <w:r>
        <w:rPr>
          <w:rFonts w:hint="eastAsia" w:ascii="Times New Roman" w:hAnsi="Times New Roman" w:cs="Times New Roman"/>
          <w:b w:val="0"/>
          <w:bCs w:val="0"/>
          <w:lang w:eastAsia="zh-CN"/>
        </w:rPr>
        <w:t>“</w:t>
      </w:r>
      <w:r>
        <w:rPr>
          <w:rFonts w:hint="eastAsia" w:ascii="Times New Roman" w:hAnsi="Times New Roman" w:cs="Times New Roman"/>
          <w:b w:val="0"/>
          <w:bCs w:val="0"/>
          <w:lang w:val="en-US" w:eastAsia="zh-CN"/>
        </w:rPr>
        <w:t>二品一标</w:t>
      </w:r>
      <w:r>
        <w:rPr>
          <w:rFonts w:hint="eastAsia" w:ascii="Times New Roman" w:hAnsi="Times New Roman" w:cs="Times New Roman"/>
          <w:b w:val="0"/>
          <w:bCs w:val="0"/>
          <w:lang w:eastAsia="zh-CN"/>
        </w:rPr>
        <w:t>”“</w:t>
      </w:r>
      <w:r>
        <w:rPr>
          <w:rFonts w:hint="eastAsia" w:ascii="Times New Roman" w:hAnsi="Times New Roman" w:cs="Times New Roman"/>
          <w:b w:val="0"/>
          <w:bCs w:val="0"/>
          <w:lang w:val="en-US" w:eastAsia="zh-CN"/>
        </w:rPr>
        <w:t>三品一标</w:t>
      </w:r>
      <w:r>
        <w:rPr>
          <w:rFonts w:hint="eastAsia" w:ascii="Times New Roman" w:hAnsi="Times New Roman" w:cs="Times New Roman"/>
          <w:b w:val="0"/>
          <w:bCs w:val="0"/>
          <w:lang w:eastAsia="zh-CN"/>
        </w:rPr>
        <w:t>”</w:t>
      </w:r>
      <w:r>
        <w:rPr>
          <w:rFonts w:hint="eastAsia" w:ascii="Times New Roman" w:hAnsi="Times New Roman" w:cs="Times New Roman"/>
          <w:b w:val="0"/>
          <w:bCs w:val="0"/>
          <w:lang w:val="en-US" w:eastAsia="zh-CN"/>
        </w:rPr>
        <w:t>建设</w:t>
      </w:r>
      <w:r>
        <w:rPr>
          <w:rFonts w:hint="eastAsia" w:ascii="Times New Roman" w:hAnsi="Times New Roman" w:cs="Times New Roman"/>
          <w:b w:val="0"/>
          <w:bCs w:val="0"/>
        </w:rPr>
        <w:t>，建立关于竹笋加工产业的质量管理体系，从根本上提升</w:t>
      </w:r>
      <w:r>
        <w:rPr>
          <w:rFonts w:hint="eastAsia" w:ascii="Times New Roman" w:hAnsi="Times New Roman" w:cs="Times New Roman"/>
          <w:b w:val="0"/>
          <w:bCs w:val="0"/>
          <w:lang w:val="en-US" w:eastAsia="zh-CN"/>
        </w:rPr>
        <w:t>精</w:t>
      </w:r>
      <w:r>
        <w:rPr>
          <w:rFonts w:hint="eastAsia" w:ascii="Times New Roman" w:hAnsi="Times New Roman" w:cs="Times New Roman"/>
          <w:b w:val="0"/>
          <w:bCs w:val="0"/>
        </w:rPr>
        <w:t>深加工水平</w:t>
      </w:r>
      <w:r>
        <w:rPr>
          <w:rFonts w:hint="eastAsia" w:ascii="Times New Roman" w:hAnsi="Times New Roman" w:cs="Times New Roman"/>
          <w:b w:val="0"/>
          <w:bCs w:val="0"/>
          <w:lang w:eastAsia="zh-CN"/>
        </w:rPr>
        <w:t>，</w:t>
      </w:r>
      <w:r>
        <w:rPr>
          <w:rFonts w:hint="eastAsia" w:ascii="Times New Roman" w:hAnsi="Times New Roman" w:cs="Times New Roman"/>
          <w:b w:val="0"/>
          <w:bCs w:val="0"/>
          <w:lang w:val="en-US" w:eastAsia="zh-CN"/>
        </w:rPr>
        <w:t>提升</w:t>
      </w:r>
      <w:r>
        <w:rPr>
          <w:rFonts w:hint="eastAsia" w:ascii="Times New Roman" w:hAnsi="Times New Roman" w:cs="Times New Roman"/>
          <w:b w:val="0"/>
          <w:bCs w:val="0"/>
        </w:rPr>
        <w:t>竹笋加工环节的技术含量</w:t>
      </w:r>
      <w:r>
        <w:rPr>
          <w:rFonts w:hint="eastAsia" w:ascii="Times New Roman" w:hAnsi="Times New Roman" w:cs="Times New Roman"/>
          <w:b w:val="0"/>
          <w:bCs w:val="0"/>
          <w:lang w:eastAsia="zh-CN"/>
        </w:rPr>
        <w:t>，</w:t>
      </w:r>
      <w:r>
        <w:rPr>
          <w:rFonts w:hint="eastAsia" w:ascii="Times New Roman" w:hAnsi="Times New Roman" w:cs="Times New Roman"/>
          <w:b w:val="0"/>
          <w:bCs w:val="0"/>
          <w:lang w:val="en-US" w:eastAsia="zh-CN"/>
        </w:rPr>
        <w:t>进一步提高竹笋产品附加值</w:t>
      </w:r>
      <w:r>
        <w:rPr>
          <w:rFonts w:hint="eastAsia" w:ascii="Times New Roman" w:hAnsi="Times New Roman" w:cs="Times New Roman"/>
          <w:b w:val="0"/>
          <w:bCs w:val="0"/>
        </w:rPr>
        <w:t>。</w:t>
      </w:r>
    </w:p>
    <w:p w14:paraId="70CBCF7D">
      <w:pPr>
        <w:numPr>
          <w:ilvl w:val="0"/>
          <w:numId w:val="0"/>
        </w:numPr>
        <w:ind w:firstLine="600" w:firstLineChars="200"/>
        <w:jc w:val="center"/>
        <w:rPr>
          <w:rFonts w:hint="default" w:ascii="Times New Roman" w:hAnsi="Times New Roman" w:cs="Times New Roman"/>
          <w:b w:val="0"/>
          <w:bCs w:val="0"/>
          <w:lang w:val="en-US" w:eastAsia="zh-CN"/>
        </w:rPr>
      </w:pPr>
      <w:r>
        <w:drawing>
          <wp:anchor distT="0" distB="0" distL="114300" distR="114300" simplePos="0" relativeHeight="251662336" behindDoc="0" locked="0" layoutInCell="1" allowOverlap="1">
            <wp:simplePos x="0" y="0"/>
            <wp:positionH relativeFrom="column">
              <wp:posOffset>-28575</wp:posOffset>
            </wp:positionH>
            <wp:positionV relativeFrom="paragraph">
              <wp:posOffset>135255</wp:posOffset>
            </wp:positionV>
            <wp:extent cx="5168265" cy="3239135"/>
            <wp:effectExtent l="0" t="0" r="13335" b="18415"/>
            <wp:wrapTopAndBottom/>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4"/>
                    <a:stretch>
                      <a:fillRect/>
                    </a:stretch>
                  </pic:blipFill>
                  <pic:spPr>
                    <a:xfrm>
                      <a:off x="0" y="0"/>
                      <a:ext cx="5168265" cy="3239135"/>
                    </a:xfrm>
                    <a:prstGeom prst="rect">
                      <a:avLst/>
                    </a:prstGeom>
                    <a:noFill/>
                    <a:ln>
                      <a:noFill/>
                    </a:ln>
                  </pic:spPr>
                </pic:pic>
              </a:graphicData>
            </a:graphic>
          </wp:anchor>
        </w:drawing>
      </w:r>
      <w:r>
        <w:rPr>
          <w:rFonts w:ascii="Times New Roman" w:hAnsi="Times New Roman" w:eastAsia="黑体" w:cs="Times New Roman"/>
          <w:snapToGrid w:val="0"/>
          <w:sz w:val="24"/>
          <w:szCs w:val="22"/>
          <w:lang w:val="en-US" w:eastAsia="zh-CN" w:bidi="ar-SA"/>
          <w14:ligatures w14:val="none"/>
        </w:rPr>
        <w:t>图</w:t>
      </w:r>
      <w:r>
        <w:rPr>
          <w:rFonts w:hint="eastAsia" w:ascii="Times New Roman" w:hAnsi="Times New Roman" w:eastAsia="黑体" w:cs="Times New Roman"/>
          <w:snapToGrid w:val="0"/>
          <w:sz w:val="24"/>
          <w:szCs w:val="22"/>
          <w:lang w:val="en-US" w:eastAsia="zh-CN" w:bidi="ar-SA"/>
          <w14:ligatures w14:val="none"/>
        </w:rPr>
        <w:t>4</w:t>
      </w:r>
      <w:r>
        <w:rPr>
          <w:rFonts w:ascii="Times New Roman" w:hAnsi="Times New Roman" w:eastAsia="黑体" w:cs="Times New Roman"/>
          <w:snapToGrid w:val="0"/>
          <w:sz w:val="24"/>
          <w:szCs w:val="22"/>
          <w:lang w:val="en-US" w:eastAsia="zh-CN" w:bidi="ar-SA"/>
          <w14:ligatures w14:val="none"/>
        </w:rPr>
        <w:t>.</w:t>
      </w:r>
      <w:r>
        <w:rPr>
          <w:rFonts w:hint="eastAsia" w:ascii="Times New Roman" w:hAnsi="Times New Roman" w:eastAsia="黑体" w:cs="Times New Roman"/>
          <w:snapToGrid w:val="0"/>
          <w:sz w:val="24"/>
          <w:szCs w:val="22"/>
          <w:lang w:val="en-US" w:eastAsia="zh-CN" w:bidi="ar-SA"/>
          <w14:ligatures w14:val="none"/>
        </w:rPr>
        <w:t>1</w:t>
      </w:r>
      <w:r>
        <w:rPr>
          <w:rFonts w:ascii="Times New Roman" w:hAnsi="Times New Roman" w:eastAsia="黑体" w:cs="Times New Roman"/>
          <w:snapToGrid w:val="0"/>
          <w:sz w:val="24"/>
          <w:szCs w:val="22"/>
          <w:lang w:val="en-US" w:eastAsia="zh-CN" w:bidi="ar-SA"/>
          <w14:ligatures w14:val="none"/>
        </w:rPr>
        <w:t>-</w:t>
      </w:r>
      <w:r>
        <w:rPr>
          <w:rFonts w:hint="eastAsia" w:ascii="Times New Roman" w:hAnsi="Times New Roman" w:eastAsia="黑体" w:cs="Times New Roman"/>
          <w:snapToGrid w:val="0"/>
          <w:sz w:val="24"/>
          <w:szCs w:val="22"/>
          <w:lang w:val="en-US" w:eastAsia="zh-CN" w:bidi="ar-SA"/>
          <w14:ligatures w14:val="none"/>
        </w:rPr>
        <w:t>2</w:t>
      </w:r>
      <w:r>
        <w:rPr>
          <w:rFonts w:ascii="Times New Roman" w:hAnsi="Times New Roman" w:eastAsia="黑体" w:cs="Times New Roman"/>
          <w:snapToGrid w:val="0"/>
          <w:sz w:val="24"/>
          <w:szCs w:val="22"/>
          <w:lang w:val="en-US" w:eastAsia="zh-CN" w:bidi="ar-SA"/>
          <w14:ligatures w14:val="none"/>
        </w:rPr>
        <w:t xml:space="preserve"> </w:t>
      </w:r>
      <w:r>
        <w:rPr>
          <w:rFonts w:hint="eastAsia" w:ascii="Times New Roman" w:hAnsi="Times New Roman" w:eastAsia="黑体" w:cs="Times New Roman"/>
          <w:snapToGrid w:val="0"/>
          <w:sz w:val="24"/>
          <w:szCs w:val="22"/>
          <w:lang w:val="en-US" w:eastAsia="zh-CN" w:bidi="ar-SA"/>
          <w14:ligatures w14:val="none"/>
        </w:rPr>
        <w:t>竹笋产业链发展方向及重点</w:t>
      </w:r>
    </w:p>
    <w:p w14:paraId="28873A85">
      <w:pPr>
        <w:pStyle w:val="3"/>
        <w:rPr>
          <w:rFonts w:hint="default"/>
          <w:lang w:val="en-US" w:eastAsia="zh-CN"/>
        </w:rPr>
      </w:pPr>
      <w:bookmarkStart w:id="96" w:name="_Toc19608"/>
      <w:r>
        <w:rPr>
          <w:rFonts w:hint="eastAsia" w:ascii="Times New Roman" w:hAnsi="Times New Roman" w:cs="Times New Roman"/>
          <w:snapToGrid/>
          <w:lang w:val="en-US" w:eastAsia="zh-CN"/>
        </w:rPr>
        <w:t>二、培育培优种养加工</w:t>
      </w:r>
      <w:bookmarkEnd w:id="96"/>
    </w:p>
    <w:p w14:paraId="0DEFD178">
      <w:pPr>
        <w:pStyle w:val="183"/>
        <w:rPr>
          <w:rFonts w:hint="default" w:eastAsia="黑体"/>
          <w:lang w:val="en-US" w:eastAsia="zh-CN"/>
        </w:rPr>
      </w:pPr>
      <w:bookmarkStart w:id="97" w:name="_Toc15654"/>
      <w:bookmarkStart w:id="98" w:name="_Toc4419"/>
      <w:bookmarkStart w:id="99" w:name="_Toc3832"/>
      <w:bookmarkStart w:id="100" w:name="_Toc11836"/>
      <w:bookmarkStart w:id="101" w:name="_Toc27492"/>
      <w:bookmarkStart w:id="102" w:name="_Toc31803"/>
      <w:bookmarkStart w:id="103" w:name="_Toc3047"/>
      <w:r>
        <w:rPr>
          <w:rFonts w:ascii="Times New Roman" w:hAnsi="Times New Roman"/>
          <w:snapToGrid/>
        </w:rPr>
        <w:t>（一）</w:t>
      </w:r>
      <w:r>
        <w:rPr>
          <w:rFonts w:hint="eastAsia"/>
          <w:lang w:val="en-US" w:eastAsia="zh-CN"/>
        </w:rPr>
        <w:t>市场</w:t>
      </w:r>
      <w:bookmarkEnd w:id="97"/>
      <w:bookmarkEnd w:id="98"/>
      <w:bookmarkEnd w:id="99"/>
      <w:bookmarkEnd w:id="100"/>
      <w:r>
        <w:rPr>
          <w:rFonts w:hint="eastAsia"/>
          <w:lang w:val="en-US" w:eastAsia="zh-CN"/>
        </w:rPr>
        <w:t>前景</w:t>
      </w:r>
      <w:bookmarkEnd w:id="101"/>
      <w:bookmarkEnd w:id="102"/>
      <w:bookmarkEnd w:id="103"/>
    </w:p>
    <w:p w14:paraId="01BAC567">
      <w:pPr>
        <w:ind w:left="0" w:leftChars="0" w:firstLine="602" w:firstLineChars="200"/>
        <w:rPr>
          <w:rFonts w:hint="eastAsia" w:ascii="仿宋" w:hAnsi="仿宋" w:cs="仿宋"/>
          <w:b/>
          <w:bCs/>
          <w:snapToGrid/>
          <w:lang w:val="en-US" w:eastAsia="zh-CN"/>
        </w:rPr>
      </w:pPr>
      <w:r>
        <w:rPr>
          <w:rFonts w:hint="eastAsia" w:ascii="仿宋" w:hAnsi="仿宋" w:cs="仿宋"/>
          <w:b/>
          <w:bCs/>
          <w:snapToGrid/>
          <w:lang w:val="en-US" w:eastAsia="zh-CN"/>
        </w:rPr>
        <w:t>1</w:t>
      </w:r>
      <w:r>
        <w:rPr>
          <w:rFonts w:hint="eastAsia" w:ascii="仿宋" w:hAnsi="仿宋" w:eastAsia="仿宋" w:cs="仿宋"/>
          <w:b/>
          <w:bCs/>
          <w:snapToGrid/>
          <w:lang w:val="en-US" w:eastAsia="zh-CN"/>
        </w:rPr>
        <w:t>.</w:t>
      </w:r>
      <w:r>
        <w:rPr>
          <w:rFonts w:hint="eastAsia" w:ascii="仿宋" w:hAnsi="仿宋" w:cs="仿宋"/>
          <w:b/>
          <w:bCs/>
          <w:snapToGrid/>
          <w:lang w:val="en-US" w:eastAsia="zh-CN"/>
        </w:rPr>
        <w:t>茶产业</w:t>
      </w:r>
    </w:p>
    <w:p w14:paraId="34CF5E4B">
      <w:pPr>
        <w:bidi w:val="0"/>
        <w:rPr>
          <w:rFonts w:hint="eastAsia" w:ascii="Times New Roman" w:hAnsi="Times New Roman"/>
          <w:snapToGrid/>
          <w:kern w:val="2"/>
          <w:szCs w:val="28"/>
          <w:lang w:val="en-US" w:eastAsia="zh-CN"/>
        </w:rPr>
      </w:pPr>
      <w:r>
        <w:rPr>
          <w:rFonts w:hint="eastAsia" w:ascii="Times New Roman" w:hAnsi="Times New Roman"/>
          <w:snapToGrid/>
          <w:kern w:val="2"/>
          <w:szCs w:val="28"/>
          <w:lang w:val="en-US" w:eastAsia="zh-CN"/>
        </w:rPr>
        <w:t>中国既是全球最大的产茶国，也是茶叶消费大国。数据显示，2023年中国茶市场规模达到了6181亿元，预测2024年市场规模将达6646亿元，茶叶行业依然保持着稳定的增长态势。茶叶消费者群体广泛，但近年来呈现出年轻化的趋势。根据抖音发布的数据，2023年茶行业18岁至30岁兴趣用户占比提升至38.4%，显示出饮茶群体年龄层下移的趋势。年轻消费者更加注重茶叶的品质和健康价值，他们倾向于选择高品质、有机、环保的茶叶产品，同时也更加注重消费体验和服务。</w:t>
      </w:r>
    </w:p>
    <w:p w14:paraId="73DF99F9">
      <w:pPr>
        <w:ind w:firstLine="0" w:firstLineChars="0"/>
        <w:jc w:val="center"/>
        <w:rPr>
          <w:rFonts w:hint="default"/>
          <w:lang w:val="en-US" w:eastAsia="zh-CN"/>
        </w:rPr>
      </w:pPr>
      <w:r>
        <w:rPr>
          <w:rFonts w:ascii="Times New Roman" w:hAnsi="Times New Roman" w:eastAsia="黑体" w:cs="Times New Roman"/>
          <w:color w:val="000000" w:themeColor="text1"/>
          <w:sz w:val="24"/>
          <w14:textFill>
            <w14:solidFill>
              <w14:schemeClr w14:val="tx1"/>
            </w14:solidFill>
          </w14:textFill>
        </w:rPr>
        <w:t>图</w:t>
      </w:r>
      <w:r>
        <w:rPr>
          <w:rFonts w:hint="eastAsia" w:ascii="Times New Roman" w:hAnsi="Times New Roman" w:eastAsia="黑体" w:cs="Times New Roman"/>
          <w:color w:val="000000" w:themeColor="text1"/>
          <w:sz w:val="24"/>
          <w:lang w:val="en-US" w:eastAsia="zh-CN"/>
          <w14:textFill>
            <w14:solidFill>
              <w14:schemeClr w14:val="tx1"/>
            </w14:solidFill>
          </w14:textFill>
        </w:rPr>
        <w:t>4</w:t>
      </w:r>
      <w:r>
        <w:rPr>
          <w:rFonts w:ascii="Times New Roman" w:hAnsi="Times New Roman" w:eastAsia="黑体" w:cs="Times New Roman"/>
          <w:color w:val="000000" w:themeColor="text1"/>
          <w:sz w:val="24"/>
          <w14:textFill>
            <w14:solidFill>
              <w14:schemeClr w14:val="tx1"/>
            </w14:solidFill>
          </w14:textFill>
        </w:rPr>
        <w:t>.</w:t>
      </w:r>
      <w:r>
        <w:rPr>
          <w:rFonts w:hint="eastAsia" w:ascii="Times New Roman" w:hAnsi="Times New Roman" w:eastAsia="黑体" w:cs="Times New Roman"/>
          <w:color w:val="000000" w:themeColor="text1"/>
          <w:sz w:val="24"/>
          <w:lang w:val="en-US" w:eastAsia="zh-CN"/>
          <w14:textFill>
            <w14:solidFill>
              <w14:schemeClr w14:val="tx1"/>
            </w14:solidFill>
          </w14:textFill>
        </w:rPr>
        <w:t>2</w:t>
      </w:r>
      <w:r>
        <w:rPr>
          <w:rFonts w:ascii="Times New Roman" w:hAnsi="Times New Roman" w:eastAsia="黑体" w:cs="Times New Roman"/>
          <w:color w:val="000000" w:themeColor="text1"/>
          <w:sz w:val="24"/>
          <w14:textFill>
            <w14:solidFill>
              <w14:schemeClr w14:val="tx1"/>
            </w14:solidFill>
          </w14:textFill>
        </w:rPr>
        <w:t>-</w:t>
      </w:r>
      <w:r>
        <w:rPr>
          <w:rFonts w:hint="eastAsia" w:ascii="Times New Roman" w:hAnsi="Times New Roman" w:eastAsia="黑体" w:cs="Times New Roman"/>
          <w:color w:val="000000" w:themeColor="text1"/>
          <w:sz w:val="24"/>
          <w:lang w:val="en-US" w:eastAsia="zh-CN"/>
          <w14:textFill>
            <w14:solidFill>
              <w14:schemeClr w14:val="tx1"/>
            </w14:solidFill>
          </w14:textFill>
        </w:rPr>
        <w:t>1</w:t>
      </w:r>
      <w:r>
        <w:rPr>
          <w:rFonts w:ascii="Times New Roman" w:hAnsi="Times New Roman" w:eastAsia="黑体" w:cs="Times New Roman"/>
          <w:color w:val="000000" w:themeColor="text1"/>
          <w:sz w:val="24"/>
          <w14:textFill>
            <w14:solidFill>
              <w14:schemeClr w14:val="tx1"/>
            </w14:solidFill>
          </w14:textFill>
        </w:rPr>
        <w:t xml:space="preserve"> </w:t>
      </w:r>
      <w:r>
        <w:rPr>
          <w:rFonts w:hint="eastAsia" w:ascii="Times New Roman" w:hAnsi="Times New Roman" w:eastAsia="黑体" w:cs="Times New Roman"/>
          <w:color w:val="000000" w:themeColor="text1"/>
          <w:sz w:val="24"/>
          <w:lang w:val="en-US" w:eastAsia="zh-CN"/>
          <w14:textFill>
            <w14:solidFill>
              <w14:schemeClr w14:val="tx1"/>
            </w14:solidFill>
          </w14:textFill>
        </w:rPr>
        <w:t>2023中国茶叶企业产品品牌价值top10</w:t>
      </w:r>
    </w:p>
    <w:tbl>
      <w:tblPr>
        <w:tblStyle w:val="3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19"/>
        <w:gridCol w:w="993"/>
        <w:gridCol w:w="3681"/>
        <w:gridCol w:w="1516"/>
        <w:gridCol w:w="1517"/>
      </w:tblGrid>
      <w:tr w14:paraId="5B374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blHeader/>
        </w:trPr>
        <w:tc>
          <w:tcPr>
            <w:tcW w:w="480"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112BFA2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bCs/>
                <w:i w:val="0"/>
                <w:iCs w:val="0"/>
                <w:color w:val="000000"/>
                <w:sz w:val="24"/>
                <w:szCs w:val="24"/>
                <w:u w:val="none"/>
              </w:rPr>
            </w:pPr>
            <w:r>
              <w:rPr>
                <w:rFonts w:hint="default" w:ascii="Times New Roman" w:hAnsi="Times New Roman" w:eastAsia="仿宋" w:cs="Times New Roman"/>
                <w:b/>
                <w:bCs/>
                <w:i w:val="0"/>
                <w:iCs w:val="0"/>
                <w:snapToGrid w:val="0"/>
                <w:color w:val="000000"/>
                <w:kern w:val="0"/>
                <w:sz w:val="24"/>
                <w:szCs w:val="24"/>
                <w:u w:val="none"/>
                <w:lang w:val="en-US" w:eastAsia="zh-CN" w:bidi="ar"/>
              </w:rPr>
              <w:t>排序</w:t>
            </w:r>
          </w:p>
        </w:tc>
        <w:tc>
          <w:tcPr>
            <w:tcW w:w="582"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24F53AA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bCs/>
                <w:i w:val="0"/>
                <w:iCs w:val="0"/>
                <w:color w:val="000000"/>
                <w:sz w:val="24"/>
                <w:szCs w:val="24"/>
                <w:u w:val="none"/>
              </w:rPr>
            </w:pPr>
            <w:r>
              <w:rPr>
                <w:rFonts w:hint="default" w:ascii="Times New Roman" w:hAnsi="Times New Roman" w:eastAsia="仿宋" w:cs="Times New Roman"/>
                <w:b/>
                <w:bCs/>
                <w:i w:val="0"/>
                <w:iCs w:val="0"/>
                <w:snapToGrid w:val="0"/>
                <w:color w:val="000000"/>
                <w:kern w:val="0"/>
                <w:sz w:val="24"/>
                <w:szCs w:val="24"/>
                <w:u w:val="none"/>
                <w:lang w:val="en-US" w:eastAsia="zh-CN" w:bidi="ar"/>
              </w:rPr>
              <w:t>省份</w:t>
            </w:r>
          </w:p>
        </w:tc>
        <w:tc>
          <w:tcPr>
            <w:tcW w:w="2158"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494D1AA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bCs/>
                <w:i w:val="0"/>
                <w:iCs w:val="0"/>
                <w:color w:val="000000"/>
                <w:sz w:val="24"/>
                <w:szCs w:val="24"/>
                <w:u w:val="none"/>
              </w:rPr>
            </w:pPr>
            <w:r>
              <w:rPr>
                <w:rFonts w:hint="default" w:ascii="Times New Roman" w:hAnsi="Times New Roman" w:eastAsia="仿宋" w:cs="Times New Roman"/>
                <w:b/>
                <w:bCs/>
                <w:i w:val="0"/>
                <w:iCs w:val="0"/>
                <w:snapToGrid w:val="0"/>
                <w:color w:val="000000"/>
                <w:kern w:val="0"/>
                <w:sz w:val="24"/>
                <w:szCs w:val="24"/>
                <w:u w:val="none"/>
                <w:lang w:val="en-US" w:eastAsia="zh-CN" w:bidi="ar"/>
              </w:rPr>
              <w:t>企业名称</w:t>
            </w:r>
          </w:p>
        </w:tc>
        <w:tc>
          <w:tcPr>
            <w:tcW w:w="889"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1B3AE1D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bCs/>
                <w:i w:val="0"/>
                <w:iCs w:val="0"/>
                <w:color w:val="000000"/>
                <w:sz w:val="24"/>
                <w:szCs w:val="24"/>
                <w:u w:val="none"/>
              </w:rPr>
            </w:pPr>
            <w:r>
              <w:rPr>
                <w:rFonts w:hint="default" w:ascii="Times New Roman" w:hAnsi="Times New Roman" w:eastAsia="仿宋" w:cs="Times New Roman"/>
                <w:b/>
                <w:bCs/>
                <w:i w:val="0"/>
                <w:iCs w:val="0"/>
                <w:snapToGrid w:val="0"/>
                <w:color w:val="000000"/>
                <w:kern w:val="0"/>
                <w:sz w:val="24"/>
                <w:szCs w:val="24"/>
                <w:u w:val="none"/>
                <w:lang w:val="en-US" w:eastAsia="zh-CN" w:bidi="ar"/>
              </w:rPr>
              <w:t>品牌名称</w:t>
            </w:r>
          </w:p>
        </w:tc>
        <w:tc>
          <w:tcPr>
            <w:tcW w:w="889"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497D488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bCs/>
                <w:i w:val="0"/>
                <w:iCs w:val="0"/>
                <w:color w:val="000000"/>
                <w:sz w:val="24"/>
                <w:szCs w:val="24"/>
                <w:u w:val="none"/>
              </w:rPr>
            </w:pPr>
            <w:r>
              <w:rPr>
                <w:rFonts w:hint="default" w:ascii="Times New Roman" w:hAnsi="Times New Roman" w:eastAsia="仿宋" w:cs="Times New Roman"/>
                <w:b/>
                <w:bCs/>
                <w:i w:val="0"/>
                <w:iCs w:val="0"/>
                <w:snapToGrid w:val="0"/>
                <w:color w:val="000000"/>
                <w:kern w:val="0"/>
                <w:sz w:val="24"/>
                <w:szCs w:val="24"/>
                <w:u w:val="none"/>
                <w:lang w:val="en-US" w:eastAsia="zh-CN" w:bidi="ar"/>
              </w:rPr>
              <w:t>品牌价值</w:t>
            </w:r>
          </w:p>
        </w:tc>
      </w:tr>
      <w:tr w14:paraId="29417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EB07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1</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595C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北京</w:t>
            </w:r>
          </w:p>
        </w:tc>
        <w:tc>
          <w:tcPr>
            <w:tcW w:w="21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5CB6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北京吴裕泰茶业股份有限公司</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CBE3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吴裕泰</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ECD6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17.56</w:t>
            </w:r>
          </w:p>
        </w:tc>
      </w:tr>
      <w:tr w14:paraId="6A64E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4988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2</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6699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江西</w:t>
            </w:r>
          </w:p>
        </w:tc>
        <w:tc>
          <w:tcPr>
            <w:tcW w:w="21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02B0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江西省宁红集团有限公司</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21D3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宁红</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B676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15.62</w:t>
            </w:r>
          </w:p>
        </w:tc>
      </w:tr>
      <w:tr w14:paraId="64C1C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EB33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3</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A02A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福建</w:t>
            </w:r>
          </w:p>
        </w:tc>
        <w:tc>
          <w:tcPr>
            <w:tcW w:w="21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3766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福建新坦洋集团股份有限公司</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222F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新坦洋</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867A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14.89</w:t>
            </w:r>
          </w:p>
        </w:tc>
      </w:tr>
      <w:tr w14:paraId="7FB73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0FDF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4</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210E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福建</w:t>
            </w:r>
          </w:p>
        </w:tc>
        <w:tc>
          <w:tcPr>
            <w:tcW w:w="21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0DC7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闽榕茶业有限公司</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FF2F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崟露</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D87C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13.51</w:t>
            </w:r>
          </w:p>
        </w:tc>
      </w:tr>
      <w:tr w14:paraId="4B2FF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707A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5</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DDA2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福建</w:t>
            </w:r>
          </w:p>
        </w:tc>
        <w:tc>
          <w:tcPr>
            <w:tcW w:w="21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E60C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福建品品香茶业有限公司</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42E7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品品香</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1E4B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11.33</w:t>
            </w:r>
          </w:p>
        </w:tc>
      </w:tr>
      <w:tr w14:paraId="67050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85EA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6</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60FE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湖北</w:t>
            </w:r>
          </w:p>
        </w:tc>
        <w:tc>
          <w:tcPr>
            <w:tcW w:w="21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BAFF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湖北汉家刘氏茶业股份有限公司</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F76C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汉家刘氏</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096A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11.28</w:t>
            </w:r>
          </w:p>
        </w:tc>
      </w:tr>
      <w:tr w14:paraId="360F6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3387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7</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05AA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湖北</w:t>
            </w:r>
          </w:p>
        </w:tc>
        <w:tc>
          <w:tcPr>
            <w:tcW w:w="21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9FE0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羊楼洞茶业股份有限公司</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86ED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羊楼洞</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1E7C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11.17</w:t>
            </w:r>
          </w:p>
        </w:tc>
      </w:tr>
      <w:tr w14:paraId="25843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9DD8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8</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2447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福建</w:t>
            </w:r>
          </w:p>
        </w:tc>
        <w:tc>
          <w:tcPr>
            <w:tcW w:w="21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6345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福建鼎白茶业有限公司</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EA71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鼎白茶业</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C638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11.09</w:t>
            </w:r>
          </w:p>
        </w:tc>
      </w:tr>
      <w:tr w14:paraId="141BD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680B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9</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CC0F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湖北</w:t>
            </w:r>
          </w:p>
        </w:tc>
        <w:tc>
          <w:tcPr>
            <w:tcW w:w="21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98B1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湖北采花茶业有限公司</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11A7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采花</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A9DC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10.71</w:t>
            </w:r>
          </w:p>
        </w:tc>
      </w:tr>
      <w:tr w14:paraId="37D62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B088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10</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AA93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湖南</w:t>
            </w:r>
          </w:p>
        </w:tc>
        <w:tc>
          <w:tcPr>
            <w:tcW w:w="21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3A39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湖南洞庭山科技发展有限公司</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AB07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巴陵春</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42C2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10.59</w:t>
            </w:r>
          </w:p>
        </w:tc>
      </w:tr>
    </w:tbl>
    <w:p w14:paraId="19DE6031">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jc w:val="left"/>
        <w:textAlignment w:val="auto"/>
        <w:rPr>
          <w:rFonts w:hint="eastAsia" w:ascii="仿宋" w:hAnsi="仿宋" w:cs="仿宋"/>
          <w:b/>
          <w:bCs/>
          <w:snapToGrid/>
          <w:lang w:val="en-US" w:eastAsia="zh-CN"/>
        </w:rPr>
      </w:pPr>
      <w:r>
        <w:rPr>
          <w:rFonts w:hint="eastAsia" w:ascii="仿宋" w:hAnsi="仿宋" w:eastAsia="仿宋" w:cs="仿宋"/>
          <w:b/>
          <w:bCs/>
          <w:snapToGrid/>
          <w:sz w:val="24"/>
          <w:szCs w:val="24"/>
          <w:lang w:val="en-US" w:eastAsia="zh-CN"/>
        </w:rPr>
        <w:t>备注：中国农业品牌研究中心</w:t>
      </w:r>
    </w:p>
    <w:p w14:paraId="2D512D72">
      <w:pPr>
        <w:pStyle w:val="17"/>
        <w:rPr>
          <w:rFonts w:hint="eastAsia" w:ascii="仿宋" w:hAnsi="仿宋" w:cs="仿宋"/>
          <w:b/>
          <w:bCs/>
          <w:snapToGrid/>
          <w:lang w:val="en-US" w:eastAsia="zh-CN"/>
        </w:rPr>
      </w:pPr>
      <w:r>
        <w:rPr>
          <w:rFonts w:hint="default" w:ascii="Times New Roman" w:hAnsi="Times New Roman" w:cs="Times New Roman"/>
          <w:lang w:val="en-US" w:eastAsia="zh-CN"/>
        </w:rPr>
        <w:t>桃江茶叶发展历史悠久，20世纪70年代，桃江县作为全国8个年产茶50万公斤（10万担）以上的重点县之一，居全国第三，湖南省第二。近年来，桃江县为促进茶产业向中高端迈进，持续做强绿茶，做优红茶，做精黑茶。据不完全统计，全县茶园可采摘面积7.23万亩，生产黑、绿、红茶3大类100多种茶叶产品，</w:t>
      </w:r>
      <w:r>
        <w:rPr>
          <w:rFonts w:hint="eastAsia" w:ascii="Times New Roman" w:hAnsi="Times New Roman" w:cs="Times New Roman"/>
          <w:lang w:val="en-US" w:eastAsia="zh-CN"/>
        </w:rPr>
        <w:t>2023年，桃江县</w:t>
      </w:r>
      <w:r>
        <w:rPr>
          <w:rFonts w:hint="eastAsia" w:ascii="Times New Roman" w:hAnsi="Times New Roman"/>
          <w:snapToGrid/>
          <w:kern w:val="2"/>
          <w:szCs w:val="28"/>
          <w:lang w:val="en-US" w:eastAsia="zh-CN"/>
        </w:rPr>
        <w:t>茶园总面积达8.09万亩，新建茶园200亩，总产量52071吨，产值超过20亿元。全县共有茶叶种植、生产企业约50家，省级农业产业化龙头企业1家，市级农业产业化龙头企业7家。精制绿茶加工企业12家，桃江绿茶精制能力强，是全国绿茶的主要精制加工基地和集散地。精制黑茶加工企业8家，黑茶精制能力较强，是全国黑茶的重要精制加工基地，黑茶成品的产量仅次于安化县。</w:t>
      </w:r>
    </w:p>
    <w:p w14:paraId="682A560A">
      <w:pPr>
        <w:ind w:left="0" w:leftChars="0" w:firstLine="602" w:firstLineChars="200"/>
        <w:rPr>
          <w:rFonts w:hint="eastAsia" w:ascii="仿宋" w:hAnsi="仿宋" w:cs="仿宋"/>
          <w:b/>
          <w:bCs/>
          <w:snapToGrid/>
          <w:lang w:val="en-US" w:eastAsia="zh-CN"/>
        </w:rPr>
      </w:pPr>
      <w:r>
        <w:rPr>
          <w:rFonts w:hint="eastAsia" w:ascii="仿宋" w:hAnsi="仿宋" w:cs="仿宋"/>
          <w:b/>
          <w:bCs/>
          <w:snapToGrid/>
          <w:lang w:val="en-US" w:eastAsia="zh-CN"/>
        </w:rPr>
        <w:t>2</w:t>
      </w:r>
      <w:r>
        <w:rPr>
          <w:rFonts w:hint="eastAsia" w:ascii="仿宋" w:hAnsi="仿宋" w:eastAsia="仿宋" w:cs="仿宋"/>
          <w:b/>
          <w:bCs/>
          <w:snapToGrid/>
          <w:lang w:val="en-US" w:eastAsia="zh-CN"/>
        </w:rPr>
        <w:t>.</w:t>
      </w:r>
      <w:r>
        <w:rPr>
          <w:rFonts w:hint="eastAsia" w:ascii="仿宋" w:hAnsi="仿宋" w:cs="仿宋"/>
          <w:b/>
          <w:bCs/>
          <w:snapToGrid/>
          <w:lang w:val="en-US" w:eastAsia="zh-CN"/>
        </w:rPr>
        <w:t>蔬菜产业</w:t>
      </w:r>
    </w:p>
    <w:p w14:paraId="34DBAFE0">
      <w:pPr>
        <w:bidi w:val="0"/>
        <w:rPr>
          <w:rFonts w:hint="eastAsia" w:ascii="Times New Roman" w:hAnsi="Times New Roman"/>
          <w:snapToGrid/>
          <w:kern w:val="2"/>
          <w:szCs w:val="28"/>
          <w:lang w:val="en-US" w:eastAsia="zh-CN"/>
        </w:rPr>
      </w:pPr>
      <w:r>
        <w:rPr>
          <w:rFonts w:hint="eastAsia" w:ascii="Times New Roman" w:hAnsi="Times New Roman"/>
          <w:snapToGrid/>
          <w:kern w:val="2"/>
          <w:szCs w:val="28"/>
          <w:lang w:val="en-US" w:eastAsia="zh-CN"/>
        </w:rPr>
        <w:t>目前蔬菜生产已经成为我国种植业中仅次于粮食的第二大农作物，我国是世界蔬菜生产和消费的第一大国。2023年，我国蔬菜行业市场规模约为47338.27亿元，蔬菜消费量约为79988.58万吨。国内供应量和出口量均居世界第一。目前，我国蔬菜生产整体上供大于求，但总的产销率较为健康，局部存在结构性、季节性、地域性过剩现象，国内外市场竞争日趋激烈。未来，随着人们生活水平的提高，消费者日益重视蔬菜供给的品质和安全，市场对于绿色蔬菜、有机蔬菜的需求日益强劲。</w:t>
      </w:r>
    </w:p>
    <w:p w14:paraId="3D0BC197">
      <w:pPr>
        <w:ind w:firstLine="0" w:firstLineChars="0"/>
        <w:jc w:val="center"/>
        <w:rPr>
          <w:rFonts w:hint="eastAsia" w:ascii="Times New Roman" w:hAnsi="Times New Roman"/>
          <w:snapToGrid/>
          <w:kern w:val="2"/>
          <w:szCs w:val="28"/>
          <w:lang w:val="en-US" w:eastAsia="zh-CN"/>
        </w:rPr>
      </w:pPr>
      <w:r>
        <w:rPr>
          <w:rFonts w:ascii="Times New Roman" w:hAnsi="Times New Roman" w:eastAsia="黑体" w:cs="Times New Roman"/>
          <w:color w:val="000000" w:themeColor="text1"/>
          <w:sz w:val="24"/>
          <w14:textFill>
            <w14:solidFill>
              <w14:schemeClr w14:val="tx1"/>
            </w14:solidFill>
          </w14:textFill>
        </w:rPr>
        <w:t>图</w:t>
      </w:r>
      <w:r>
        <w:rPr>
          <w:rFonts w:hint="eastAsia" w:ascii="Times New Roman" w:hAnsi="Times New Roman" w:eastAsia="黑体" w:cs="Times New Roman"/>
          <w:color w:val="000000" w:themeColor="text1"/>
          <w:sz w:val="24"/>
          <w:lang w:val="en-US" w:eastAsia="zh-CN"/>
          <w14:textFill>
            <w14:solidFill>
              <w14:schemeClr w14:val="tx1"/>
            </w14:solidFill>
          </w14:textFill>
        </w:rPr>
        <w:t>4</w:t>
      </w:r>
      <w:r>
        <w:rPr>
          <w:rFonts w:ascii="Times New Roman" w:hAnsi="Times New Roman" w:eastAsia="黑体" w:cs="Times New Roman"/>
          <w:color w:val="000000" w:themeColor="text1"/>
          <w:sz w:val="24"/>
          <w14:textFill>
            <w14:solidFill>
              <w14:schemeClr w14:val="tx1"/>
            </w14:solidFill>
          </w14:textFill>
        </w:rPr>
        <w:t>.</w:t>
      </w:r>
      <w:r>
        <w:rPr>
          <w:rFonts w:hint="eastAsia" w:ascii="Times New Roman" w:hAnsi="Times New Roman" w:eastAsia="黑体" w:cs="Times New Roman"/>
          <w:color w:val="000000" w:themeColor="text1"/>
          <w:sz w:val="24"/>
          <w:lang w:val="en-US" w:eastAsia="zh-CN"/>
          <w14:textFill>
            <w14:solidFill>
              <w14:schemeClr w14:val="tx1"/>
            </w14:solidFill>
          </w14:textFill>
        </w:rPr>
        <w:t>2</w:t>
      </w:r>
      <w:r>
        <w:rPr>
          <w:rFonts w:ascii="Times New Roman" w:hAnsi="Times New Roman" w:eastAsia="黑体" w:cs="Times New Roman"/>
          <w:color w:val="000000" w:themeColor="text1"/>
          <w:sz w:val="24"/>
          <w14:textFill>
            <w14:solidFill>
              <w14:schemeClr w14:val="tx1"/>
            </w14:solidFill>
          </w14:textFill>
        </w:rPr>
        <w:t>-</w:t>
      </w:r>
      <w:r>
        <w:rPr>
          <w:rFonts w:hint="eastAsia" w:ascii="Times New Roman" w:hAnsi="Times New Roman" w:eastAsia="黑体" w:cs="Times New Roman"/>
          <w:color w:val="000000" w:themeColor="text1"/>
          <w:sz w:val="24"/>
          <w:lang w:val="en-US" w:eastAsia="zh-CN"/>
          <w14:textFill>
            <w14:solidFill>
              <w14:schemeClr w14:val="tx1"/>
            </w14:solidFill>
          </w14:textFill>
        </w:rPr>
        <w:t>2</w:t>
      </w:r>
      <w:r>
        <w:rPr>
          <w:rFonts w:ascii="Times New Roman" w:hAnsi="Times New Roman" w:eastAsia="黑体" w:cs="Times New Roman"/>
          <w:color w:val="000000" w:themeColor="text1"/>
          <w:sz w:val="24"/>
          <w14:textFill>
            <w14:solidFill>
              <w14:schemeClr w14:val="tx1"/>
            </w14:solidFill>
          </w14:textFill>
        </w:rPr>
        <w:t xml:space="preserve"> </w:t>
      </w:r>
      <w:r>
        <w:rPr>
          <w:rFonts w:hint="eastAsia" w:ascii="Times New Roman" w:hAnsi="Times New Roman" w:eastAsia="黑体" w:cs="Times New Roman"/>
          <w:color w:val="000000" w:themeColor="text1"/>
          <w:sz w:val="24"/>
          <w:lang w:val="en-US" w:eastAsia="zh-CN"/>
          <w14:textFill>
            <w14:solidFill>
              <w14:schemeClr w14:val="tx1"/>
            </w14:solidFill>
          </w14:textFill>
        </w:rPr>
        <w:t>全国蔬菜龙头企业</w:t>
      </w:r>
    </w:p>
    <w:tbl>
      <w:tblPr>
        <w:tblStyle w:val="34"/>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8"/>
        <w:gridCol w:w="3407"/>
        <w:gridCol w:w="989"/>
        <w:gridCol w:w="3492"/>
      </w:tblGrid>
      <w:tr w14:paraId="0239F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blHeader/>
          <w:jc w:val="center"/>
        </w:trPr>
        <w:tc>
          <w:tcPr>
            <w:tcW w:w="293"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2AC7BE3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snapToGrid w:val="0"/>
                <w:color w:val="000000"/>
                <w:kern w:val="0"/>
                <w:sz w:val="21"/>
                <w:szCs w:val="21"/>
                <w:u w:val="none"/>
                <w:lang w:val="en-US" w:eastAsia="zh-CN" w:bidi="ar"/>
              </w:rPr>
              <w:t>序号</w:t>
            </w:r>
          </w:p>
        </w:tc>
        <w:tc>
          <w:tcPr>
            <w:tcW w:w="2024"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7C2BDE7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snapToGrid w:val="0"/>
                <w:color w:val="000000"/>
                <w:kern w:val="0"/>
                <w:sz w:val="21"/>
                <w:szCs w:val="21"/>
                <w:u w:val="none"/>
                <w:lang w:val="en-US" w:eastAsia="zh-CN" w:bidi="ar"/>
              </w:rPr>
              <w:t>企业</w:t>
            </w:r>
          </w:p>
        </w:tc>
        <w:tc>
          <w:tcPr>
            <w:tcW w:w="607"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43EB271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snapToGrid w:val="0"/>
                <w:color w:val="000000"/>
                <w:kern w:val="0"/>
                <w:sz w:val="21"/>
                <w:szCs w:val="21"/>
                <w:u w:val="none"/>
                <w:lang w:val="en-US" w:eastAsia="zh-CN" w:bidi="ar"/>
              </w:rPr>
              <w:t>销量  （万吨）</w:t>
            </w:r>
          </w:p>
        </w:tc>
        <w:tc>
          <w:tcPr>
            <w:tcW w:w="2074"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429293D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snapToGrid w:val="0"/>
                <w:color w:val="000000"/>
                <w:kern w:val="0"/>
                <w:sz w:val="21"/>
                <w:szCs w:val="21"/>
                <w:u w:val="none"/>
                <w:lang w:val="en-US" w:eastAsia="zh-CN" w:bidi="ar"/>
              </w:rPr>
              <w:t>主要品类</w:t>
            </w:r>
          </w:p>
        </w:tc>
      </w:tr>
      <w:tr w14:paraId="4B9B7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8339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1</w:t>
            </w:r>
          </w:p>
        </w:tc>
        <w:tc>
          <w:tcPr>
            <w:tcW w:w="20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A408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北京首农食品集团有限公司</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5C0A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300</w:t>
            </w:r>
          </w:p>
        </w:tc>
        <w:tc>
          <w:tcPr>
            <w:tcW w:w="20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63CB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叶菜类、根茎类、茄果类、豆类等</w:t>
            </w:r>
          </w:p>
        </w:tc>
      </w:tr>
      <w:tr w14:paraId="27E7C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A945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2</w:t>
            </w:r>
          </w:p>
        </w:tc>
        <w:tc>
          <w:tcPr>
            <w:tcW w:w="20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779B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上海光明食品（集团）有限公司</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6C76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250</w:t>
            </w:r>
          </w:p>
        </w:tc>
        <w:tc>
          <w:tcPr>
            <w:tcW w:w="20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9059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叶菜类、瓜果类、菌菇类等</w:t>
            </w:r>
          </w:p>
        </w:tc>
      </w:tr>
      <w:tr w14:paraId="7BFC2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7080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3</w:t>
            </w:r>
          </w:p>
        </w:tc>
        <w:tc>
          <w:tcPr>
            <w:tcW w:w="20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1B8C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山东寿光蔬菜产业控股集团有限公司</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42F9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200</w:t>
            </w:r>
          </w:p>
        </w:tc>
        <w:tc>
          <w:tcPr>
            <w:tcW w:w="20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DBC9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方便面、挂面、鲜湿面等</w:t>
            </w:r>
          </w:p>
        </w:tc>
      </w:tr>
      <w:tr w14:paraId="25CCB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0D82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4</w:t>
            </w:r>
          </w:p>
        </w:tc>
        <w:tc>
          <w:tcPr>
            <w:tcW w:w="20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4BDA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广东温氏食品集团股份有限公司</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88D2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150</w:t>
            </w:r>
          </w:p>
        </w:tc>
        <w:tc>
          <w:tcPr>
            <w:tcW w:w="20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841B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叶菜类、根茎类、瓜果类等</w:t>
            </w:r>
          </w:p>
        </w:tc>
      </w:tr>
      <w:tr w14:paraId="7E50D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70F8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5</w:t>
            </w:r>
          </w:p>
        </w:tc>
        <w:tc>
          <w:tcPr>
            <w:tcW w:w="20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7185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中粮集团有限公司</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2056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120</w:t>
            </w:r>
          </w:p>
        </w:tc>
        <w:tc>
          <w:tcPr>
            <w:tcW w:w="20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E436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叶菜类、根茎类、豆类、瓜果类等</w:t>
            </w:r>
          </w:p>
        </w:tc>
      </w:tr>
      <w:tr w14:paraId="797D3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F756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6</w:t>
            </w:r>
          </w:p>
        </w:tc>
        <w:tc>
          <w:tcPr>
            <w:tcW w:w="20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FA1A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河南万邦国际农产品物流城</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2DE1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100</w:t>
            </w:r>
          </w:p>
        </w:tc>
        <w:tc>
          <w:tcPr>
            <w:tcW w:w="20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2A9A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各类新鲜蔬菜、特色蔬菜等</w:t>
            </w:r>
          </w:p>
        </w:tc>
      </w:tr>
      <w:tr w14:paraId="64923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F275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7</w:t>
            </w:r>
          </w:p>
        </w:tc>
        <w:tc>
          <w:tcPr>
            <w:tcW w:w="20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8F56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新疆绿洲宏业农业科技发展有限公司</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CD2C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80</w:t>
            </w:r>
          </w:p>
        </w:tc>
        <w:tc>
          <w:tcPr>
            <w:tcW w:w="20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7904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番茄、辣椒、洋葱等</w:t>
            </w:r>
          </w:p>
        </w:tc>
      </w:tr>
      <w:tr w14:paraId="41F51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90B1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8</w:t>
            </w:r>
          </w:p>
        </w:tc>
        <w:tc>
          <w:tcPr>
            <w:tcW w:w="20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E2E7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云南绿大地生物科技股份有限公司</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B048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60</w:t>
            </w:r>
          </w:p>
        </w:tc>
        <w:tc>
          <w:tcPr>
            <w:tcW w:w="20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FE9B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叶菜类、根茎类、豆类等</w:t>
            </w:r>
          </w:p>
        </w:tc>
      </w:tr>
      <w:tr w14:paraId="3B74D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75CA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9</w:t>
            </w:r>
          </w:p>
        </w:tc>
        <w:tc>
          <w:tcPr>
            <w:tcW w:w="20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6CDF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江苏苏果超市有限公司</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DEC8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50</w:t>
            </w:r>
          </w:p>
        </w:tc>
        <w:tc>
          <w:tcPr>
            <w:tcW w:w="20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38A4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各类新鲜蔬菜、有机蔬菜等</w:t>
            </w:r>
          </w:p>
        </w:tc>
      </w:tr>
      <w:tr w14:paraId="336E2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C82B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10</w:t>
            </w:r>
          </w:p>
        </w:tc>
        <w:tc>
          <w:tcPr>
            <w:tcW w:w="20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8D7A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浙江绿沃川农业科技有限公司</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24CB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40</w:t>
            </w:r>
          </w:p>
        </w:tc>
        <w:tc>
          <w:tcPr>
            <w:tcW w:w="20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6BA6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叶菜类、根茎类、菌菇类等</w:t>
            </w:r>
          </w:p>
        </w:tc>
      </w:tr>
    </w:tbl>
    <w:p w14:paraId="67270125">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jc w:val="left"/>
        <w:textAlignment w:val="auto"/>
        <w:rPr>
          <w:rFonts w:hint="eastAsia" w:ascii="仿宋" w:hAnsi="仿宋" w:cs="仿宋"/>
          <w:b/>
          <w:bCs/>
          <w:snapToGrid/>
          <w:lang w:val="en-US" w:eastAsia="zh-CN"/>
        </w:rPr>
      </w:pPr>
      <w:r>
        <w:rPr>
          <w:rFonts w:hint="eastAsia" w:ascii="仿宋" w:hAnsi="仿宋" w:eastAsia="仿宋" w:cs="仿宋"/>
          <w:b/>
          <w:bCs/>
          <w:snapToGrid/>
          <w:sz w:val="24"/>
          <w:szCs w:val="24"/>
          <w:lang w:val="en-US" w:eastAsia="zh-CN"/>
        </w:rPr>
        <w:t>备注：数据来源于网络</w:t>
      </w:r>
    </w:p>
    <w:p w14:paraId="545710B7">
      <w:pPr>
        <w:ind w:firstLine="602"/>
        <w:rPr>
          <w:rFonts w:hint="eastAsia" w:ascii="仿宋" w:hAnsi="仿宋" w:cs="仿宋"/>
          <w:b/>
          <w:bCs/>
          <w:snapToGrid/>
          <w:lang w:val="en-US" w:eastAsia="zh-CN"/>
        </w:rPr>
      </w:pPr>
      <w:r>
        <w:rPr>
          <w:rFonts w:hint="eastAsia" w:ascii="Times New Roman" w:hAnsi="Times New Roman"/>
          <w:snapToGrid/>
          <w:kern w:val="2"/>
          <w:szCs w:val="28"/>
          <w:lang w:val="en-US" w:eastAsia="zh-CN"/>
        </w:rPr>
        <w:t>近年来，桃江县通过集中培育优良品种、采用商业化手段推广，以及加强农业绿色发展等措施，有效提高了蔬菜生产水平。</w:t>
      </w:r>
      <w:r>
        <w:rPr>
          <w:rFonts w:hint="eastAsia" w:ascii="Times New Roman" w:hAnsi="Times New Roman" w:eastAsia="仿宋_GB2312" w:cs="Times New Roman"/>
          <w:sz w:val="32"/>
          <w:szCs w:val="32"/>
          <w:lang w:val="en-US" w:eastAsia="zh-CN"/>
        </w:rPr>
        <w:t>2023年，全县</w:t>
      </w:r>
      <w:r>
        <w:rPr>
          <w:rFonts w:hint="eastAsia" w:ascii="Times New Roman" w:hAnsi="Times New Roman"/>
          <w:snapToGrid/>
          <w:kern w:val="2"/>
          <w:szCs w:val="28"/>
          <w:lang w:val="en-US" w:eastAsia="zh-CN"/>
        </w:rPr>
        <w:t>蔬菜播种面积30.7万亩，产量72.7万吨</w:t>
      </w:r>
      <w:r>
        <w:rPr>
          <w:rFonts w:hint="eastAsia" w:ascii="Times New Roman" w:hAnsi="Times New Roman" w:cs="Times New Roman"/>
        </w:rPr>
        <w:t>，新建设施蔬菜基地</w:t>
      </w:r>
      <w:r>
        <w:rPr>
          <w:rFonts w:hint="eastAsia" w:ascii="Times New Roman" w:hAnsi="Times New Roman" w:cs="Times New Roman"/>
          <w:lang w:val="en-US" w:eastAsia="zh-CN"/>
        </w:rPr>
        <w:t>500</w:t>
      </w:r>
      <w:r>
        <w:rPr>
          <w:rFonts w:hint="eastAsia" w:ascii="Times New Roman" w:hAnsi="Times New Roman" w:cs="Times New Roman"/>
        </w:rPr>
        <w:t>亩</w:t>
      </w:r>
      <w:r>
        <w:rPr>
          <w:rFonts w:hint="eastAsia" w:ascii="Times New Roman" w:hAnsi="Times New Roman" w:cs="Times New Roman"/>
          <w:lang w:eastAsia="zh-CN"/>
        </w:rPr>
        <w:t>，</w:t>
      </w:r>
      <w:r>
        <w:rPr>
          <w:rFonts w:hint="eastAsia" w:ascii="Times New Roman" w:hAnsi="Times New Roman"/>
          <w:snapToGrid/>
          <w:kern w:val="2"/>
          <w:szCs w:val="28"/>
          <w:lang w:eastAsia="zh-CN"/>
        </w:rPr>
        <w:t>蔬菜专业合作社</w:t>
      </w:r>
      <w:r>
        <w:rPr>
          <w:rFonts w:hint="eastAsia" w:ascii="Times New Roman" w:hAnsi="Times New Roman"/>
          <w:snapToGrid/>
          <w:kern w:val="2"/>
          <w:szCs w:val="28"/>
          <w:lang w:val="en-US" w:eastAsia="zh-CN"/>
        </w:rPr>
        <w:t>28</w:t>
      </w:r>
      <w:r>
        <w:rPr>
          <w:rFonts w:hint="eastAsia" w:ascii="Times New Roman" w:hAnsi="Times New Roman"/>
          <w:snapToGrid/>
          <w:kern w:val="2"/>
          <w:szCs w:val="28"/>
          <w:lang w:eastAsia="zh-CN"/>
        </w:rPr>
        <w:t>个，商品蔬菜基地面积</w:t>
      </w:r>
      <w:r>
        <w:rPr>
          <w:rFonts w:hint="eastAsia" w:ascii="Times New Roman" w:hAnsi="Times New Roman"/>
          <w:snapToGrid/>
          <w:kern w:val="2"/>
          <w:szCs w:val="28"/>
          <w:lang w:val="en-US" w:eastAsia="zh-CN"/>
        </w:rPr>
        <w:t>超过5万亩。省级果蔬产业化龙头企业1家，市级果蔬产业化龙头企业6家，初步形成了育种、种植、销售、加工一体的产业链。2023年，桃江县创建省级农业科技人员“揭榜挂帅”领办“大豆玉米带状复合种植”示范片2个，“菜篮子”持续稳产保供，农产品质量安全监测全年“在线”。</w:t>
      </w:r>
    </w:p>
    <w:p w14:paraId="342CD99A">
      <w:pPr>
        <w:ind w:left="0" w:leftChars="0" w:firstLine="602" w:firstLineChars="200"/>
        <w:rPr>
          <w:rFonts w:hint="eastAsia" w:ascii="仿宋" w:hAnsi="仿宋" w:eastAsia="仿宋" w:cs="仿宋"/>
          <w:b/>
          <w:bCs/>
          <w:snapToGrid/>
          <w:lang w:val="en-US" w:eastAsia="zh-CN"/>
        </w:rPr>
      </w:pPr>
      <w:r>
        <w:rPr>
          <w:rFonts w:hint="eastAsia" w:ascii="仿宋" w:hAnsi="仿宋" w:cs="仿宋"/>
          <w:b/>
          <w:bCs/>
          <w:snapToGrid/>
          <w:lang w:val="en-US" w:eastAsia="zh-CN"/>
        </w:rPr>
        <w:t>3</w:t>
      </w:r>
      <w:r>
        <w:rPr>
          <w:rFonts w:hint="eastAsia" w:ascii="仿宋" w:hAnsi="仿宋" w:eastAsia="仿宋" w:cs="仿宋"/>
          <w:b/>
          <w:bCs/>
          <w:snapToGrid/>
          <w:lang w:val="en-US" w:eastAsia="zh-CN"/>
        </w:rPr>
        <w:t>.面条产业</w:t>
      </w:r>
    </w:p>
    <w:p w14:paraId="43C6D868">
      <w:pPr>
        <w:ind w:left="0" w:leftChars="0" w:firstLine="600" w:firstLineChars="200"/>
        <w:rPr>
          <w:rFonts w:hint="eastAsia" w:ascii="Times New Roman" w:hAnsi="Times New Roman"/>
          <w:snapToGrid/>
          <w:lang w:eastAsia="zh-CN"/>
        </w:rPr>
      </w:pPr>
      <w:r>
        <w:rPr>
          <w:rFonts w:hint="eastAsia" w:ascii="Times New Roman" w:hAnsi="Times New Roman"/>
          <w:snapToGrid/>
          <w:lang w:eastAsia="zh-CN"/>
        </w:rPr>
        <w:t>数据显示，中国面条行业市场规模呈现稳步上涨态势，从2013年的1136.9亿元上涨至202</w:t>
      </w:r>
      <w:r>
        <w:rPr>
          <w:rFonts w:hint="eastAsia" w:ascii="Times New Roman" w:hAnsi="Times New Roman"/>
          <w:snapToGrid/>
          <w:lang w:val="en-US" w:eastAsia="zh-CN"/>
        </w:rPr>
        <w:t>3</w:t>
      </w:r>
      <w:r>
        <w:rPr>
          <w:rFonts w:hint="eastAsia" w:ascii="Times New Roman" w:hAnsi="Times New Roman"/>
          <w:snapToGrid/>
          <w:lang w:eastAsia="zh-CN"/>
        </w:rPr>
        <w:t>年的</w:t>
      </w:r>
      <w:r>
        <w:rPr>
          <w:rFonts w:hint="eastAsia" w:ascii="Times New Roman" w:hAnsi="Times New Roman"/>
          <w:snapToGrid/>
          <w:lang w:val="en-US" w:eastAsia="zh-CN"/>
        </w:rPr>
        <w:t>1628.6</w:t>
      </w:r>
      <w:r>
        <w:rPr>
          <w:rFonts w:hint="eastAsia" w:ascii="Times New Roman" w:hAnsi="Times New Roman"/>
          <w:snapToGrid/>
          <w:lang w:eastAsia="zh-CN"/>
        </w:rPr>
        <w:t>亿元，同比上涨3.05%。从市场结构来看，方便面占比最重，占比为43.49%；其次为挂面，占比为39.01%。</w:t>
      </w:r>
      <w:r>
        <w:rPr>
          <w:rFonts w:hint="eastAsia" w:ascii="Times New Roman" w:hAnsi="Times New Roman"/>
          <w:snapToGrid/>
          <w:lang w:val="en-US" w:eastAsia="zh-CN"/>
        </w:rPr>
        <w:t>从市场需求来看</w:t>
      </w:r>
      <w:r>
        <w:rPr>
          <w:rFonts w:hint="eastAsia" w:ascii="Times New Roman" w:hAnsi="Times New Roman"/>
          <w:snapToGrid/>
          <w:lang w:eastAsia="zh-CN"/>
        </w:rPr>
        <w:t>，202</w:t>
      </w:r>
      <w:r>
        <w:rPr>
          <w:rFonts w:hint="eastAsia" w:ascii="Times New Roman" w:hAnsi="Times New Roman"/>
          <w:snapToGrid/>
          <w:lang w:val="en-US" w:eastAsia="zh-CN"/>
        </w:rPr>
        <w:t>3</w:t>
      </w:r>
      <w:r>
        <w:rPr>
          <w:rFonts w:hint="eastAsia" w:ascii="Times New Roman" w:hAnsi="Times New Roman"/>
          <w:snapToGrid/>
          <w:lang w:eastAsia="zh-CN"/>
        </w:rPr>
        <w:t>年中国冷冻面行业需求量约为1</w:t>
      </w:r>
      <w:r>
        <w:rPr>
          <w:rFonts w:hint="eastAsia" w:ascii="Times New Roman" w:hAnsi="Times New Roman"/>
          <w:snapToGrid/>
          <w:lang w:val="en-US" w:eastAsia="zh-CN"/>
        </w:rPr>
        <w:t>87.2</w:t>
      </w:r>
      <w:r>
        <w:rPr>
          <w:rFonts w:hint="eastAsia" w:ascii="Times New Roman" w:hAnsi="Times New Roman"/>
          <w:snapToGrid/>
          <w:lang w:eastAsia="zh-CN"/>
        </w:rPr>
        <w:t>万吨，方便面需求量约为</w:t>
      </w:r>
      <w:r>
        <w:rPr>
          <w:rFonts w:hint="eastAsia" w:ascii="Times New Roman" w:hAnsi="Times New Roman"/>
          <w:snapToGrid/>
          <w:lang w:val="en-US" w:eastAsia="zh-CN"/>
        </w:rPr>
        <w:t>457.4</w:t>
      </w:r>
      <w:r>
        <w:rPr>
          <w:rFonts w:hint="eastAsia" w:ascii="Times New Roman" w:hAnsi="Times New Roman"/>
          <w:snapToGrid/>
          <w:lang w:eastAsia="zh-CN"/>
        </w:rPr>
        <w:t>亿包，挂面需求量约为</w:t>
      </w:r>
      <w:r>
        <w:rPr>
          <w:rFonts w:hint="eastAsia" w:ascii="Times New Roman" w:hAnsi="Times New Roman"/>
          <w:snapToGrid/>
          <w:lang w:val="en-US" w:eastAsia="zh-CN"/>
        </w:rPr>
        <w:t>487.7</w:t>
      </w:r>
      <w:r>
        <w:rPr>
          <w:rFonts w:hint="eastAsia" w:ascii="Times New Roman" w:hAnsi="Times New Roman"/>
          <w:snapToGrid/>
          <w:lang w:eastAsia="zh-CN"/>
        </w:rPr>
        <w:t>万吨。从消费</w:t>
      </w:r>
      <w:r>
        <w:rPr>
          <w:rFonts w:hint="eastAsia" w:ascii="Times New Roman" w:hAnsi="Times New Roman"/>
          <w:snapToGrid/>
          <w:lang w:val="en-US" w:eastAsia="zh-CN"/>
        </w:rPr>
        <w:t>方式来</w:t>
      </w:r>
      <w:r>
        <w:rPr>
          <w:rFonts w:hint="eastAsia" w:ascii="Times New Roman" w:hAnsi="Times New Roman"/>
          <w:snapToGrid/>
          <w:lang w:eastAsia="zh-CN"/>
        </w:rPr>
        <w:t>看，作为主食的面条，根植于我国传统饮食文化，并通过现代技术适应健康消费趋势，受众群体广泛，由于历史原因，北方人均面条消费量相比南方明显更高。随着各地区饮食文化的深入交流，现在面条消费的地域分布特征正在逐渐</w:t>
      </w:r>
      <w:r>
        <w:rPr>
          <w:rFonts w:hint="eastAsia" w:ascii="Times New Roman" w:hAnsi="Times New Roman"/>
          <w:snapToGrid/>
          <w:lang w:val="en-US" w:eastAsia="zh-CN"/>
        </w:rPr>
        <w:t>淡化</w:t>
      </w:r>
      <w:r>
        <w:rPr>
          <w:rFonts w:hint="eastAsia" w:ascii="Times New Roman" w:hAnsi="Times New Roman"/>
          <w:snapToGrid/>
          <w:lang w:eastAsia="zh-CN"/>
        </w:rPr>
        <w:t>。华东地区占比最重，占比为28.40%；其次为华北地区，占比为23.30%。</w:t>
      </w:r>
    </w:p>
    <w:p w14:paraId="5A7057E6">
      <w:pPr>
        <w:ind w:firstLine="0" w:firstLineChars="0"/>
        <w:jc w:val="center"/>
        <w:rPr>
          <w:rFonts w:hint="eastAsia" w:ascii="Times New Roman" w:hAnsi="Times New Roman"/>
          <w:snapToGrid/>
          <w:lang w:eastAsia="zh-CN"/>
        </w:rPr>
      </w:pPr>
      <w:r>
        <w:rPr>
          <w:rFonts w:ascii="Times New Roman" w:hAnsi="Times New Roman" w:eastAsia="黑体" w:cs="Times New Roman"/>
          <w:color w:val="000000" w:themeColor="text1"/>
          <w:sz w:val="24"/>
          <w14:textFill>
            <w14:solidFill>
              <w14:schemeClr w14:val="tx1"/>
            </w14:solidFill>
          </w14:textFill>
        </w:rPr>
        <w:t>图</w:t>
      </w:r>
      <w:r>
        <w:rPr>
          <w:rFonts w:hint="eastAsia" w:ascii="Times New Roman" w:hAnsi="Times New Roman" w:eastAsia="黑体" w:cs="Times New Roman"/>
          <w:color w:val="000000" w:themeColor="text1"/>
          <w:sz w:val="24"/>
          <w:lang w:val="en-US" w:eastAsia="zh-CN"/>
          <w14:textFill>
            <w14:solidFill>
              <w14:schemeClr w14:val="tx1"/>
            </w14:solidFill>
          </w14:textFill>
        </w:rPr>
        <w:t>4</w:t>
      </w:r>
      <w:r>
        <w:rPr>
          <w:rFonts w:ascii="Times New Roman" w:hAnsi="Times New Roman" w:eastAsia="黑体" w:cs="Times New Roman"/>
          <w:color w:val="000000" w:themeColor="text1"/>
          <w:sz w:val="24"/>
          <w14:textFill>
            <w14:solidFill>
              <w14:schemeClr w14:val="tx1"/>
            </w14:solidFill>
          </w14:textFill>
        </w:rPr>
        <w:t>.</w:t>
      </w:r>
      <w:r>
        <w:rPr>
          <w:rFonts w:hint="eastAsia" w:ascii="Times New Roman" w:hAnsi="Times New Roman" w:eastAsia="黑体" w:cs="Times New Roman"/>
          <w:color w:val="000000" w:themeColor="text1"/>
          <w:sz w:val="24"/>
          <w:lang w:val="en-US" w:eastAsia="zh-CN"/>
          <w14:textFill>
            <w14:solidFill>
              <w14:schemeClr w14:val="tx1"/>
            </w14:solidFill>
          </w14:textFill>
        </w:rPr>
        <w:t>2</w:t>
      </w:r>
      <w:r>
        <w:rPr>
          <w:rFonts w:ascii="Times New Roman" w:hAnsi="Times New Roman" w:eastAsia="黑体" w:cs="Times New Roman"/>
          <w:color w:val="000000" w:themeColor="text1"/>
          <w:sz w:val="24"/>
          <w14:textFill>
            <w14:solidFill>
              <w14:schemeClr w14:val="tx1"/>
            </w14:solidFill>
          </w14:textFill>
        </w:rPr>
        <w:t>-</w:t>
      </w:r>
      <w:r>
        <w:rPr>
          <w:rFonts w:hint="eastAsia" w:ascii="Times New Roman" w:hAnsi="Times New Roman" w:eastAsia="黑体" w:cs="Times New Roman"/>
          <w:color w:val="000000" w:themeColor="text1"/>
          <w:sz w:val="24"/>
          <w:lang w:val="en-US" w:eastAsia="zh-CN"/>
          <w14:textFill>
            <w14:solidFill>
              <w14:schemeClr w14:val="tx1"/>
            </w14:solidFill>
          </w14:textFill>
        </w:rPr>
        <w:t>3</w:t>
      </w:r>
      <w:r>
        <w:rPr>
          <w:rFonts w:ascii="Times New Roman" w:hAnsi="Times New Roman" w:eastAsia="黑体" w:cs="Times New Roman"/>
          <w:color w:val="000000" w:themeColor="text1"/>
          <w:sz w:val="24"/>
          <w14:textFill>
            <w14:solidFill>
              <w14:schemeClr w14:val="tx1"/>
            </w14:solidFill>
          </w14:textFill>
        </w:rPr>
        <w:t xml:space="preserve"> </w:t>
      </w:r>
      <w:r>
        <w:rPr>
          <w:rFonts w:hint="eastAsia" w:ascii="Times New Roman" w:hAnsi="Times New Roman" w:eastAsia="黑体" w:cs="Times New Roman"/>
          <w:color w:val="000000" w:themeColor="text1"/>
          <w:sz w:val="24"/>
          <w:lang w:val="en-US" w:eastAsia="zh-CN"/>
          <w14:textFill>
            <w14:solidFill>
              <w14:schemeClr w14:val="tx1"/>
            </w14:solidFill>
          </w14:textFill>
        </w:rPr>
        <w:t>全国面条（食品）龙头企业</w:t>
      </w:r>
    </w:p>
    <w:tbl>
      <w:tblPr>
        <w:tblStyle w:val="34"/>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79"/>
        <w:gridCol w:w="3203"/>
        <w:gridCol w:w="1634"/>
        <w:gridCol w:w="3010"/>
      </w:tblGrid>
      <w:tr w14:paraId="273A0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blHeader/>
          <w:jc w:val="center"/>
        </w:trPr>
        <w:tc>
          <w:tcPr>
            <w:tcW w:w="398"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5F52D4A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snapToGrid w:val="0"/>
                <w:color w:val="000000"/>
                <w:kern w:val="0"/>
                <w:sz w:val="21"/>
                <w:szCs w:val="21"/>
                <w:u w:val="none"/>
                <w:lang w:val="en-US" w:eastAsia="zh-CN" w:bidi="ar"/>
              </w:rPr>
              <w:t>序号</w:t>
            </w:r>
          </w:p>
        </w:tc>
        <w:tc>
          <w:tcPr>
            <w:tcW w:w="1878"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265798D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snapToGrid w:val="0"/>
                <w:color w:val="000000"/>
                <w:kern w:val="0"/>
                <w:sz w:val="21"/>
                <w:szCs w:val="21"/>
                <w:u w:val="none"/>
                <w:lang w:val="en-US" w:eastAsia="zh-CN" w:bidi="ar"/>
              </w:rPr>
              <w:t>企业</w:t>
            </w:r>
          </w:p>
        </w:tc>
        <w:tc>
          <w:tcPr>
            <w:tcW w:w="958"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3BAD6BF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snapToGrid w:val="0"/>
                <w:color w:val="000000"/>
                <w:kern w:val="0"/>
                <w:sz w:val="21"/>
                <w:szCs w:val="21"/>
                <w:u w:val="none"/>
                <w:lang w:val="en-US" w:eastAsia="zh-CN" w:bidi="ar"/>
              </w:rPr>
              <w:t>销量（亿包）</w:t>
            </w:r>
          </w:p>
        </w:tc>
        <w:tc>
          <w:tcPr>
            <w:tcW w:w="1764"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482BE84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snapToGrid w:val="0"/>
                <w:color w:val="000000"/>
                <w:kern w:val="0"/>
                <w:sz w:val="21"/>
                <w:szCs w:val="21"/>
                <w:u w:val="none"/>
                <w:lang w:val="en-US" w:eastAsia="zh-CN" w:bidi="ar"/>
              </w:rPr>
              <w:t>主要</w:t>
            </w:r>
            <w:r>
              <w:rPr>
                <w:rFonts w:hint="eastAsia" w:ascii="Times New Roman" w:hAnsi="Times New Roman" w:cs="Times New Roman"/>
                <w:b/>
                <w:bCs/>
                <w:i w:val="0"/>
                <w:iCs w:val="0"/>
                <w:snapToGrid w:val="0"/>
                <w:color w:val="000000"/>
                <w:kern w:val="0"/>
                <w:sz w:val="21"/>
                <w:szCs w:val="21"/>
                <w:u w:val="none"/>
                <w:lang w:val="en-US" w:eastAsia="zh-CN" w:bidi="ar"/>
              </w:rPr>
              <w:t>品类</w:t>
            </w:r>
          </w:p>
        </w:tc>
      </w:tr>
      <w:tr w14:paraId="7CB42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608C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1</w:t>
            </w:r>
          </w:p>
        </w:tc>
        <w:tc>
          <w:tcPr>
            <w:tcW w:w="1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63AC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康师傅控股有限公司</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0181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120</w:t>
            </w:r>
          </w:p>
        </w:tc>
        <w:tc>
          <w:tcPr>
            <w:tcW w:w="1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732E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方便面、挂面、鲜切面等</w:t>
            </w:r>
          </w:p>
        </w:tc>
      </w:tr>
      <w:tr w14:paraId="41701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9A3D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2</w:t>
            </w:r>
          </w:p>
        </w:tc>
        <w:tc>
          <w:tcPr>
            <w:tcW w:w="1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3399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统一企业（中国）投资有限公司</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B38D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90</w:t>
            </w:r>
          </w:p>
        </w:tc>
        <w:tc>
          <w:tcPr>
            <w:tcW w:w="1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7A0B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方便面、挂面、速食面等</w:t>
            </w:r>
          </w:p>
        </w:tc>
      </w:tr>
      <w:tr w14:paraId="385BA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69AF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3</w:t>
            </w:r>
          </w:p>
        </w:tc>
        <w:tc>
          <w:tcPr>
            <w:tcW w:w="1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CDCF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今麦郎食品有限公司</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AC19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80</w:t>
            </w:r>
          </w:p>
        </w:tc>
        <w:tc>
          <w:tcPr>
            <w:tcW w:w="1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A891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方便面、挂面、鲜湿面等</w:t>
            </w:r>
          </w:p>
        </w:tc>
      </w:tr>
      <w:tr w14:paraId="29D4D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C333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4</w:t>
            </w:r>
          </w:p>
        </w:tc>
        <w:tc>
          <w:tcPr>
            <w:tcW w:w="1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782B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白象食品集团</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932B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40</w:t>
            </w:r>
          </w:p>
        </w:tc>
        <w:tc>
          <w:tcPr>
            <w:tcW w:w="1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2807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方便面、挂面、粉丝等</w:t>
            </w:r>
          </w:p>
        </w:tc>
      </w:tr>
      <w:tr w14:paraId="65D20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8A45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5</w:t>
            </w:r>
          </w:p>
        </w:tc>
        <w:tc>
          <w:tcPr>
            <w:tcW w:w="1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D9DD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金沙河面业集团</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3ECB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35</w:t>
            </w:r>
          </w:p>
        </w:tc>
        <w:tc>
          <w:tcPr>
            <w:tcW w:w="1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A8A1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挂面、鲜切面、全麦面等</w:t>
            </w:r>
          </w:p>
        </w:tc>
      </w:tr>
      <w:tr w14:paraId="30731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581E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6</w:t>
            </w:r>
          </w:p>
        </w:tc>
        <w:tc>
          <w:tcPr>
            <w:tcW w:w="1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67E0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克明面业股份有限公司</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CC54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25</w:t>
            </w:r>
          </w:p>
        </w:tc>
        <w:tc>
          <w:tcPr>
            <w:tcW w:w="1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6307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挂面、鲜切面、乌冬面等</w:t>
            </w:r>
          </w:p>
        </w:tc>
      </w:tr>
      <w:tr w14:paraId="16A07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451F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7</w:t>
            </w:r>
          </w:p>
        </w:tc>
        <w:tc>
          <w:tcPr>
            <w:tcW w:w="1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272F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五得利面粉集团有限公司</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B603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20</w:t>
            </w:r>
          </w:p>
        </w:tc>
        <w:tc>
          <w:tcPr>
            <w:tcW w:w="1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639D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挂面、鲜切面、全麦面等</w:t>
            </w:r>
          </w:p>
        </w:tc>
      </w:tr>
      <w:tr w14:paraId="36E52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4DF5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8</w:t>
            </w:r>
          </w:p>
        </w:tc>
        <w:tc>
          <w:tcPr>
            <w:tcW w:w="1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3379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思念食品有限公司</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F7C3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15</w:t>
            </w:r>
          </w:p>
        </w:tc>
        <w:tc>
          <w:tcPr>
            <w:tcW w:w="1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748D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速冻面点、速冻面条等</w:t>
            </w:r>
          </w:p>
        </w:tc>
      </w:tr>
      <w:tr w14:paraId="3F86E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1EB2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9</w:t>
            </w:r>
          </w:p>
        </w:tc>
        <w:tc>
          <w:tcPr>
            <w:tcW w:w="1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56D4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金锣集团</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8FB8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10</w:t>
            </w:r>
          </w:p>
        </w:tc>
        <w:tc>
          <w:tcPr>
            <w:tcW w:w="1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A933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方便面、速食面等</w:t>
            </w:r>
          </w:p>
        </w:tc>
      </w:tr>
      <w:tr w14:paraId="5F234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A89F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10</w:t>
            </w:r>
          </w:p>
        </w:tc>
        <w:tc>
          <w:tcPr>
            <w:tcW w:w="1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D73B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山东龙大美食股份有限公司</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0713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8</w:t>
            </w:r>
          </w:p>
        </w:tc>
        <w:tc>
          <w:tcPr>
            <w:tcW w:w="1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E9D9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snapToGrid w:val="0"/>
                <w:color w:val="000000"/>
                <w:kern w:val="0"/>
                <w:sz w:val="21"/>
                <w:szCs w:val="21"/>
                <w:u w:val="none"/>
                <w:lang w:val="en-US" w:eastAsia="zh-CN" w:bidi="ar"/>
              </w:rPr>
              <w:t>鲜切面、乌冬面、意面等</w:t>
            </w:r>
          </w:p>
        </w:tc>
      </w:tr>
    </w:tbl>
    <w:p w14:paraId="4073EF81">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jc w:val="left"/>
        <w:textAlignment w:val="auto"/>
        <w:rPr>
          <w:rFonts w:hint="eastAsia" w:ascii="Times New Roman" w:hAnsi="Times New Roman"/>
          <w:snapToGrid/>
          <w:lang w:eastAsia="zh-CN"/>
        </w:rPr>
      </w:pPr>
      <w:r>
        <w:rPr>
          <w:rFonts w:hint="eastAsia" w:ascii="仿宋" w:hAnsi="仿宋" w:eastAsia="仿宋" w:cs="仿宋"/>
          <w:b/>
          <w:bCs/>
          <w:snapToGrid/>
          <w:sz w:val="24"/>
          <w:szCs w:val="24"/>
          <w:lang w:val="en-US" w:eastAsia="zh-CN"/>
        </w:rPr>
        <w:t>备注：数据来源于网络</w:t>
      </w:r>
    </w:p>
    <w:p w14:paraId="344FD446">
      <w:pPr>
        <w:ind w:left="0" w:leftChars="0" w:firstLine="600" w:firstLineChars="200"/>
        <w:rPr>
          <w:rFonts w:hint="eastAsia" w:ascii="Times New Roman" w:hAnsi="Times New Roman"/>
          <w:snapToGrid/>
          <w:lang w:val="en-US" w:eastAsia="zh-CN"/>
        </w:rPr>
      </w:pPr>
      <w:r>
        <w:rPr>
          <w:rFonts w:hint="eastAsia" w:ascii="Times New Roman" w:hAnsi="Times New Roman"/>
          <w:snapToGrid/>
          <w:lang w:val="en-US" w:eastAsia="zh-CN"/>
        </w:rPr>
        <w:t>桃江</w:t>
      </w:r>
      <w:r>
        <w:rPr>
          <w:rFonts w:hint="eastAsia" w:ascii="Times New Roman" w:hAnsi="Times New Roman"/>
          <w:snapToGrid/>
          <w:lang w:eastAsia="zh-CN"/>
        </w:rPr>
        <w:t>修山面至今已有300多年的历史，其产自桃江境内修山镇，采用古法制作。据《桃江县志》记载：“（修山面）始于清代，由修山钟氏所创，取本地山泉水和制而成，由于水质纯美，面条柔软而耐煮，色、香、味俱佳。”因清道光年间被时任两江总督陶澍（安化人）作为上奉的贡品而声名鹊起，经过历任传承人的继承和发扬，制面传统工艺渐趋完善，呈现出鲜明特质，具有面片油亮光洁、久煮不浑汤、不粘口、回锅如初、飘汤如带、口味幽香等特点，是当地百姓百吃不厌的传统美食。</w:t>
      </w:r>
      <w:r>
        <w:rPr>
          <w:rFonts w:hint="eastAsia" w:ascii="Times New Roman" w:hAnsi="Times New Roman"/>
          <w:snapToGrid/>
          <w:lang w:val="en-US" w:eastAsia="zh-CN"/>
        </w:rPr>
        <w:t>目前，桃江</w:t>
      </w:r>
      <w:r>
        <w:rPr>
          <w:rFonts w:hint="eastAsia" w:ascii="Times New Roman" w:hAnsi="Times New Roman"/>
          <w:snapToGrid/>
          <w:lang w:eastAsia="zh-CN"/>
        </w:rPr>
        <w:t>修山面</w:t>
      </w:r>
      <w:r>
        <w:rPr>
          <w:rFonts w:hint="eastAsia" w:ascii="Times New Roman" w:hAnsi="Times New Roman"/>
          <w:snapToGrid/>
          <w:lang w:val="en-US" w:eastAsia="zh-CN"/>
        </w:rPr>
        <w:t>有3家市级龙头企业</w:t>
      </w:r>
      <w:r>
        <w:rPr>
          <w:rFonts w:hint="eastAsia" w:ascii="Times New Roman" w:hAnsi="Times New Roman"/>
          <w:snapToGrid/>
          <w:lang w:eastAsia="zh-CN"/>
        </w:rPr>
        <w:t>，7家小作坊，年销售</w:t>
      </w:r>
      <w:r>
        <w:rPr>
          <w:rFonts w:hint="eastAsia" w:ascii="Times New Roman" w:hAnsi="Times New Roman"/>
          <w:snapToGrid/>
          <w:lang w:val="en-US" w:eastAsia="zh-CN"/>
        </w:rPr>
        <w:t>量</w:t>
      </w:r>
      <w:r>
        <w:rPr>
          <w:rFonts w:hint="eastAsia" w:ascii="Times New Roman" w:hAnsi="Times New Roman"/>
          <w:snapToGrid/>
          <w:lang w:eastAsia="zh-CN"/>
        </w:rPr>
        <w:t>6000吨左右。益阳市修山钟氏面业有限公司专业制作挂面300年，清道光帝曾钦定为贡面，目前公司年生产能力达1万吨。修山面因使用较好的原料，产品质量较好，消费者认可度高，但产品单一，</w:t>
      </w:r>
      <w:r>
        <w:rPr>
          <w:rFonts w:hint="eastAsia" w:ascii="Times New Roman" w:hAnsi="Times New Roman"/>
          <w:snapToGrid/>
          <w:lang w:val="en-US" w:eastAsia="zh-CN"/>
        </w:rPr>
        <w:t>企业规模较小。</w:t>
      </w:r>
    </w:p>
    <w:p w14:paraId="4B1C9D55">
      <w:pPr>
        <w:ind w:left="0" w:leftChars="0" w:firstLine="602" w:firstLineChars="200"/>
        <w:rPr>
          <w:rFonts w:hint="default" w:ascii="仿宋" w:hAnsi="仿宋" w:cs="仿宋"/>
          <w:b/>
          <w:bCs/>
          <w:snapToGrid/>
          <w:lang w:val="en-US" w:eastAsia="zh-CN"/>
        </w:rPr>
      </w:pPr>
      <w:r>
        <w:rPr>
          <w:rFonts w:hint="eastAsia" w:ascii="仿宋" w:hAnsi="仿宋" w:cs="仿宋"/>
          <w:b/>
          <w:bCs/>
          <w:snapToGrid/>
          <w:lang w:val="en-US" w:eastAsia="zh-CN"/>
        </w:rPr>
        <w:t>4</w:t>
      </w:r>
      <w:r>
        <w:rPr>
          <w:rFonts w:hint="eastAsia" w:ascii="仿宋" w:hAnsi="仿宋" w:eastAsia="仿宋" w:cs="仿宋"/>
          <w:b/>
          <w:bCs/>
          <w:snapToGrid/>
          <w:lang w:val="en-US" w:eastAsia="zh-CN"/>
        </w:rPr>
        <w:t>.</w:t>
      </w:r>
      <w:r>
        <w:rPr>
          <w:rFonts w:hint="eastAsia" w:ascii="仿宋" w:hAnsi="仿宋" w:cs="仿宋"/>
          <w:b/>
          <w:bCs/>
          <w:snapToGrid/>
          <w:lang w:val="en-US" w:eastAsia="zh-CN"/>
        </w:rPr>
        <w:t>生态养殖产业</w:t>
      </w:r>
    </w:p>
    <w:p w14:paraId="1E05C0C6">
      <w:pPr>
        <w:ind w:left="0" w:leftChars="0" w:firstLine="600" w:firstLineChars="200"/>
        <w:rPr>
          <w:rFonts w:hint="default"/>
          <w:lang w:val="en-US" w:eastAsia="zh-CN"/>
        </w:rPr>
      </w:pPr>
      <w:r>
        <w:rPr>
          <w:rFonts w:hint="default"/>
          <w:lang w:val="en-US" w:eastAsia="zh-CN"/>
        </w:rPr>
        <w:t>生态养殖</w:t>
      </w:r>
      <w:r>
        <w:rPr>
          <w:rFonts w:hint="eastAsia"/>
          <w:lang w:val="en-US" w:eastAsia="zh-CN"/>
        </w:rPr>
        <w:t>产业</w:t>
      </w:r>
      <w:r>
        <w:rPr>
          <w:rFonts w:hint="default"/>
          <w:lang w:val="en-US" w:eastAsia="zh-CN"/>
        </w:rPr>
        <w:t>涵盖了多种养殖品种，包括畜禽类</w:t>
      </w:r>
      <w:r>
        <w:rPr>
          <w:rFonts w:hint="eastAsia"/>
          <w:lang w:val="en-US" w:eastAsia="zh-CN"/>
        </w:rPr>
        <w:t>（</w:t>
      </w:r>
      <w:r>
        <w:rPr>
          <w:rFonts w:hint="default"/>
          <w:lang w:val="en-US" w:eastAsia="zh-CN"/>
        </w:rPr>
        <w:t>如生猪、牛、羊、鸡、鸭等</w:t>
      </w:r>
      <w:r>
        <w:rPr>
          <w:rFonts w:hint="eastAsia"/>
          <w:lang w:val="en-US" w:eastAsia="zh-CN"/>
        </w:rPr>
        <w:t>）</w:t>
      </w:r>
      <w:r>
        <w:rPr>
          <w:rFonts w:hint="default"/>
          <w:lang w:val="en-US" w:eastAsia="zh-CN"/>
        </w:rPr>
        <w:t>和水产类</w:t>
      </w:r>
      <w:r>
        <w:rPr>
          <w:rFonts w:hint="eastAsia"/>
          <w:lang w:val="en-US" w:eastAsia="zh-CN"/>
        </w:rPr>
        <w:t>（</w:t>
      </w:r>
      <w:r>
        <w:rPr>
          <w:rFonts w:hint="default"/>
          <w:lang w:val="en-US" w:eastAsia="zh-CN"/>
        </w:rPr>
        <w:t>如鱼、虾、蟹等</w:t>
      </w:r>
      <w:r>
        <w:rPr>
          <w:rFonts w:hint="eastAsia"/>
          <w:lang w:val="en-US" w:eastAsia="zh-CN"/>
        </w:rPr>
        <w:t>）</w:t>
      </w:r>
      <w:r>
        <w:rPr>
          <w:rFonts w:hint="default"/>
          <w:lang w:val="en-US" w:eastAsia="zh-CN"/>
        </w:rPr>
        <w:t>。这些养殖品种在地理分布上具有一定的地域性特征，但总体来看，生态养殖已经在全国范围内得到了广泛的推广和应用。特别是在一些农业资源丰富、生态环境良好的地区，生态养殖行业更是得到了快速发展。</w:t>
      </w:r>
      <w:r>
        <w:rPr>
          <w:rFonts w:hint="eastAsia"/>
          <w:lang w:val="en-US" w:eastAsia="zh-CN"/>
        </w:rPr>
        <w:t>同时，</w:t>
      </w:r>
      <w:r>
        <w:rPr>
          <w:rFonts w:hint="default"/>
          <w:lang w:val="en-US" w:eastAsia="zh-CN"/>
        </w:rPr>
        <w:t>中国居民消费水平的提高带动了生态养殖行业的</w:t>
      </w:r>
      <w:r>
        <w:rPr>
          <w:rFonts w:hint="eastAsia"/>
          <w:lang w:val="en-US" w:eastAsia="zh-CN"/>
        </w:rPr>
        <w:t>快速</w:t>
      </w:r>
      <w:r>
        <w:rPr>
          <w:rFonts w:hint="default"/>
          <w:lang w:val="en-US" w:eastAsia="zh-CN"/>
        </w:rPr>
        <w:t>发展，</w:t>
      </w:r>
      <w:r>
        <w:rPr>
          <w:rFonts w:hint="default" w:ascii="Times New Roman" w:hAnsi="Times New Roman" w:cs="Times New Roman"/>
          <w:lang w:val="en-US" w:eastAsia="zh-CN"/>
        </w:rPr>
        <w:t>中国生态养殖市场规模从2015年的857.5亿元增长至2023年的</w:t>
      </w:r>
      <w:r>
        <w:rPr>
          <w:rFonts w:hint="eastAsia" w:ascii="Times New Roman" w:hAnsi="Times New Roman" w:cs="Times New Roman"/>
          <w:lang w:val="en-US" w:eastAsia="zh-CN"/>
        </w:rPr>
        <w:t>1587.2</w:t>
      </w:r>
      <w:r>
        <w:rPr>
          <w:rFonts w:hint="default" w:ascii="Times New Roman" w:hAnsi="Times New Roman" w:cs="Times New Roman"/>
          <w:lang w:val="en-US" w:eastAsia="zh-CN"/>
        </w:rPr>
        <w:t>亿元</w:t>
      </w:r>
      <w:r>
        <w:rPr>
          <w:rFonts w:hint="eastAsia" w:ascii="Times New Roman" w:hAnsi="Times New Roman" w:cs="Times New Roman"/>
          <w:lang w:val="en-US" w:eastAsia="zh-CN"/>
        </w:rPr>
        <w:t>，预计到2030年市场规模超过2700亿元。</w:t>
      </w:r>
    </w:p>
    <w:p w14:paraId="75B92708">
      <w:pPr>
        <w:ind w:firstLine="0" w:firstLineChars="0"/>
        <w:jc w:val="center"/>
        <w:rPr>
          <w:rFonts w:hint="default"/>
          <w:lang w:val="en-US" w:eastAsia="zh-CN"/>
        </w:rPr>
      </w:pPr>
      <w:r>
        <w:rPr>
          <w:rFonts w:ascii="Times New Roman" w:hAnsi="Times New Roman" w:eastAsia="黑体" w:cs="Times New Roman"/>
          <w:color w:val="000000" w:themeColor="text1"/>
          <w:sz w:val="24"/>
          <w14:textFill>
            <w14:solidFill>
              <w14:schemeClr w14:val="tx1"/>
            </w14:solidFill>
          </w14:textFill>
        </w:rPr>
        <w:t>图</w:t>
      </w:r>
      <w:r>
        <w:rPr>
          <w:rFonts w:hint="eastAsia" w:ascii="Times New Roman" w:hAnsi="Times New Roman" w:eastAsia="黑体" w:cs="Times New Roman"/>
          <w:color w:val="000000" w:themeColor="text1"/>
          <w:sz w:val="24"/>
          <w:lang w:val="en-US" w:eastAsia="zh-CN"/>
          <w14:textFill>
            <w14:solidFill>
              <w14:schemeClr w14:val="tx1"/>
            </w14:solidFill>
          </w14:textFill>
        </w:rPr>
        <w:t>4</w:t>
      </w:r>
      <w:r>
        <w:rPr>
          <w:rFonts w:ascii="Times New Roman" w:hAnsi="Times New Roman" w:eastAsia="黑体" w:cs="Times New Roman"/>
          <w:color w:val="000000" w:themeColor="text1"/>
          <w:sz w:val="24"/>
          <w14:textFill>
            <w14:solidFill>
              <w14:schemeClr w14:val="tx1"/>
            </w14:solidFill>
          </w14:textFill>
        </w:rPr>
        <w:t>.</w:t>
      </w:r>
      <w:r>
        <w:rPr>
          <w:rFonts w:hint="eastAsia" w:ascii="Times New Roman" w:hAnsi="Times New Roman" w:eastAsia="黑体" w:cs="Times New Roman"/>
          <w:color w:val="000000" w:themeColor="text1"/>
          <w:sz w:val="24"/>
          <w:lang w:val="en-US" w:eastAsia="zh-CN"/>
          <w14:textFill>
            <w14:solidFill>
              <w14:schemeClr w14:val="tx1"/>
            </w14:solidFill>
          </w14:textFill>
        </w:rPr>
        <w:t>2</w:t>
      </w:r>
      <w:r>
        <w:rPr>
          <w:rFonts w:ascii="Times New Roman" w:hAnsi="Times New Roman" w:eastAsia="黑体" w:cs="Times New Roman"/>
          <w:color w:val="000000" w:themeColor="text1"/>
          <w:sz w:val="24"/>
          <w14:textFill>
            <w14:solidFill>
              <w14:schemeClr w14:val="tx1"/>
            </w14:solidFill>
          </w14:textFill>
        </w:rPr>
        <w:t>-</w:t>
      </w:r>
      <w:r>
        <w:rPr>
          <w:rFonts w:hint="eastAsia" w:ascii="Times New Roman" w:hAnsi="Times New Roman" w:eastAsia="黑体" w:cs="Times New Roman"/>
          <w:color w:val="000000" w:themeColor="text1"/>
          <w:sz w:val="24"/>
          <w:lang w:val="en-US" w:eastAsia="zh-CN"/>
          <w14:textFill>
            <w14:solidFill>
              <w14:schemeClr w14:val="tx1"/>
            </w14:solidFill>
          </w14:textFill>
        </w:rPr>
        <w:t>4</w:t>
      </w:r>
      <w:r>
        <w:rPr>
          <w:rFonts w:ascii="Times New Roman" w:hAnsi="Times New Roman" w:eastAsia="黑体" w:cs="Times New Roman"/>
          <w:color w:val="000000" w:themeColor="text1"/>
          <w:sz w:val="24"/>
          <w14:textFill>
            <w14:solidFill>
              <w14:schemeClr w14:val="tx1"/>
            </w14:solidFill>
          </w14:textFill>
        </w:rPr>
        <w:t xml:space="preserve"> </w:t>
      </w:r>
      <w:r>
        <w:rPr>
          <w:rFonts w:hint="eastAsia" w:ascii="Times New Roman" w:hAnsi="Times New Roman" w:eastAsia="黑体" w:cs="Times New Roman"/>
          <w:color w:val="000000" w:themeColor="text1"/>
          <w:sz w:val="24"/>
          <w:lang w:val="en-US" w:eastAsia="zh-CN"/>
          <w14:textFill>
            <w14:solidFill>
              <w14:schemeClr w14:val="tx1"/>
            </w14:solidFill>
          </w14:textFill>
        </w:rPr>
        <w:t>中国生态养殖上市企业top10</w:t>
      </w:r>
    </w:p>
    <w:tbl>
      <w:tblPr>
        <w:tblStyle w:val="34"/>
        <w:tblW w:w="88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0"/>
        <w:gridCol w:w="1292"/>
        <w:gridCol w:w="1294"/>
        <w:gridCol w:w="5588"/>
      </w:tblGrid>
      <w:tr w14:paraId="5656F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54" w:hRule="atLeast"/>
          <w:tblHeader/>
          <w:jc w:val="center"/>
        </w:trPr>
        <w:tc>
          <w:tcPr>
            <w:tcW w:w="69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25DFF08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bCs/>
                <w:i w:val="0"/>
                <w:iCs w:val="0"/>
                <w:color w:val="000000"/>
                <w:sz w:val="24"/>
                <w:szCs w:val="24"/>
                <w:u w:val="none"/>
              </w:rPr>
            </w:pPr>
            <w:r>
              <w:rPr>
                <w:rFonts w:hint="default" w:ascii="Times New Roman" w:hAnsi="Times New Roman" w:eastAsia="仿宋" w:cs="Times New Roman"/>
                <w:b/>
                <w:bCs/>
                <w:i w:val="0"/>
                <w:iCs w:val="0"/>
                <w:snapToGrid w:val="0"/>
                <w:color w:val="000000"/>
                <w:kern w:val="0"/>
                <w:sz w:val="24"/>
                <w:szCs w:val="24"/>
                <w:u w:val="none"/>
                <w:lang w:val="en-US" w:eastAsia="zh-CN" w:bidi="ar"/>
              </w:rPr>
              <w:t>序号</w:t>
            </w:r>
          </w:p>
        </w:tc>
        <w:tc>
          <w:tcPr>
            <w:tcW w:w="1292"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2D720B1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bCs/>
                <w:i w:val="0"/>
                <w:iCs w:val="0"/>
                <w:color w:val="000000"/>
                <w:sz w:val="24"/>
                <w:szCs w:val="24"/>
                <w:u w:val="none"/>
              </w:rPr>
            </w:pPr>
            <w:r>
              <w:rPr>
                <w:rFonts w:hint="default" w:ascii="Times New Roman" w:hAnsi="Times New Roman" w:eastAsia="仿宋" w:cs="Times New Roman"/>
                <w:b/>
                <w:bCs/>
                <w:i w:val="0"/>
                <w:iCs w:val="0"/>
                <w:snapToGrid w:val="0"/>
                <w:color w:val="000000"/>
                <w:kern w:val="0"/>
                <w:sz w:val="24"/>
                <w:szCs w:val="24"/>
                <w:u w:val="none"/>
                <w:lang w:val="en-US" w:eastAsia="zh-CN" w:bidi="ar"/>
              </w:rPr>
              <w:t>企业</w:t>
            </w:r>
          </w:p>
        </w:tc>
        <w:tc>
          <w:tcPr>
            <w:tcW w:w="1294"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1D766B0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bCs/>
                <w:i w:val="0"/>
                <w:iCs w:val="0"/>
                <w:color w:val="000000"/>
                <w:sz w:val="24"/>
                <w:szCs w:val="24"/>
                <w:u w:val="none"/>
              </w:rPr>
            </w:pPr>
            <w:r>
              <w:rPr>
                <w:rFonts w:hint="default" w:ascii="Times New Roman" w:hAnsi="Times New Roman" w:eastAsia="仿宋" w:cs="Times New Roman"/>
                <w:b/>
                <w:bCs/>
                <w:i w:val="0"/>
                <w:iCs w:val="0"/>
                <w:snapToGrid w:val="0"/>
                <w:color w:val="000000"/>
                <w:kern w:val="0"/>
                <w:sz w:val="24"/>
                <w:szCs w:val="24"/>
                <w:u w:val="none"/>
                <w:lang w:val="en-US" w:eastAsia="zh-CN" w:bidi="ar"/>
              </w:rPr>
              <w:t>市值</w:t>
            </w:r>
            <w:r>
              <w:rPr>
                <w:rFonts w:hint="eastAsia" w:ascii="Times New Roman" w:hAnsi="Times New Roman" w:cs="Times New Roman"/>
                <w:b/>
                <w:bCs/>
                <w:i w:val="0"/>
                <w:iCs w:val="0"/>
                <w:snapToGrid w:val="0"/>
                <w:color w:val="000000"/>
                <w:kern w:val="0"/>
                <w:sz w:val="24"/>
                <w:szCs w:val="24"/>
                <w:u w:val="none"/>
                <w:lang w:val="en-US" w:eastAsia="zh-CN" w:bidi="ar"/>
              </w:rPr>
              <w:t xml:space="preserve">    </w:t>
            </w:r>
            <w:r>
              <w:rPr>
                <w:rFonts w:hint="default" w:ascii="Times New Roman" w:hAnsi="Times New Roman" w:eastAsia="仿宋" w:cs="Times New Roman"/>
                <w:b/>
                <w:bCs/>
                <w:i w:val="0"/>
                <w:iCs w:val="0"/>
                <w:snapToGrid w:val="0"/>
                <w:color w:val="000000"/>
                <w:kern w:val="0"/>
                <w:sz w:val="24"/>
                <w:szCs w:val="24"/>
                <w:u w:val="none"/>
                <w:lang w:val="en-US" w:eastAsia="zh-CN" w:bidi="ar"/>
              </w:rPr>
              <w:t>（亿元）</w:t>
            </w:r>
          </w:p>
        </w:tc>
        <w:tc>
          <w:tcPr>
            <w:tcW w:w="5588"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5622EF7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bCs/>
                <w:i w:val="0"/>
                <w:iCs w:val="0"/>
                <w:color w:val="000000"/>
                <w:sz w:val="24"/>
                <w:szCs w:val="24"/>
                <w:u w:val="none"/>
              </w:rPr>
            </w:pPr>
            <w:r>
              <w:rPr>
                <w:rFonts w:hint="default" w:ascii="Times New Roman" w:hAnsi="Times New Roman" w:eastAsia="仿宋" w:cs="Times New Roman"/>
                <w:b/>
                <w:bCs/>
                <w:i w:val="0"/>
                <w:iCs w:val="0"/>
                <w:snapToGrid w:val="0"/>
                <w:color w:val="000000"/>
                <w:kern w:val="0"/>
                <w:sz w:val="24"/>
                <w:szCs w:val="24"/>
                <w:u w:val="none"/>
                <w:lang w:val="en-US" w:eastAsia="zh-CN" w:bidi="ar"/>
              </w:rPr>
              <w:t>主要产品</w:t>
            </w:r>
          </w:p>
        </w:tc>
      </w:tr>
      <w:tr w14:paraId="6316E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9C0E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1</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E46D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lang w:val="en-US"/>
              </w:rPr>
            </w:pPr>
            <w:r>
              <w:rPr>
                <w:rFonts w:hint="eastAsia" w:ascii="Times New Roman" w:hAnsi="Times New Roman" w:cs="Times New Roman"/>
                <w:i w:val="0"/>
                <w:iCs w:val="0"/>
                <w:snapToGrid w:val="0"/>
                <w:color w:val="000000"/>
                <w:kern w:val="0"/>
                <w:sz w:val="24"/>
                <w:szCs w:val="24"/>
                <w:u w:val="none"/>
                <w:lang w:val="en-US" w:eastAsia="zh-CN" w:bidi="ar"/>
              </w:rPr>
              <w:t>牧原股份</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D1CC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lang w:val="en-US"/>
              </w:rPr>
            </w:pPr>
            <w:r>
              <w:rPr>
                <w:rFonts w:hint="eastAsia" w:ascii="Times New Roman" w:hAnsi="Times New Roman" w:cs="Times New Roman"/>
                <w:i w:val="0"/>
                <w:iCs w:val="0"/>
                <w:snapToGrid w:val="0"/>
                <w:color w:val="000000"/>
                <w:kern w:val="0"/>
                <w:sz w:val="24"/>
                <w:szCs w:val="24"/>
                <w:u w:val="none"/>
                <w:lang w:val="en-US" w:eastAsia="zh-CN" w:bidi="ar"/>
              </w:rPr>
              <w:t>2421.15</w:t>
            </w:r>
          </w:p>
        </w:tc>
        <w:tc>
          <w:tcPr>
            <w:tcW w:w="5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98DE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商品猪、仔猪、种猪、白条肉和分割肉等猪肉产品‌‌</w:t>
            </w:r>
          </w:p>
        </w:tc>
      </w:tr>
      <w:tr w14:paraId="169A3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C9F7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2</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CAB1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lang w:val="en-US" w:eastAsia="zh-CN"/>
              </w:rPr>
            </w:pPr>
            <w:r>
              <w:rPr>
                <w:rFonts w:hint="eastAsia" w:ascii="Times New Roman" w:hAnsi="Times New Roman" w:cs="Times New Roman"/>
                <w:i w:val="0"/>
                <w:iCs w:val="0"/>
                <w:color w:val="000000"/>
                <w:sz w:val="24"/>
                <w:szCs w:val="24"/>
                <w:u w:val="none"/>
                <w:lang w:val="en-US" w:eastAsia="zh-CN"/>
              </w:rPr>
              <w:t>温氏股份</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33A8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lang w:val="en-US"/>
              </w:rPr>
            </w:pPr>
            <w:r>
              <w:rPr>
                <w:rFonts w:hint="eastAsia" w:ascii="Times New Roman" w:hAnsi="Times New Roman" w:cs="Times New Roman"/>
                <w:i w:val="0"/>
                <w:iCs w:val="0"/>
                <w:snapToGrid w:val="0"/>
                <w:color w:val="000000"/>
                <w:kern w:val="0"/>
                <w:sz w:val="24"/>
                <w:szCs w:val="24"/>
                <w:u w:val="none"/>
                <w:lang w:val="en-US" w:eastAsia="zh-CN" w:bidi="ar"/>
              </w:rPr>
              <w:t>1261.58</w:t>
            </w:r>
          </w:p>
        </w:tc>
        <w:tc>
          <w:tcPr>
            <w:tcW w:w="5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49F9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中高端活禽、活猪、鲜品、鲜蛋等核心品类</w:t>
            </w:r>
          </w:p>
        </w:tc>
      </w:tr>
      <w:tr w14:paraId="5347F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92E4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3</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9994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lang w:val="en-US" w:eastAsia="zh-CN"/>
              </w:rPr>
            </w:pPr>
            <w:r>
              <w:rPr>
                <w:rFonts w:hint="eastAsia" w:ascii="Times New Roman" w:hAnsi="Times New Roman" w:cs="Times New Roman"/>
                <w:i w:val="0"/>
                <w:iCs w:val="0"/>
                <w:color w:val="000000"/>
                <w:sz w:val="24"/>
                <w:szCs w:val="24"/>
                <w:u w:val="none"/>
                <w:lang w:val="en-US" w:eastAsia="zh-CN"/>
              </w:rPr>
              <w:t>正邦科技</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0FC0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lang w:val="en-US"/>
              </w:rPr>
            </w:pPr>
            <w:r>
              <w:rPr>
                <w:rFonts w:hint="eastAsia" w:ascii="Times New Roman" w:hAnsi="Times New Roman" w:cs="Times New Roman"/>
                <w:i w:val="0"/>
                <w:iCs w:val="0"/>
                <w:snapToGrid w:val="0"/>
                <w:color w:val="000000"/>
                <w:kern w:val="0"/>
                <w:sz w:val="24"/>
                <w:szCs w:val="24"/>
                <w:u w:val="none"/>
                <w:lang w:val="en-US" w:eastAsia="zh-CN" w:bidi="ar"/>
              </w:rPr>
              <w:t>310.56</w:t>
            </w:r>
          </w:p>
        </w:tc>
        <w:tc>
          <w:tcPr>
            <w:tcW w:w="5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4F0C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 w:cs="Times New Roman"/>
                <w:i w:val="0"/>
                <w:iCs w:val="0"/>
                <w:color w:val="000000"/>
                <w:sz w:val="24"/>
                <w:szCs w:val="24"/>
                <w:u w:val="none"/>
                <w:lang w:val="en-US"/>
              </w:rPr>
            </w:pPr>
            <w:r>
              <w:rPr>
                <w:rFonts w:hint="default" w:ascii="Times New Roman" w:hAnsi="Times New Roman" w:eastAsia="仿宋" w:cs="Times New Roman"/>
                <w:i w:val="0"/>
                <w:iCs w:val="0"/>
                <w:snapToGrid w:val="0"/>
                <w:color w:val="000000"/>
                <w:kern w:val="0"/>
                <w:sz w:val="24"/>
                <w:szCs w:val="24"/>
                <w:u w:val="none"/>
                <w:lang w:val="en-US" w:eastAsia="zh-CN" w:bidi="ar"/>
              </w:rPr>
              <w:t>生猪养殖与销售</w:t>
            </w:r>
            <w:r>
              <w:rPr>
                <w:rFonts w:hint="eastAsia" w:ascii="Times New Roman" w:hAnsi="Times New Roman" w:cs="Times New Roman"/>
                <w:i w:val="0"/>
                <w:iCs w:val="0"/>
                <w:snapToGrid w:val="0"/>
                <w:color w:val="000000"/>
                <w:kern w:val="0"/>
                <w:sz w:val="24"/>
                <w:szCs w:val="24"/>
                <w:u w:val="none"/>
                <w:lang w:val="en-US" w:eastAsia="zh-CN" w:bidi="ar"/>
              </w:rPr>
              <w:t>、畜禽及水产品的养殖、加工和销售等</w:t>
            </w:r>
          </w:p>
        </w:tc>
      </w:tr>
      <w:tr w14:paraId="3CDB3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2DBD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4</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729F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lang w:val="en-US"/>
              </w:rPr>
            </w:pPr>
            <w:r>
              <w:rPr>
                <w:rFonts w:hint="eastAsia" w:ascii="Times New Roman" w:hAnsi="Times New Roman" w:cs="Times New Roman"/>
                <w:i w:val="0"/>
                <w:iCs w:val="0"/>
                <w:snapToGrid w:val="0"/>
                <w:color w:val="000000"/>
                <w:kern w:val="0"/>
                <w:sz w:val="24"/>
                <w:szCs w:val="24"/>
                <w:u w:val="none"/>
                <w:lang w:val="en-US" w:eastAsia="zh-CN" w:bidi="ar"/>
              </w:rPr>
              <w:t>圣农发展</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B892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lang w:val="en-US"/>
              </w:rPr>
            </w:pPr>
            <w:r>
              <w:rPr>
                <w:rFonts w:hint="eastAsia" w:ascii="Times New Roman" w:hAnsi="Times New Roman" w:cs="Times New Roman"/>
                <w:i w:val="0"/>
                <w:iCs w:val="0"/>
                <w:snapToGrid w:val="0"/>
                <w:color w:val="000000"/>
                <w:kern w:val="0"/>
                <w:sz w:val="24"/>
                <w:szCs w:val="24"/>
                <w:u w:val="none"/>
                <w:lang w:val="en-US" w:eastAsia="zh-CN" w:bidi="ar"/>
              </w:rPr>
              <w:t>188.5</w:t>
            </w:r>
          </w:p>
        </w:tc>
        <w:tc>
          <w:tcPr>
            <w:tcW w:w="5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B9AF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 w:cs="Times New Roman"/>
                <w:i w:val="0"/>
                <w:iCs w:val="0"/>
                <w:color w:val="000000"/>
                <w:sz w:val="24"/>
                <w:szCs w:val="24"/>
                <w:u w:val="none"/>
                <w:lang w:val="en-US"/>
              </w:rPr>
            </w:pPr>
            <w:r>
              <w:rPr>
                <w:rFonts w:hint="default" w:ascii="Times New Roman" w:hAnsi="Times New Roman" w:eastAsia="仿宋" w:cs="Times New Roman"/>
                <w:i w:val="0"/>
                <w:iCs w:val="0"/>
                <w:snapToGrid w:val="0"/>
                <w:color w:val="000000"/>
                <w:kern w:val="0"/>
                <w:sz w:val="24"/>
                <w:szCs w:val="24"/>
                <w:u w:val="none"/>
                <w:lang w:val="en-US" w:eastAsia="zh-CN" w:bidi="ar"/>
              </w:rPr>
              <w:t>鸡肉和深加工肉制品</w:t>
            </w:r>
            <w:r>
              <w:rPr>
                <w:rFonts w:hint="eastAsia" w:ascii="Times New Roman" w:hAnsi="Times New Roman" w:cs="Times New Roman"/>
                <w:i w:val="0"/>
                <w:iCs w:val="0"/>
                <w:snapToGrid w:val="0"/>
                <w:color w:val="000000"/>
                <w:kern w:val="0"/>
                <w:sz w:val="24"/>
                <w:szCs w:val="24"/>
                <w:u w:val="none"/>
                <w:lang w:val="en-US" w:eastAsia="zh-CN" w:bidi="ar"/>
              </w:rPr>
              <w:t>等</w:t>
            </w:r>
          </w:p>
        </w:tc>
      </w:tr>
      <w:tr w14:paraId="57CB0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61E3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5</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6E77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lang w:val="en-US" w:eastAsia="zh-CN"/>
              </w:rPr>
            </w:pPr>
            <w:r>
              <w:rPr>
                <w:rFonts w:hint="eastAsia" w:ascii="Times New Roman" w:hAnsi="Times New Roman" w:cs="Times New Roman"/>
                <w:i w:val="0"/>
                <w:iCs w:val="0"/>
                <w:color w:val="000000"/>
                <w:sz w:val="24"/>
                <w:szCs w:val="24"/>
                <w:u w:val="none"/>
                <w:lang w:val="en-US" w:eastAsia="zh-CN"/>
              </w:rPr>
              <w:t>立华股份</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3A16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lang w:val="en-US"/>
              </w:rPr>
            </w:pPr>
            <w:r>
              <w:rPr>
                <w:rFonts w:hint="eastAsia" w:ascii="Times New Roman" w:hAnsi="Times New Roman" w:cs="Times New Roman"/>
                <w:i w:val="0"/>
                <w:iCs w:val="0"/>
                <w:snapToGrid w:val="0"/>
                <w:color w:val="000000"/>
                <w:kern w:val="0"/>
                <w:sz w:val="24"/>
                <w:szCs w:val="24"/>
                <w:u w:val="none"/>
                <w:lang w:val="en-US" w:eastAsia="zh-CN" w:bidi="ar"/>
              </w:rPr>
              <w:t>178.77</w:t>
            </w:r>
          </w:p>
        </w:tc>
        <w:tc>
          <w:tcPr>
            <w:tcW w:w="5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D1B8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 w:cs="Times New Roman"/>
                <w:i w:val="0"/>
                <w:iCs w:val="0"/>
                <w:color w:val="000000"/>
                <w:sz w:val="24"/>
                <w:szCs w:val="24"/>
                <w:u w:val="none"/>
                <w:lang w:val="en-US"/>
              </w:rPr>
            </w:pPr>
            <w:r>
              <w:rPr>
                <w:rFonts w:hint="default" w:ascii="Times New Roman" w:hAnsi="Times New Roman" w:eastAsia="仿宋" w:cs="Times New Roman"/>
                <w:i w:val="0"/>
                <w:iCs w:val="0"/>
                <w:snapToGrid w:val="0"/>
                <w:color w:val="000000"/>
                <w:kern w:val="0"/>
                <w:sz w:val="24"/>
                <w:szCs w:val="24"/>
                <w:u w:val="none"/>
                <w:lang w:val="en-US" w:eastAsia="zh-CN" w:bidi="ar"/>
              </w:rPr>
              <w:t>商品代黄羽肉鸡、商品肉猪和肉鹅等畜禽产品</w:t>
            </w:r>
          </w:p>
        </w:tc>
      </w:tr>
      <w:tr w14:paraId="1CD89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84E3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6</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31C9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lang w:val="en-US"/>
              </w:rPr>
            </w:pPr>
            <w:r>
              <w:rPr>
                <w:rFonts w:hint="eastAsia" w:ascii="Times New Roman" w:hAnsi="Times New Roman" w:cs="Times New Roman"/>
                <w:i w:val="0"/>
                <w:iCs w:val="0"/>
                <w:snapToGrid w:val="0"/>
                <w:color w:val="000000"/>
                <w:kern w:val="0"/>
                <w:sz w:val="24"/>
                <w:szCs w:val="24"/>
                <w:u w:val="none"/>
                <w:lang w:val="en-US" w:eastAsia="zh-CN" w:bidi="ar"/>
              </w:rPr>
              <w:t>巨星农牧</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573A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lang w:val="en-US"/>
              </w:rPr>
            </w:pPr>
            <w:r>
              <w:rPr>
                <w:rFonts w:hint="eastAsia" w:ascii="Times New Roman" w:hAnsi="Times New Roman" w:cs="Times New Roman"/>
                <w:i w:val="0"/>
                <w:iCs w:val="0"/>
                <w:snapToGrid w:val="0"/>
                <w:color w:val="000000"/>
                <w:kern w:val="0"/>
                <w:sz w:val="24"/>
                <w:szCs w:val="24"/>
                <w:u w:val="none"/>
                <w:lang w:val="en-US" w:eastAsia="zh-CN" w:bidi="ar"/>
              </w:rPr>
              <w:t>109.41</w:t>
            </w:r>
          </w:p>
        </w:tc>
        <w:tc>
          <w:tcPr>
            <w:tcW w:w="5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2532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 w:cs="Times New Roman"/>
                <w:i w:val="0"/>
                <w:iCs w:val="0"/>
                <w:color w:val="000000"/>
                <w:sz w:val="24"/>
                <w:szCs w:val="24"/>
                <w:u w:val="none"/>
                <w:lang w:val="en-US"/>
              </w:rPr>
            </w:pPr>
            <w:r>
              <w:rPr>
                <w:rFonts w:hint="default" w:ascii="Times New Roman" w:hAnsi="Times New Roman" w:eastAsia="仿宋" w:cs="Times New Roman"/>
                <w:i w:val="0"/>
                <w:iCs w:val="0"/>
                <w:snapToGrid w:val="0"/>
                <w:color w:val="000000"/>
                <w:kern w:val="0"/>
                <w:sz w:val="24"/>
                <w:szCs w:val="24"/>
                <w:u w:val="none"/>
                <w:lang w:val="en-US" w:eastAsia="zh-CN" w:bidi="ar"/>
              </w:rPr>
              <w:t>生猪、黄羽鸡</w:t>
            </w:r>
            <w:r>
              <w:rPr>
                <w:rFonts w:hint="eastAsia" w:ascii="Times New Roman" w:hAnsi="Times New Roman" w:cs="Times New Roman"/>
                <w:i w:val="0"/>
                <w:iCs w:val="0"/>
                <w:snapToGrid w:val="0"/>
                <w:color w:val="000000"/>
                <w:kern w:val="0"/>
                <w:sz w:val="24"/>
                <w:szCs w:val="24"/>
                <w:u w:val="none"/>
                <w:lang w:val="en-US" w:eastAsia="zh-CN" w:bidi="ar"/>
              </w:rPr>
              <w:t>等</w:t>
            </w:r>
          </w:p>
        </w:tc>
      </w:tr>
      <w:tr w14:paraId="340E3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53E0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7</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EC62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lang w:val="en-US"/>
              </w:rPr>
            </w:pPr>
            <w:r>
              <w:rPr>
                <w:rFonts w:hint="eastAsia" w:ascii="Times New Roman" w:hAnsi="Times New Roman" w:cs="Times New Roman"/>
                <w:i w:val="0"/>
                <w:iCs w:val="0"/>
                <w:snapToGrid w:val="0"/>
                <w:color w:val="000000"/>
                <w:kern w:val="0"/>
                <w:sz w:val="24"/>
                <w:szCs w:val="24"/>
                <w:u w:val="none"/>
                <w:lang w:val="en-US" w:eastAsia="zh-CN" w:bidi="ar"/>
              </w:rPr>
              <w:t>京基智农</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1B3B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lang w:val="en-US"/>
              </w:rPr>
            </w:pPr>
            <w:r>
              <w:rPr>
                <w:rFonts w:hint="eastAsia" w:ascii="Times New Roman" w:hAnsi="Times New Roman" w:cs="Times New Roman"/>
                <w:i w:val="0"/>
                <w:iCs w:val="0"/>
                <w:snapToGrid w:val="0"/>
                <w:color w:val="000000"/>
                <w:kern w:val="0"/>
                <w:sz w:val="24"/>
                <w:szCs w:val="24"/>
                <w:u w:val="none"/>
                <w:lang w:val="en-US" w:eastAsia="zh-CN" w:bidi="ar"/>
              </w:rPr>
              <w:t>92.53</w:t>
            </w:r>
          </w:p>
        </w:tc>
        <w:tc>
          <w:tcPr>
            <w:tcW w:w="5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0C09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种猪、肉猪养殖与销售</w:t>
            </w:r>
            <w:r>
              <w:rPr>
                <w:rFonts w:hint="eastAsia" w:ascii="Times New Roman" w:hAnsi="Times New Roman" w:cs="Times New Roman"/>
                <w:i w:val="0"/>
                <w:iCs w:val="0"/>
                <w:snapToGrid w:val="0"/>
                <w:color w:val="000000"/>
                <w:kern w:val="0"/>
                <w:sz w:val="24"/>
                <w:szCs w:val="24"/>
                <w:u w:val="none"/>
                <w:lang w:val="en-US" w:eastAsia="zh-CN" w:bidi="ar"/>
              </w:rPr>
              <w:t>；</w:t>
            </w:r>
            <w:r>
              <w:rPr>
                <w:rFonts w:hint="default" w:ascii="Times New Roman" w:hAnsi="Times New Roman" w:eastAsia="仿宋" w:cs="Times New Roman"/>
                <w:i w:val="0"/>
                <w:iCs w:val="0"/>
                <w:snapToGrid w:val="0"/>
                <w:color w:val="000000"/>
                <w:kern w:val="0"/>
                <w:sz w:val="24"/>
                <w:szCs w:val="24"/>
                <w:u w:val="none"/>
                <w:lang w:val="en-US" w:eastAsia="zh-CN" w:bidi="ar"/>
              </w:rPr>
              <w:t>种鸡、肉鸡养殖与销售等</w:t>
            </w:r>
          </w:p>
        </w:tc>
      </w:tr>
      <w:tr w14:paraId="4F5CC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0271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snapToGrid w:val="0"/>
                <w:color w:val="000000"/>
                <w:sz w:val="24"/>
                <w:szCs w:val="24"/>
                <w:u w:val="none"/>
                <w:lang w:val="en-US" w:eastAsia="zh-CN" w:bidi="ar-SA"/>
              </w:rPr>
            </w:pPr>
            <w:r>
              <w:rPr>
                <w:rFonts w:hint="eastAsia" w:ascii="Times New Roman" w:hAnsi="Times New Roman" w:cs="Times New Roman"/>
                <w:i w:val="0"/>
                <w:iCs w:val="0"/>
                <w:snapToGrid w:val="0"/>
                <w:color w:val="000000"/>
                <w:kern w:val="0"/>
                <w:sz w:val="24"/>
                <w:szCs w:val="24"/>
                <w:u w:val="none"/>
                <w:lang w:val="en-US" w:eastAsia="zh-CN" w:bidi="ar"/>
              </w:rPr>
              <w:t>8</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12F7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snapToGrid w:val="0"/>
                <w:color w:val="000000"/>
                <w:sz w:val="24"/>
                <w:szCs w:val="24"/>
                <w:u w:val="none"/>
                <w:lang w:val="en-US" w:eastAsia="zh-CN" w:bidi="ar-SA"/>
              </w:rPr>
            </w:pPr>
            <w:r>
              <w:rPr>
                <w:rFonts w:hint="eastAsia" w:ascii="Times New Roman" w:hAnsi="Times New Roman" w:cs="Times New Roman"/>
                <w:i w:val="0"/>
                <w:iCs w:val="0"/>
                <w:snapToGrid w:val="0"/>
                <w:color w:val="000000"/>
                <w:kern w:val="0"/>
                <w:sz w:val="24"/>
                <w:szCs w:val="24"/>
                <w:u w:val="none"/>
                <w:lang w:val="en-US" w:eastAsia="zh-CN" w:bidi="ar"/>
              </w:rPr>
              <w:t>罗牛山</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C8B7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snapToGrid w:val="0"/>
                <w:color w:val="000000"/>
                <w:sz w:val="24"/>
                <w:szCs w:val="24"/>
                <w:u w:val="none"/>
                <w:lang w:val="en-US" w:eastAsia="zh-CN" w:bidi="ar-SA"/>
              </w:rPr>
            </w:pPr>
            <w:r>
              <w:rPr>
                <w:rFonts w:hint="eastAsia" w:ascii="Times New Roman" w:hAnsi="Times New Roman" w:cs="Times New Roman"/>
                <w:i w:val="0"/>
                <w:iCs w:val="0"/>
                <w:snapToGrid w:val="0"/>
                <w:color w:val="000000"/>
                <w:kern w:val="0"/>
                <w:sz w:val="24"/>
                <w:szCs w:val="24"/>
                <w:u w:val="none"/>
                <w:lang w:val="en-US" w:eastAsia="zh-CN" w:bidi="ar"/>
              </w:rPr>
              <w:t>72.37</w:t>
            </w:r>
          </w:p>
        </w:tc>
        <w:tc>
          <w:tcPr>
            <w:tcW w:w="5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0C7C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 w:cs="Times New Roman"/>
                <w:i w:val="0"/>
                <w:iCs w:val="0"/>
                <w:snapToGrid w:val="0"/>
                <w:color w:val="000000"/>
                <w:sz w:val="24"/>
                <w:szCs w:val="24"/>
                <w:u w:val="none"/>
                <w:lang w:val="en-US" w:eastAsia="zh-CN" w:bidi="ar-SA"/>
              </w:rPr>
            </w:pPr>
            <w:r>
              <w:rPr>
                <w:rFonts w:hint="eastAsia" w:ascii="Times New Roman" w:hAnsi="Times New Roman" w:cs="Times New Roman"/>
                <w:i w:val="0"/>
                <w:iCs w:val="0"/>
                <w:snapToGrid w:val="0"/>
                <w:color w:val="000000"/>
                <w:kern w:val="0"/>
                <w:sz w:val="24"/>
                <w:szCs w:val="24"/>
                <w:u w:val="none"/>
                <w:lang w:val="en-US" w:eastAsia="zh-CN" w:bidi="ar"/>
              </w:rPr>
              <w:t>生猪</w:t>
            </w:r>
            <w:r>
              <w:rPr>
                <w:rFonts w:hint="default" w:ascii="Times New Roman" w:hAnsi="Times New Roman" w:eastAsia="仿宋" w:cs="Times New Roman"/>
                <w:i w:val="0"/>
                <w:iCs w:val="0"/>
                <w:snapToGrid w:val="0"/>
                <w:color w:val="000000"/>
                <w:kern w:val="0"/>
                <w:sz w:val="24"/>
                <w:szCs w:val="24"/>
                <w:u w:val="none"/>
                <w:lang w:val="en-US" w:eastAsia="zh-CN" w:bidi="ar"/>
              </w:rPr>
              <w:t>、肉制品等</w:t>
            </w:r>
          </w:p>
        </w:tc>
      </w:tr>
      <w:tr w14:paraId="28CDA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1B87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9</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0746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lang w:val="en-US"/>
              </w:rPr>
            </w:pPr>
            <w:r>
              <w:rPr>
                <w:rFonts w:hint="eastAsia" w:ascii="Times New Roman" w:hAnsi="Times New Roman" w:cs="Times New Roman"/>
                <w:i w:val="0"/>
                <w:iCs w:val="0"/>
                <w:snapToGrid w:val="0"/>
                <w:color w:val="000000"/>
                <w:kern w:val="0"/>
                <w:sz w:val="24"/>
                <w:szCs w:val="24"/>
                <w:u w:val="none"/>
                <w:lang w:val="en-US" w:eastAsia="zh-CN" w:bidi="ar"/>
              </w:rPr>
              <w:t>新五丰</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A422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lang w:val="en-US"/>
              </w:rPr>
            </w:pPr>
            <w:r>
              <w:rPr>
                <w:rFonts w:hint="eastAsia" w:ascii="Times New Roman" w:hAnsi="Times New Roman" w:cs="Times New Roman"/>
                <w:i w:val="0"/>
                <w:iCs w:val="0"/>
                <w:snapToGrid w:val="0"/>
                <w:color w:val="000000"/>
                <w:kern w:val="0"/>
                <w:sz w:val="24"/>
                <w:szCs w:val="24"/>
                <w:u w:val="none"/>
                <w:lang w:val="en-US" w:eastAsia="zh-CN" w:bidi="ar"/>
              </w:rPr>
              <w:t>70.48</w:t>
            </w:r>
          </w:p>
        </w:tc>
        <w:tc>
          <w:tcPr>
            <w:tcW w:w="5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4692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 w:cs="Times New Roman"/>
                <w:i w:val="0"/>
                <w:iCs w:val="0"/>
                <w:color w:val="000000"/>
                <w:sz w:val="24"/>
                <w:szCs w:val="24"/>
                <w:u w:val="none"/>
              </w:rPr>
            </w:pPr>
            <w:r>
              <w:rPr>
                <w:rFonts w:hint="eastAsia" w:ascii="Times New Roman" w:hAnsi="Times New Roman" w:cs="Times New Roman"/>
                <w:i w:val="0"/>
                <w:iCs w:val="0"/>
                <w:snapToGrid w:val="0"/>
                <w:color w:val="000000"/>
                <w:kern w:val="0"/>
                <w:sz w:val="24"/>
                <w:szCs w:val="24"/>
                <w:u w:val="none"/>
                <w:lang w:val="en-US" w:eastAsia="zh-CN" w:bidi="ar"/>
              </w:rPr>
              <w:t>生猪</w:t>
            </w:r>
            <w:r>
              <w:rPr>
                <w:rFonts w:hint="default" w:ascii="Times New Roman" w:hAnsi="Times New Roman" w:eastAsia="仿宋" w:cs="Times New Roman"/>
                <w:i w:val="0"/>
                <w:iCs w:val="0"/>
                <w:snapToGrid w:val="0"/>
                <w:color w:val="000000"/>
                <w:kern w:val="0"/>
                <w:sz w:val="24"/>
                <w:szCs w:val="24"/>
                <w:u w:val="none"/>
                <w:lang w:val="en-US" w:eastAsia="zh-CN" w:bidi="ar"/>
              </w:rPr>
              <w:t>、肉制品等</w:t>
            </w:r>
          </w:p>
        </w:tc>
      </w:tr>
      <w:tr w14:paraId="742C5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8ED3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10</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4F5B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lang w:val="en-US" w:eastAsia="zh-CN"/>
              </w:rPr>
            </w:pPr>
            <w:r>
              <w:rPr>
                <w:rFonts w:hint="eastAsia" w:ascii="Times New Roman" w:hAnsi="Times New Roman" w:cs="Times New Roman"/>
                <w:i w:val="0"/>
                <w:iCs w:val="0"/>
                <w:color w:val="000000"/>
                <w:sz w:val="24"/>
                <w:szCs w:val="24"/>
                <w:u w:val="none"/>
                <w:lang w:val="en-US" w:eastAsia="zh-CN"/>
              </w:rPr>
              <w:t>st天邦</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0248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eastAsia" w:ascii="Times New Roman" w:hAnsi="Times New Roman" w:cs="Times New Roman"/>
                <w:i w:val="0"/>
                <w:iCs w:val="0"/>
                <w:snapToGrid w:val="0"/>
                <w:color w:val="000000"/>
                <w:kern w:val="0"/>
                <w:sz w:val="24"/>
                <w:szCs w:val="24"/>
                <w:u w:val="none"/>
                <w:lang w:val="en-US" w:eastAsia="zh-CN" w:bidi="ar"/>
              </w:rPr>
              <w:t>70.99</w:t>
            </w:r>
            <w:r>
              <w:rPr>
                <w:rFonts w:hint="default" w:ascii="Times New Roman" w:hAnsi="Times New Roman" w:eastAsia="仿宋" w:cs="Times New Roman"/>
                <w:i w:val="0"/>
                <w:iCs w:val="0"/>
                <w:snapToGrid w:val="0"/>
                <w:color w:val="000000"/>
                <w:kern w:val="0"/>
                <w:sz w:val="24"/>
                <w:szCs w:val="24"/>
                <w:u w:val="none"/>
                <w:lang w:val="en-US" w:eastAsia="zh-CN" w:bidi="ar"/>
              </w:rPr>
              <w:t xml:space="preserve"> </w:t>
            </w:r>
          </w:p>
        </w:tc>
        <w:tc>
          <w:tcPr>
            <w:tcW w:w="5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24D5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品种猪</w:t>
            </w:r>
            <w:r>
              <w:rPr>
                <w:rFonts w:hint="eastAsia" w:ascii="Times New Roman" w:hAnsi="Times New Roman" w:cs="Times New Roman"/>
                <w:i w:val="0"/>
                <w:iCs w:val="0"/>
                <w:snapToGrid w:val="0"/>
                <w:color w:val="000000"/>
                <w:kern w:val="0"/>
                <w:sz w:val="24"/>
                <w:szCs w:val="24"/>
                <w:u w:val="none"/>
                <w:lang w:val="en-US" w:eastAsia="zh-CN" w:bidi="ar"/>
              </w:rPr>
              <w:t>、</w:t>
            </w:r>
            <w:r>
              <w:rPr>
                <w:rFonts w:hint="default" w:ascii="Times New Roman" w:hAnsi="Times New Roman" w:eastAsia="仿宋" w:cs="Times New Roman"/>
                <w:i w:val="0"/>
                <w:iCs w:val="0"/>
                <w:snapToGrid w:val="0"/>
                <w:color w:val="000000"/>
                <w:kern w:val="0"/>
                <w:sz w:val="24"/>
                <w:szCs w:val="24"/>
                <w:u w:val="none"/>
                <w:lang w:val="en-US" w:eastAsia="zh-CN" w:bidi="ar"/>
              </w:rPr>
              <w:t>商品仔猪</w:t>
            </w:r>
            <w:r>
              <w:rPr>
                <w:rFonts w:hint="eastAsia" w:ascii="Times New Roman" w:hAnsi="Times New Roman" w:cs="Times New Roman"/>
                <w:i w:val="0"/>
                <w:iCs w:val="0"/>
                <w:snapToGrid w:val="0"/>
                <w:color w:val="000000"/>
                <w:kern w:val="0"/>
                <w:sz w:val="24"/>
                <w:szCs w:val="24"/>
                <w:u w:val="none"/>
                <w:lang w:val="en-US" w:eastAsia="zh-CN" w:bidi="ar"/>
              </w:rPr>
              <w:t>、</w:t>
            </w:r>
            <w:r>
              <w:rPr>
                <w:rFonts w:hint="default" w:ascii="Times New Roman" w:hAnsi="Times New Roman" w:eastAsia="仿宋" w:cs="Times New Roman"/>
                <w:i w:val="0"/>
                <w:iCs w:val="0"/>
                <w:snapToGrid w:val="0"/>
                <w:color w:val="000000"/>
                <w:kern w:val="0"/>
                <w:sz w:val="24"/>
                <w:szCs w:val="24"/>
                <w:u w:val="none"/>
                <w:lang w:val="en-US" w:eastAsia="zh-CN" w:bidi="ar"/>
              </w:rPr>
              <w:t>商品肉猪</w:t>
            </w:r>
            <w:r>
              <w:rPr>
                <w:rFonts w:hint="eastAsia" w:ascii="Times New Roman" w:hAnsi="Times New Roman" w:cs="Times New Roman"/>
                <w:i w:val="0"/>
                <w:iCs w:val="0"/>
                <w:snapToGrid w:val="0"/>
                <w:color w:val="000000"/>
                <w:kern w:val="0"/>
                <w:sz w:val="24"/>
                <w:szCs w:val="24"/>
                <w:u w:val="none"/>
                <w:lang w:val="en-US" w:eastAsia="zh-CN" w:bidi="ar"/>
              </w:rPr>
              <w:t>、</w:t>
            </w:r>
            <w:r>
              <w:rPr>
                <w:rFonts w:hint="default" w:ascii="Times New Roman" w:hAnsi="Times New Roman" w:eastAsia="仿宋" w:cs="Times New Roman"/>
                <w:i w:val="0"/>
                <w:iCs w:val="0"/>
                <w:snapToGrid w:val="0"/>
                <w:color w:val="000000"/>
                <w:kern w:val="0"/>
                <w:sz w:val="24"/>
                <w:szCs w:val="24"/>
                <w:u w:val="none"/>
                <w:lang w:val="en-US" w:eastAsia="zh-CN" w:bidi="ar"/>
              </w:rPr>
              <w:t>猪肉生鲜产品</w:t>
            </w:r>
            <w:r>
              <w:rPr>
                <w:rFonts w:hint="eastAsia" w:ascii="Times New Roman" w:hAnsi="Times New Roman" w:cs="Times New Roman"/>
                <w:i w:val="0"/>
                <w:iCs w:val="0"/>
                <w:snapToGrid w:val="0"/>
                <w:color w:val="000000"/>
                <w:kern w:val="0"/>
                <w:sz w:val="24"/>
                <w:szCs w:val="24"/>
                <w:u w:val="none"/>
                <w:lang w:val="en-US" w:eastAsia="zh-CN" w:bidi="ar"/>
              </w:rPr>
              <w:t>、</w:t>
            </w:r>
            <w:r>
              <w:rPr>
                <w:rFonts w:hint="default" w:ascii="Times New Roman" w:hAnsi="Times New Roman" w:eastAsia="仿宋" w:cs="Times New Roman"/>
                <w:i w:val="0"/>
                <w:iCs w:val="0"/>
                <w:snapToGrid w:val="0"/>
                <w:color w:val="000000"/>
                <w:kern w:val="0"/>
                <w:sz w:val="24"/>
                <w:szCs w:val="24"/>
                <w:u w:val="none"/>
                <w:lang w:val="en-US" w:eastAsia="zh-CN" w:bidi="ar"/>
              </w:rPr>
              <w:t xml:space="preserve"> 猪肉加工产品 </w:t>
            </w:r>
          </w:p>
        </w:tc>
      </w:tr>
    </w:tbl>
    <w:p w14:paraId="00145D76">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jc w:val="left"/>
        <w:textAlignment w:val="auto"/>
        <w:rPr>
          <w:rFonts w:hint="eastAsia" w:ascii="仿宋" w:hAnsi="仿宋" w:cs="仿宋"/>
          <w:b/>
          <w:bCs/>
          <w:snapToGrid/>
          <w:lang w:val="en-US" w:eastAsia="zh-CN"/>
        </w:rPr>
      </w:pPr>
      <w:r>
        <w:rPr>
          <w:rFonts w:hint="eastAsia" w:ascii="仿宋" w:hAnsi="仿宋" w:eastAsia="仿宋" w:cs="仿宋"/>
          <w:b/>
          <w:bCs/>
          <w:snapToGrid/>
          <w:sz w:val="24"/>
          <w:szCs w:val="24"/>
          <w:lang w:val="en-US" w:eastAsia="zh-CN"/>
        </w:rPr>
        <w:t>备注：数据截至2024年</w:t>
      </w:r>
      <w:r>
        <w:rPr>
          <w:rFonts w:hint="eastAsia" w:ascii="仿宋" w:hAnsi="仿宋" w:cs="仿宋"/>
          <w:b/>
          <w:bCs/>
          <w:snapToGrid/>
          <w:sz w:val="24"/>
          <w:szCs w:val="24"/>
          <w:lang w:val="en-US" w:eastAsia="zh-CN"/>
        </w:rPr>
        <w:t>11</w:t>
      </w:r>
      <w:r>
        <w:rPr>
          <w:rFonts w:hint="eastAsia" w:ascii="仿宋" w:hAnsi="仿宋" w:eastAsia="仿宋" w:cs="仿宋"/>
          <w:b/>
          <w:bCs/>
          <w:snapToGrid/>
          <w:sz w:val="24"/>
          <w:szCs w:val="24"/>
          <w:lang w:val="en-US" w:eastAsia="zh-CN"/>
        </w:rPr>
        <w:t>月</w:t>
      </w:r>
      <w:r>
        <w:rPr>
          <w:rFonts w:hint="eastAsia" w:ascii="仿宋" w:hAnsi="仿宋" w:cs="仿宋"/>
          <w:b/>
          <w:bCs/>
          <w:snapToGrid/>
          <w:sz w:val="24"/>
          <w:szCs w:val="24"/>
          <w:lang w:val="en-US" w:eastAsia="zh-CN"/>
        </w:rPr>
        <w:t>11</w:t>
      </w:r>
      <w:r>
        <w:rPr>
          <w:rFonts w:hint="eastAsia" w:ascii="仿宋" w:hAnsi="仿宋" w:eastAsia="仿宋" w:cs="仿宋"/>
          <w:b/>
          <w:bCs/>
          <w:snapToGrid/>
          <w:sz w:val="24"/>
          <w:szCs w:val="24"/>
          <w:lang w:val="en-US" w:eastAsia="zh-CN"/>
        </w:rPr>
        <w:t>日</w:t>
      </w:r>
    </w:p>
    <w:p w14:paraId="29C811CF">
      <w:pPr>
        <w:ind w:left="0" w:leftChars="0" w:firstLine="600" w:firstLineChars="200"/>
        <w:rPr>
          <w:rFonts w:hint="default" w:ascii="Times New Roman" w:hAnsi="Times New Roman"/>
          <w:snapToGrid/>
          <w:lang w:val="en-US" w:eastAsia="zh-CN"/>
        </w:rPr>
      </w:pPr>
      <w:r>
        <w:rPr>
          <w:rFonts w:hint="eastAsia" w:ascii="Times New Roman" w:hAnsi="Times New Roman"/>
          <w:snapToGrid/>
          <w:lang w:val="en-US" w:eastAsia="zh-CN"/>
        </w:rPr>
        <w:t>因其丰富的自然资源，近年来桃江畜牧水产养殖业发展速度较快。2023年，桃江县出栏生猪65.21万头，下降3.1%；出栏牛2.07万头，下降7.2%；出栏羊5.11万只，下降11.3%；出笼家禽451.35万羽，下降3.5%；禽蛋产量24900吨，增长11.7%。水产品总产量14577吨，增长4.2%。市级畜牧水产龙头企业4家，已形成生猪、黄牛、家禽、罗氏沼虾、鳗鱼、中华绒螯蟹、鲈鱼、中华鳖等多品种的特色畜牧水产养殖格局。近年来，桃江先后获得“国家级水产健康养殖和生态养殖示范区”“湖南省优秀生猪规模场监测县”“湖南省生猪良补项目执行优秀县”“湖南省水产养殖种质资源普查工作优秀县”等称号。</w:t>
      </w:r>
    </w:p>
    <w:p w14:paraId="5FCACD0C">
      <w:pPr>
        <w:ind w:left="0" w:leftChars="0" w:firstLine="602" w:firstLineChars="200"/>
        <w:rPr>
          <w:rFonts w:hint="default" w:ascii="仿宋" w:hAnsi="仿宋" w:cs="仿宋"/>
          <w:b/>
          <w:bCs/>
          <w:snapToGrid/>
          <w:lang w:val="en-US" w:eastAsia="zh-CN"/>
        </w:rPr>
      </w:pPr>
      <w:r>
        <w:rPr>
          <w:rFonts w:hint="eastAsia" w:ascii="仿宋" w:hAnsi="仿宋" w:cs="仿宋"/>
          <w:b/>
          <w:bCs/>
          <w:snapToGrid/>
          <w:lang w:val="en-US" w:eastAsia="zh-CN"/>
        </w:rPr>
        <w:t>5</w:t>
      </w:r>
      <w:r>
        <w:rPr>
          <w:rFonts w:hint="eastAsia" w:ascii="仿宋" w:hAnsi="仿宋" w:eastAsia="仿宋" w:cs="仿宋"/>
          <w:b/>
          <w:bCs/>
          <w:snapToGrid/>
          <w:lang w:val="en-US" w:eastAsia="zh-CN"/>
        </w:rPr>
        <w:t>.</w:t>
      </w:r>
      <w:r>
        <w:rPr>
          <w:rFonts w:hint="eastAsia" w:ascii="仿宋" w:hAnsi="仿宋" w:cs="仿宋"/>
          <w:b/>
          <w:bCs/>
          <w:snapToGrid/>
          <w:lang w:val="en-US" w:eastAsia="zh-CN"/>
        </w:rPr>
        <w:t>休闲食品产业</w:t>
      </w:r>
    </w:p>
    <w:p w14:paraId="0BD7F2CD">
      <w:pPr>
        <w:bidi w:val="0"/>
        <w:rPr>
          <w:rFonts w:hint="default"/>
          <w:lang w:val="en-US" w:eastAsia="zh-CN"/>
        </w:rPr>
      </w:pPr>
      <w:r>
        <w:rPr>
          <w:rFonts w:hint="eastAsia" w:ascii="Times New Roman" w:hAnsi="Times New Roman"/>
          <w:snapToGrid/>
          <w:kern w:val="2"/>
          <w:szCs w:val="28"/>
          <w:lang w:val="en-US" w:eastAsia="zh-CN"/>
        </w:rPr>
        <w:t>近年来，我国休闲食品市场规模一直呈稳定增长态势。数据显示，2023年中国休闲食品行业的市场规模达到9286亿元，近五年年均复合增长率为5.12%。受人均可支配收入增长、消费场景日益丰富、创新产品的不断推出以及销售渠道不断拓展等因素所推动，预计2030年中国休闲食品行业市场规模将达到14000亿元，年均复合增长率6%。</w:t>
      </w:r>
      <w:r>
        <w:rPr>
          <w:rFonts w:hint="default"/>
          <w:lang w:val="en-US" w:eastAsia="zh-CN"/>
        </w:rPr>
        <w:t>休闲食品行业处于消费升级过程中，消费者对于好食材、好味道、低负担、有营养、更新鲜的诉求是广泛存在而且持续增加的。</w:t>
      </w:r>
    </w:p>
    <w:p w14:paraId="592DD782">
      <w:pPr>
        <w:ind w:firstLine="0" w:firstLineChars="0"/>
        <w:jc w:val="center"/>
        <w:rPr>
          <w:rFonts w:hint="default"/>
          <w:lang w:val="en-US" w:eastAsia="zh-CN"/>
        </w:rPr>
      </w:pPr>
      <w:r>
        <w:rPr>
          <w:rFonts w:ascii="Times New Roman" w:hAnsi="Times New Roman" w:eastAsia="黑体" w:cs="Times New Roman"/>
          <w:color w:val="000000" w:themeColor="text1"/>
          <w:sz w:val="24"/>
          <w14:textFill>
            <w14:solidFill>
              <w14:schemeClr w14:val="tx1"/>
            </w14:solidFill>
          </w14:textFill>
        </w:rPr>
        <w:t>图</w:t>
      </w:r>
      <w:r>
        <w:rPr>
          <w:rFonts w:hint="eastAsia" w:ascii="Times New Roman" w:hAnsi="Times New Roman" w:eastAsia="黑体" w:cs="Times New Roman"/>
          <w:color w:val="000000" w:themeColor="text1"/>
          <w:sz w:val="24"/>
          <w:lang w:val="en-US" w:eastAsia="zh-CN"/>
          <w14:textFill>
            <w14:solidFill>
              <w14:schemeClr w14:val="tx1"/>
            </w14:solidFill>
          </w14:textFill>
        </w:rPr>
        <w:t>4</w:t>
      </w:r>
      <w:r>
        <w:rPr>
          <w:rFonts w:ascii="Times New Roman" w:hAnsi="Times New Roman" w:eastAsia="黑体" w:cs="Times New Roman"/>
          <w:color w:val="000000" w:themeColor="text1"/>
          <w:sz w:val="24"/>
          <w14:textFill>
            <w14:solidFill>
              <w14:schemeClr w14:val="tx1"/>
            </w14:solidFill>
          </w14:textFill>
        </w:rPr>
        <w:t>.</w:t>
      </w:r>
      <w:r>
        <w:rPr>
          <w:rFonts w:hint="eastAsia" w:ascii="Times New Roman" w:hAnsi="Times New Roman" w:eastAsia="黑体" w:cs="Times New Roman"/>
          <w:color w:val="000000" w:themeColor="text1"/>
          <w:sz w:val="24"/>
          <w:lang w:val="en-US" w:eastAsia="zh-CN"/>
          <w14:textFill>
            <w14:solidFill>
              <w14:schemeClr w14:val="tx1"/>
            </w14:solidFill>
          </w14:textFill>
        </w:rPr>
        <w:t>2</w:t>
      </w:r>
      <w:r>
        <w:rPr>
          <w:rFonts w:ascii="Times New Roman" w:hAnsi="Times New Roman" w:eastAsia="黑体" w:cs="Times New Roman"/>
          <w:color w:val="000000" w:themeColor="text1"/>
          <w:sz w:val="24"/>
          <w14:textFill>
            <w14:solidFill>
              <w14:schemeClr w14:val="tx1"/>
            </w14:solidFill>
          </w14:textFill>
        </w:rPr>
        <w:t>-</w:t>
      </w:r>
      <w:r>
        <w:rPr>
          <w:rFonts w:hint="eastAsia" w:ascii="Times New Roman" w:hAnsi="Times New Roman" w:eastAsia="黑体" w:cs="Times New Roman"/>
          <w:color w:val="000000" w:themeColor="text1"/>
          <w:sz w:val="24"/>
          <w:lang w:val="en-US" w:eastAsia="zh-CN"/>
          <w14:textFill>
            <w14:solidFill>
              <w14:schemeClr w14:val="tx1"/>
            </w14:solidFill>
          </w14:textFill>
        </w:rPr>
        <w:t>4</w:t>
      </w:r>
      <w:r>
        <w:rPr>
          <w:rFonts w:ascii="Times New Roman" w:hAnsi="Times New Roman" w:eastAsia="黑体" w:cs="Times New Roman"/>
          <w:color w:val="000000" w:themeColor="text1"/>
          <w:sz w:val="24"/>
          <w14:textFill>
            <w14:solidFill>
              <w14:schemeClr w14:val="tx1"/>
            </w14:solidFill>
          </w14:textFill>
        </w:rPr>
        <w:t xml:space="preserve"> </w:t>
      </w:r>
      <w:r>
        <w:rPr>
          <w:rFonts w:hint="eastAsia" w:ascii="Times New Roman" w:hAnsi="Times New Roman" w:eastAsia="黑体" w:cs="Times New Roman"/>
          <w:color w:val="000000" w:themeColor="text1"/>
          <w:sz w:val="24"/>
          <w:lang w:val="en-US" w:eastAsia="zh-CN"/>
          <w14:textFill>
            <w14:solidFill>
              <w14:schemeClr w14:val="tx1"/>
            </w14:solidFill>
          </w14:textFill>
        </w:rPr>
        <w:t>中国休闲食品上市企业top10</w:t>
      </w:r>
    </w:p>
    <w:tbl>
      <w:tblPr>
        <w:tblStyle w:val="34"/>
        <w:tblW w:w="85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0"/>
        <w:gridCol w:w="1465"/>
        <w:gridCol w:w="1275"/>
        <w:gridCol w:w="5128"/>
      </w:tblGrid>
      <w:tr w14:paraId="73375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blHeader/>
          <w:jc w:val="center"/>
        </w:trPr>
        <w:tc>
          <w:tcPr>
            <w:tcW w:w="69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1E7CB60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bCs/>
                <w:i w:val="0"/>
                <w:iCs w:val="0"/>
                <w:color w:val="000000"/>
                <w:sz w:val="24"/>
                <w:szCs w:val="24"/>
                <w:u w:val="none"/>
              </w:rPr>
            </w:pPr>
            <w:bookmarkStart w:id="104" w:name="_Toc18893"/>
            <w:bookmarkStart w:id="105" w:name="_Toc21833"/>
            <w:bookmarkStart w:id="106" w:name="_Toc9859"/>
            <w:bookmarkStart w:id="107" w:name="_Toc20172"/>
            <w:r>
              <w:rPr>
                <w:rFonts w:hint="default" w:ascii="Times New Roman" w:hAnsi="Times New Roman" w:eastAsia="仿宋" w:cs="Times New Roman"/>
                <w:b/>
                <w:bCs/>
                <w:i w:val="0"/>
                <w:iCs w:val="0"/>
                <w:snapToGrid w:val="0"/>
                <w:color w:val="000000"/>
                <w:kern w:val="0"/>
                <w:sz w:val="24"/>
                <w:szCs w:val="24"/>
                <w:u w:val="none"/>
                <w:lang w:val="en-US" w:eastAsia="zh-CN" w:bidi="ar"/>
              </w:rPr>
              <w:t>序号</w:t>
            </w:r>
          </w:p>
        </w:tc>
        <w:tc>
          <w:tcPr>
            <w:tcW w:w="1465"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71B3897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bCs/>
                <w:i w:val="0"/>
                <w:iCs w:val="0"/>
                <w:color w:val="000000"/>
                <w:sz w:val="24"/>
                <w:szCs w:val="24"/>
                <w:u w:val="none"/>
              </w:rPr>
            </w:pPr>
            <w:r>
              <w:rPr>
                <w:rFonts w:hint="default" w:ascii="Times New Roman" w:hAnsi="Times New Roman" w:eastAsia="仿宋" w:cs="Times New Roman"/>
                <w:b/>
                <w:bCs/>
                <w:i w:val="0"/>
                <w:iCs w:val="0"/>
                <w:snapToGrid w:val="0"/>
                <w:color w:val="000000"/>
                <w:kern w:val="0"/>
                <w:sz w:val="24"/>
                <w:szCs w:val="24"/>
                <w:u w:val="none"/>
                <w:lang w:val="en-US" w:eastAsia="zh-CN" w:bidi="ar"/>
              </w:rPr>
              <w:t>企业</w:t>
            </w:r>
          </w:p>
        </w:tc>
        <w:tc>
          <w:tcPr>
            <w:tcW w:w="1275"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05461A7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bCs/>
                <w:i w:val="0"/>
                <w:iCs w:val="0"/>
                <w:color w:val="000000"/>
                <w:sz w:val="24"/>
                <w:szCs w:val="24"/>
                <w:u w:val="none"/>
              </w:rPr>
            </w:pPr>
            <w:r>
              <w:rPr>
                <w:rFonts w:hint="default" w:ascii="Times New Roman" w:hAnsi="Times New Roman" w:eastAsia="仿宋" w:cs="Times New Roman"/>
                <w:b/>
                <w:bCs/>
                <w:i w:val="0"/>
                <w:iCs w:val="0"/>
                <w:snapToGrid w:val="0"/>
                <w:color w:val="000000"/>
                <w:kern w:val="0"/>
                <w:sz w:val="24"/>
                <w:szCs w:val="24"/>
                <w:u w:val="none"/>
                <w:lang w:val="en-US" w:eastAsia="zh-CN" w:bidi="ar"/>
              </w:rPr>
              <w:t>市值</w:t>
            </w:r>
            <w:r>
              <w:rPr>
                <w:rFonts w:hint="eastAsia" w:ascii="Times New Roman" w:hAnsi="Times New Roman" w:cs="Times New Roman"/>
                <w:b/>
                <w:bCs/>
                <w:i w:val="0"/>
                <w:iCs w:val="0"/>
                <w:snapToGrid w:val="0"/>
                <w:color w:val="000000"/>
                <w:kern w:val="0"/>
                <w:sz w:val="24"/>
                <w:szCs w:val="24"/>
                <w:u w:val="none"/>
                <w:lang w:val="en-US" w:eastAsia="zh-CN" w:bidi="ar"/>
              </w:rPr>
              <w:t xml:space="preserve">    </w:t>
            </w:r>
            <w:r>
              <w:rPr>
                <w:rFonts w:hint="default" w:ascii="Times New Roman" w:hAnsi="Times New Roman" w:eastAsia="仿宋" w:cs="Times New Roman"/>
                <w:b/>
                <w:bCs/>
                <w:i w:val="0"/>
                <w:iCs w:val="0"/>
                <w:snapToGrid w:val="0"/>
                <w:color w:val="000000"/>
                <w:kern w:val="0"/>
                <w:sz w:val="24"/>
                <w:szCs w:val="24"/>
                <w:u w:val="none"/>
                <w:lang w:val="en-US" w:eastAsia="zh-CN" w:bidi="ar"/>
              </w:rPr>
              <w:t>（亿元）</w:t>
            </w:r>
          </w:p>
        </w:tc>
        <w:tc>
          <w:tcPr>
            <w:tcW w:w="5128"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6438F5E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bCs/>
                <w:i w:val="0"/>
                <w:iCs w:val="0"/>
                <w:color w:val="000000"/>
                <w:sz w:val="24"/>
                <w:szCs w:val="24"/>
                <w:u w:val="none"/>
              </w:rPr>
            </w:pPr>
            <w:r>
              <w:rPr>
                <w:rFonts w:hint="default" w:ascii="Times New Roman" w:hAnsi="Times New Roman" w:eastAsia="仿宋" w:cs="Times New Roman"/>
                <w:b/>
                <w:bCs/>
                <w:i w:val="0"/>
                <w:iCs w:val="0"/>
                <w:snapToGrid w:val="0"/>
                <w:color w:val="000000"/>
                <w:kern w:val="0"/>
                <w:sz w:val="24"/>
                <w:szCs w:val="24"/>
                <w:u w:val="none"/>
                <w:lang w:val="en-US" w:eastAsia="zh-CN" w:bidi="ar"/>
              </w:rPr>
              <w:t>主要产品</w:t>
            </w:r>
          </w:p>
        </w:tc>
      </w:tr>
      <w:tr w14:paraId="16078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8717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1</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BCB6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洽洽食品</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8E19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lang w:val="en-US"/>
              </w:rPr>
            </w:pPr>
            <w:r>
              <w:rPr>
                <w:rFonts w:hint="eastAsia" w:ascii="Times New Roman" w:hAnsi="Times New Roman" w:cs="Times New Roman"/>
                <w:i w:val="0"/>
                <w:iCs w:val="0"/>
                <w:snapToGrid w:val="0"/>
                <w:color w:val="000000"/>
                <w:kern w:val="0"/>
                <w:sz w:val="24"/>
                <w:szCs w:val="24"/>
                <w:u w:val="none"/>
                <w:lang w:val="en-US" w:eastAsia="zh-CN" w:bidi="ar"/>
              </w:rPr>
              <w:t>162.4</w:t>
            </w:r>
          </w:p>
        </w:tc>
        <w:tc>
          <w:tcPr>
            <w:tcW w:w="5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C167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坚果炒货类、焙烤类和薯片类等休闲食品</w:t>
            </w:r>
          </w:p>
        </w:tc>
      </w:tr>
      <w:tr w14:paraId="11F5A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A99B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2</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22AC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盐津铺子</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3F41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lang w:val="en-US"/>
              </w:rPr>
            </w:pPr>
            <w:r>
              <w:rPr>
                <w:rFonts w:hint="eastAsia" w:ascii="Times New Roman" w:hAnsi="Times New Roman" w:cs="Times New Roman"/>
                <w:i w:val="0"/>
                <w:iCs w:val="0"/>
                <w:snapToGrid w:val="0"/>
                <w:color w:val="000000"/>
                <w:kern w:val="0"/>
                <w:sz w:val="24"/>
                <w:szCs w:val="24"/>
                <w:u w:val="none"/>
                <w:lang w:val="en-US" w:eastAsia="zh-CN" w:bidi="ar"/>
              </w:rPr>
              <w:t>155.6</w:t>
            </w:r>
          </w:p>
        </w:tc>
        <w:tc>
          <w:tcPr>
            <w:tcW w:w="5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2B4C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辣卤零食、薯类零食、深海零食、休闲烘焙、蛋类零食、蒟蒻果冻布丁、果干坚果等</w:t>
            </w:r>
          </w:p>
        </w:tc>
      </w:tr>
      <w:tr w14:paraId="2F610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AD4D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snapToGrid w:val="0"/>
                <w:color w:val="000000"/>
                <w:sz w:val="24"/>
                <w:szCs w:val="24"/>
                <w:u w:val="none"/>
                <w:lang w:val="en-US" w:eastAsia="zh-CN" w:bidi="ar-SA"/>
              </w:rPr>
            </w:pPr>
            <w:r>
              <w:rPr>
                <w:rFonts w:hint="eastAsia" w:ascii="Times New Roman" w:hAnsi="Times New Roman" w:cs="Times New Roman"/>
                <w:i w:val="0"/>
                <w:iCs w:val="0"/>
                <w:snapToGrid w:val="0"/>
                <w:color w:val="000000"/>
                <w:kern w:val="0"/>
                <w:sz w:val="24"/>
                <w:szCs w:val="24"/>
                <w:u w:val="none"/>
                <w:lang w:val="en-US" w:eastAsia="zh-CN" w:bidi="ar"/>
              </w:rPr>
              <w:t>3</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1D60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snapToGrid w:val="0"/>
                <w:color w:val="000000"/>
                <w:sz w:val="24"/>
                <w:szCs w:val="24"/>
                <w:u w:val="none"/>
                <w:lang w:val="en-US" w:eastAsia="zh-CN" w:bidi="ar-SA"/>
              </w:rPr>
            </w:pPr>
            <w:r>
              <w:rPr>
                <w:rFonts w:hint="default" w:ascii="Times New Roman" w:hAnsi="Times New Roman" w:eastAsia="仿宋" w:cs="Times New Roman"/>
                <w:i w:val="0"/>
                <w:iCs w:val="0"/>
                <w:snapToGrid w:val="0"/>
                <w:color w:val="000000"/>
                <w:kern w:val="0"/>
                <w:sz w:val="24"/>
                <w:szCs w:val="24"/>
                <w:u w:val="none"/>
                <w:lang w:val="en-US" w:eastAsia="zh-CN" w:bidi="ar"/>
              </w:rPr>
              <w:t>三只松鼠</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B737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仿宋" w:cs="Times New Roman"/>
                <w:i w:val="0"/>
                <w:iCs w:val="0"/>
                <w:snapToGrid w:val="0"/>
                <w:color w:val="000000"/>
                <w:sz w:val="24"/>
                <w:szCs w:val="24"/>
                <w:u w:val="none"/>
                <w:lang w:val="en-US" w:eastAsia="zh-CN" w:bidi="ar-SA"/>
              </w:rPr>
            </w:pPr>
            <w:r>
              <w:rPr>
                <w:rFonts w:hint="eastAsia" w:ascii="Times New Roman" w:hAnsi="Times New Roman" w:cs="Times New Roman"/>
                <w:i w:val="0"/>
                <w:iCs w:val="0"/>
                <w:snapToGrid w:val="0"/>
                <w:color w:val="000000"/>
                <w:kern w:val="0"/>
                <w:sz w:val="24"/>
                <w:szCs w:val="24"/>
                <w:u w:val="none"/>
                <w:lang w:val="en-US" w:eastAsia="zh-CN" w:bidi="ar"/>
              </w:rPr>
              <w:t>141.7</w:t>
            </w:r>
          </w:p>
        </w:tc>
        <w:tc>
          <w:tcPr>
            <w:tcW w:w="5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517A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 w:cs="Times New Roman"/>
                <w:i w:val="0"/>
                <w:iCs w:val="0"/>
                <w:snapToGrid w:val="0"/>
                <w:color w:val="000000"/>
                <w:sz w:val="24"/>
                <w:szCs w:val="24"/>
                <w:u w:val="none"/>
                <w:lang w:val="en-US" w:eastAsia="zh-CN" w:bidi="ar-SA"/>
              </w:rPr>
            </w:pPr>
            <w:r>
              <w:rPr>
                <w:rFonts w:hint="default" w:ascii="Times New Roman" w:hAnsi="Times New Roman" w:eastAsia="仿宋" w:cs="Times New Roman"/>
                <w:i w:val="0"/>
                <w:iCs w:val="0"/>
                <w:snapToGrid w:val="0"/>
                <w:color w:val="000000"/>
                <w:kern w:val="0"/>
                <w:sz w:val="24"/>
                <w:szCs w:val="24"/>
                <w:u w:val="none"/>
                <w:lang w:val="en-US" w:eastAsia="zh-CN" w:bidi="ar"/>
              </w:rPr>
              <w:t>坚果、果干、肉脯、糕点等</w:t>
            </w:r>
          </w:p>
        </w:tc>
      </w:tr>
      <w:tr w14:paraId="79CBF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7B79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snapToGrid w:val="0"/>
                <w:color w:val="000000"/>
                <w:sz w:val="24"/>
                <w:szCs w:val="24"/>
                <w:u w:val="none"/>
                <w:lang w:val="en-US" w:eastAsia="zh-CN" w:bidi="ar-SA"/>
              </w:rPr>
            </w:pPr>
            <w:r>
              <w:rPr>
                <w:rFonts w:hint="eastAsia" w:ascii="Times New Roman" w:hAnsi="Times New Roman" w:cs="Times New Roman"/>
                <w:i w:val="0"/>
                <w:iCs w:val="0"/>
                <w:snapToGrid w:val="0"/>
                <w:color w:val="000000"/>
                <w:kern w:val="0"/>
                <w:sz w:val="24"/>
                <w:szCs w:val="24"/>
                <w:u w:val="none"/>
                <w:lang w:val="en-US" w:eastAsia="zh-CN" w:bidi="ar"/>
              </w:rPr>
              <w:t>4</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A07D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snapToGrid w:val="0"/>
                <w:color w:val="000000"/>
                <w:sz w:val="24"/>
                <w:szCs w:val="24"/>
                <w:u w:val="none"/>
                <w:lang w:val="en-US" w:eastAsia="zh-CN" w:bidi="ar-SA"/>
              </w:rPr>
            </w:pPr>
            <w:r>
              <w:rPr>
                <w:rFonts w:hint="default" w:ascii="Times New Roman" w:hAnsi="Times New Roman" w:eastAsia="仿宋" w:cs="Times New Roman"/>
                <w:i w:val="0"/>
                <w:iCs w:val="0"/>
                <w:snapToGrid w:val="0"/>
                <w:color w:val="000000"/>
                <w:kern w:val="0"/>
                <w:sz w:val="24"/>
                <w:szCs w:val="24"/>
                <w:u w:val="none"/>
                <w:lang w:val="en-US" w:eastAsia="zh-CN" w:bidi="ar"/>
              </w:rPr>
              <w:t>绝味食品</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D93F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仿宋" w:cs="Times New Roman"/>
                <w:i w:val="0"/>
                <w:iCs w:val="0"/>
                <w:snapToGrid w:val="0"/>
                <w:color w:val="000000"/>
                <w:sz w:val="24"/>
                <w:szCs w:val="24"/>
                <w:u w:val="none"/>
                <w:lang w:val="en-US" w:eastAsia="zh-CN" w:bidi="ar-SA"/>
              </w:rPr>
            </w:pPr>
            <w:r>
              <w:rPr>
                <w:rFonts w:hint="eastAsia" w:ascii="Times New Roman" w:hAnsi="Times New Roman" w:cs="Times New Roman"/>
                <w:i w:val="0"/>
                <w:iCs w:val="0"/>
                <w:snapToGrid w:val="0"/>
                <w:color w:val="000000"/>
                <w:kern w:val="0"/>
                <w:sz w:val="24"/>
                <w:szCs w:val="24"/>
                <w:u w:val="none"/>
                <w:lang w:val="en-US" w:eastAsia="zh-CN" w:bidi="ar"/>
              </w:rPr>
              <w:t>127.2</w:t>
            </w:r>
          </w:p>
        </w:tc>
        <w:tc>
          <w:tcPr>
            <w:tcW w:w="5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6886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 w:cs="Times New Roman"/>
                <w:i w:val="0"/>
                <w:iCs w:val="0"/>
                <w:snapToGrid w:val="0"/>
                <w:color w:val="000000"/>
                <w:sz w:val="24"/>
                <w:szCs w:val="24"/>
                <w:u w:val="none"/>
                <w:lang w:val="en-US" w:eastAsia="zh-CN" w:bidi="ar-SA"/>
              </w:rPr>
            </w:pPr>
            <w:r>
              <w:rPr>
                <w:rFonts w:hint="default" w:ascii="Times New Roman" w:hAnsi="Times New Roman" w:eastAsia="仿宋" w:cs="Times New Roman"/>
                <w:i w:val="0"/>
                <w:iCs w:val="0"/>
                <w:snapToGrid w:val="0"/>
                <w:color w:val="000000"/>
                <w:kern w:val="0"/>
                <w:sz w:val="24"/>
                <w:szCs w:val="24"/>
                <w:u w:val="none"/>
                <w:lang w:val="en-US" w:eastAsia="zh-CN" w:bidi="ar"/>
              </w:rPr>
              <w:t>卤制品、肉制品等</w:t>
            </w:r>
          </w:p>
        </w:tc>
      </w:tr>
      <w:tr w14:paraId="06D14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92D2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eastAsia" w:ascii="Times New Roman" w:hAnsi="Times New Roman" w:cs="Times New Roman"/>
                <w:i w:val="0"/>
                <w:iCs w:val="0"/>
                <w:snapToGrid w:val="0"/>
                <w:color w:val="000000"/>
                <w:kern w:val="0"/>
                <w:sz w:val="24"/>
                <w:szCs w:val="24"/>
                <w:u w:val="none"/>
                <w:lang w:val="en-US" w:eastAsia="zh-CN" w:bidi="ar"/>
              </w:rPr>
              <w:t>5</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F22F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桃李面包</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0197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lang w:val="en-US" w:eastAsia="zh-CN"/>
              </w:rPr>
            </w:pPr>
            <w:r>
              <w:rPr>
                <w:rFonts w:hint="eastAsia" w:ascii="Times New Roman" w:hAnsi="Times New Roman" w:cs="Times New Roman"/>
                <w:i w:val="0"/>
                <w:iCs w:val="0"/>
                <w:color w:val="000000"/>
                <w:sz w:val="24"/>
                <w:szCs w:val="24"/>
                <w:u w:val="none"/>
                <w:lang w:val="en-US" w:eastAsia="zh-CN"/>
              </w:rPr>
              <w:t>105.7</w:t>
            </w:r>
          </w:p>
        </w:tc>
        <w:tc>
          <w:tcPr>
            <w:tcW w:w="5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7ABC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面包、糕点等烘焙类休闲食品</w:t>
            </w:r>
          </w:p>
        </w:tc>
      </w:tr>
      <w:tr w14:paraId="22E72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9EF7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eastAsia" w:ascii="Times New Roman" w:hAnsi="Times New Roman" w:cs="Times New Roman"/>
                <w:i w:val="0"/>
                <w:iCs w:val="0"/>
                <w:snapToGrid w:val="0"/>
                <w:color w:val="000000"/>
                <w:kern w:val="0"/>
                <w:sz w:val="24"/>
                <w:szCs w:val="24"/>
                <w:u w:val="none"/>
                <w:lang w:val="en-US" w:eastAsia="zh-CN" w:bidi="ar"/>
              </w:rPr>
              <w:t>6</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B0C9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广州酒家</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1080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lang w:val="en-US"/>
              </w:rPr>
            </w:pPr>
            <w:r>
              <w:rPr>
                <w:rFonts w:hint="eastAsia" w:ascii="Times New Roman" w:hAnsi="Times New Roman" w:cs="Times New Roman"/>
                <w:i w:val="0"/>
                <w:iCs w:val="0"/>
                <w:snapToGrid w:val="0"/>
                <w:color w:val="000000"/>
                <w:kern w:val="0"/>
                <w:sz w:val="24"/>
                <w:szCs w:val="24"/>
                <w:u w:val="none"/>
                <w:lang w:val="en-US" w:eastAsia="zh-CN" w:bidi="ar"/>
              </w:rPr>
              <w:t>95.50</w:t>
            </w:r>
          </w:p>
        </w:tc>
        <w:tc>
          <w:tcPr>
            <w:tcW w:w="5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5069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月饼、速冻食品、餐饮、点心等</w:t>
            </w:r>
          </w:p>
        </w:tc>
      </w:tr>
      <w:tr w14:paraId="5BD28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5A40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7</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852B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南桥食品</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0DB0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lang w:val="en-US"/>
              </w:rPr>
            </w:pPr>
            <w:r>
              <w:rPr>
                <w:rFonts w:hint="eastAsia" w:ascii="Times New Roman" w:hAnsi="Times New Roman" w:cs="Times New Roman"/>
                <w:i w:val="0"/>
                <w:iCs w:val="0"/>
                <w:snapToGrid w:val="0"/>
                <w:color w:val="000000"/>
                <w:kern w:val="0"/>
                <w:sz w:val="24"/>
                <w:szCs w:val="24"/>
                <w:u w:val="none"/>
                <w:lang w:val="en-US" w:eastAsia="zh-CN" w:bidi="ar"/>
              </w:rPr>
              <w:t>74.42</w:t>
            </w:r>
          </w:p>
        </w:tc>
        <w:tc>
          <w:tcPr>
            <w:tcW w:w="5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6672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乳腐、豆制品、雪糕、烘焙油等</w:t>
            </w:r>
          </w:p>
        </w:tc>
      </w:tr>
      <w:tr w14:paraId="0A9ED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B432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8</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20F3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紫燕食品</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C20F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lang w:val="en-US"/>
              </w:rPr>
            </w:pPr>
            <w:r>
              <w:rPr>
                <w:rFonts w:hint="eastAsia" w:ascii="Times New Roman" w:hAnsi="Times New Roman" w:cs="Times New Roman"/>
                <w:i w:val="0"/>
                <w:iCs w:val="0"/>
                <w:snapToGrid w:val="0"/>
                <w:color w:val="000000"/>
                <w:kern w:val="0"/>
                <w:sz w:val="24"/>
                <w:szCs w:val="24"/>
                <w:u w:val="none"/>
                <w:lang w:val="en-US" w:eastAsia="zh-CN" w:bidi="ar"/>
              </w:rPr>
              <w:t>72.41</w:t>
            </w:r>
          </w:p>
        </w:tc>
        <w:tc>
          <w:tcPr>
            <w:tcW w:w="5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9C52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卤制品、肉制品等</w:t>
            </w:r>
          </w:p>
        </w:tc>
      </w:tr>
      <w:tr w14:paraId="364DB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D212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snapToGrid w:val="0"/>
                <w:color w:val="000000"/>
                <w:sz w:val="24"/>
                <w:szCs w:val="24"/>
                <w:u w:val="none"/>
                <w:lang w:val="en-US" w:eastAsia="zh-CN" w:bidi="ar-SA"/>
              </w:rPr>
            </w:pPr>
            <w:r>
              <w:rPr>
                <w:rFonts w:hint="eastAsia" w:ascii="Times New Roman" w:hAnsi="Times New Roman" w:cs="Times New Roman"/>
                <w:i w:val="0"/>
                <w:iCs w:val="0"/>
                <w:snapToGrid w:val="0"/>
                <w:color w:val="000000"/>
                <w:kern w:val="0"/>
                <w:sz w:val="24"/>
                <w:szCs w:val="24"/>
                <w:u w:val="none"/>
                <w:lang w:val="en-US" w:eastAsia="zh-CN" w:bidi="ar"/>
              </w:rPr>
              <w:t>9</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835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snapToGrid w:val="0"/>
                <w:color w:val="000000"/>
                <w:sz w:val="24"/>
                <w:szCs w:val="24"/>
                <w:u w:val="none"/>
                <w:lang w:val="en-US" w:eastAsia="zh-CN" w:bidi="ar-SA"/>
              </w:rPr>
            </w:pPr>
            <w:r>
              <w:rPr>
                <w:rFonts w:hint="default" w:ascii="Times New Roman" w:hAnsi="Times New Roman" w:eastAsia="仿宋" w:cs="Times New Roman"/>
                <w:i w:val="0"/>
                <w:iCs w:val="0"/>
                <w:snapToGrid w:val="0"/>
                <w:color w:val="000000"/>
                <w:kern w:val="0"/>
                <w:sz w:val="24"/>
                <w:szCs w:val="24"/>
                <w:u w:val="none"/>
                <w:lang w:val="en-US" w:eastAsia="zh-CN" w:bidi="ar"/>
              </w:rPr>
              <w:t>甘源食品</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D78A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仿宋" w:cs="Times New Roman"/>
                <w:i w:val="0"/>
                <w:iCs w:val="0"/>
                <w:snapToGrid w:val="0"/>
                <w:color w:val="000000"/>
                <w:sz w:val="24"/>
                <w:szCs w:val="24"/>
                <w:u w:val="none"/>
                <w:lang w:val="en-US" w:eastAsia="zh-CN" w:bidi="ar-SA"/>
              </w:rPr>
            </w:pPr>
            <w:r>
              <w:rPr>
                <w:rFonts w:hint="eastAsia" w:ascii="Times New Roman" w:hAnsi="Times New Roman" w:cs="Times New Roman"/>
                <w:i w:val="0"/>
                <w:iCs w:val="0"/>
                <w:snapToGrid w:val="0"/>
                <w:color w:val="000000"/>
                <w:kern w:val="0"/>
                <w:sz w:val="24"/>
                <w:szCs w:val="24"/>
                <w:u w:val="none"/>
                <w:lang w:val="en-US" w:eastAsia="zh-CN" w:bidi="ar"/>
              </w:rPr>
              <w:t>68.91</w:t>
            </w:r>
            <w:r>
              <w:rPr>
                <w:rFonts w:hint="default" w:ascii="Times New Roman" w:hAnsi="Times New Roman" w:eastAsia="仿宋" w:cs="Times New Roman"/>
                <w:i w:val="0"/>
                <w:iCs w:val="0"/>
                <w:snapToGrid w:val="0"/>
                <w:color w:val="000000"/>
                <w:kern w:val="0"/>
                <w:sz w:val="24"/>
                <w:szCs w:val="24"/>
                <w:u w:val="none"/>
                <w:lang w:val="en-US" w:eastAsia="zh-CN" w:bidi="ar"/>
              </w:rPr>
              <w:t xml:space="preserve"> </w:t>
            </w:r>
          </w:p>
        </w:tc>
        <w:tc>
          <w:tcPr>
            <w:tcW w:w="5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EFF6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 w:cs="Times New Roman"/>
                <w:i w:val="0"/>
                <w:iCs w:val="0"/>
                <w:snapToGrid w:val="0"/>
                <w:color w:val="000000"/>
                <w:sz w:val="24"/>
                <w:szCs w:val="24"/>
                <w:u w:val="none"/>
                <w:lang w:val="en-US" w:eastAsia="zh-CN" w:bidi="ar-SA"/>
              </w:rPr>
            </w:pPr>
            <w:r>
              <w:rPr>
                <w:rFonts w:hint="default" w:ascii="Times New Roman" w:hAnsi="Times New Roman" w:eastAsia="仿宋" w:cs="Times New Roman"/>
                <w:i w:val="0"/>
                <w:iCs w:val="0"/>
                <w:snapToGrid w:val="0"/>
                <w:color w:val="000000"/>
                <w:kern w:val="0"/>
                <w:sz w:val="24"/>
                <w:szCs w:val="24"/>
                <w:u w:val="none"/>
                <w:lang w:val="en-US" w:eastAsia="zh-CN" w:bidi="ar"/>
              </w:rPr>
              <w:t>青豌豆系列、瓜子仁系列、蚕豆系列、综合果仁及豆果系列等</w:t>
            </w:r>
          </w:p>
        </w:tc>
      </w:tr>
      <w:tr w14:paraId="6F581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734B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lang w:val="en-US"/>
              </w:rPr>
            </w:pPr>
            <w:r>
              <w:rPr>
                <w:rFonts w:hint="eastAsia" w:ascii="Times New Roman" w:hAnsi="Times New Roman" w:cs="Times New Roman"/>
                <w:i w:val="0"/>
                <w:iCs w:val="0"/>
                <w:snapToGrid w:val="0"/>
                <w:color w:val="000000"/>
                <w:kern w:val="0"/>
                <w:sz w:val="24"/>
                <w:szCs w:val="24"/>
                <w:u w:val="none"/>
                <w:lang w:val="en-US" w:eastAsia="zh-CN" w:bidi="ar"/>
              </w:rPr>
              <w:t>10</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34B0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劲仔食品</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DA5B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lang w:val="en-US"/>
              </w:rPr>
            </w:pPr>
            <w:r>
              <w:rPr>
                <w:rFonts w:hint="eastAsia" w:ascii="Times New Roman" w:hAnsi="Times New Roman" w:cs="Times New Roman"/>
                <w:i w:val="0"/>
                <w:iCs w:val="0"/>
                <w:snapToGrid w:val="0"/>
                <w:color w:val="000000"/>
                <w:kern w:val="0"/>
                <w:sz w:val="24"/>
                <w:szCs w:val="24"/>
                <w:u w:val="none"/>
                <w:lang w:val="en-US" w:eastAsia="zh-CN" w:bidi="ar"/>
              </w:rPr>
              <w:t>58.44</w:t>
            </w:r>
          </w:p>
        </w:tc>
        <w:tc>
          <w:tcPr>
            <w:tcW w:w="5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5814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napToGrid w:val="0"/>
                <w:color w:val="000000"/>
                <w:kern w:val="0"/>
                <w:sz w:val="24"/>
                <w:szCs w:val="24"/>
                <w:u w:val="none"/>
                <w:lang w:val="en-US" w:eastAsia="zh-CN" w:bidi="ar"/>
              </w:rPr>
              <w:t>卤制品、肉制品等</w:t>
            </w:r>
          </w:p>
        </w:tc>
      </w:tr>
    </w:tbl>
    <w:p w14:paraId="1B9038AB">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jc w:val="left"/>
        <w:textAlignment w:val="auto"/>
        <w:rPr>
          <w:rFonts w:ascii="Times New Roman" w:hAnsi="Times New Roman"/>
          <w:snapToGrid/>
        </w:rPr>
      </w:pPr>
      <w:r>
        <w:rPr>
          <w:rFonts w:hint="eastAsia" w:ascii="仿宋" w:hAnsi="仿宋" w:eastAsia="仿宋" w:cs="仿宋"/>
          <w:b/>
          <w:bCs/>
          <w:snapToGrid/>
          <w:sz w:val="24"/>
          <w:szCs w:val="24"/>
          <w:lang w:val="en-US" w:eastAsia="zh-CN"/>
        </w:rPr>
        <w:t>备注：数据截至2024年</w:t>
      </w:r>
      <w:r>
        <w:rPr>
          <w:rFonts w:hint="eastAsia" w:ascii="仿宋" w:hAnsi="仿宋" w:cs="仿宋"/>
          <w:b/>
          <w:bCs/>
          <w:snapToGrid/>
          <w:sz w:val="24"/>
          <w:szCs w:val="24"/>
          <w:lang w:val="en-US" w:eastAsia="zh-CN"/>
        </w:rPr>
        <w:t>11</w:t>
      </w:r>
      <w:r>
        <w:rPr>
          <w:rFonts w:hint="eastAsia" w:ascii="仿宋" w:hAnsi="仿宋" w:eastAsia="仿宋" w:cs="仿宋"/>
          <w:b/>
          <w:bCs/>
          <w:snapToGrid/>
          <w:sz w:val="24"/>
          <w:szCs w:val="24"/>
          <w:lang w:val="en-US" w:eastAsia="zh-CN"/>
        </w:rPr>
        <w:t>月</w:t>
      </w:r>
      <w:r>
        <w:rPr>
          <w:rFonts w:hint="eastAsia" w:ascii="仿宋" w:hAnsi="仿宋" w:cs="仿宋"/>
          <w:b/>
          <w:bCs/>
          <w:snapToGrid/>
          <w:sz w:val="24"/>
          <w:szCs w:val="24"/>
          <w:lang w:val="en-US" w:eastAsia="zh-CN"/>
        </w:rPr>
        <w:t>11</w:t>
      </w:r>
      <w:r>
        <w:rPr>
          <w:rFonts w:hint="eastAsia" w:ascii="仿宋" w:hAnsi="仿宋" w:eastAsia="仿宋" w:cs="仿宋"/>
          <w:b/>
          <w:bCs/>
          <w:snapToGrid/>
          <w:sz w:val="24"/>
          <w:szCs w:val="24"/>
          <w:lang w:val="en-US" w:eastAsia="zh-CN"/>
        </w:rPr>
        <w:t>日</w:t>
      </w:r>
    </w:p>
    <w:p w14:paraId="747EC3B5">
      <w:pPr>
        <w:numPr>
          <w:ilvl w:val="0"/>
          <w:numId w:val="0"/>
        </w:numPr>
        <w:ind w:firstLine="600" w:firstLineChars="200"/>
        <w:rPr>
          <w:rFonts w:hint="eastAsia" w:ascii="Times New Roman" w:hAnsi="Times New Roman" w:cs="Times New Roman"/>
          <w:lang w:val="en-US" w:eastAsia="zh-CN"/>
        </w:rPr>
      </w:pPr>
      <w:bookmarkStart w:id="108" w:name="_Toc6956"/>
      <w:r>
        <w:rPr>
          <w:rFonts w:hint="default" w:ascii="Times New Roman" w:hAnsi="Times New Roman" w:cs="Times New Roman"/>
          <w:lang w:val="en-US" w:eastAsia="zh-CN"/>
        </w:rPr>
        <w:t>休闲食品产业链上游是生产加工所需的各类农副产品。农副产品价格、质量等对休闲食品企业的生产成本、产品质量以及生产稳定性都产生较大影响。近年来，桃江县为了优化农产品种植结构、提高农民收入，积极引导和鼓励农户种植市场需求大、经济价值高的农副产品。</w:t>
      </w:r>
      <w:r>
        <w:rPr>
          <w:rFonts w:hint="eastAsia" w:ascii="Times New Roman" w:hAnsi="Times New Roman" w:cs="Times New Roman"/>
          <w:lang w:val="en-US" w:eastAsia="zh-CN"/>
        </w:rPr>
        <w:t>截至2023年底，桃江拥有极野食品、鱼山鱼海、四味食品等龙头企业，</w:t>
      </w:r>
      <w:r>
        <w:rPr>
          <w:rFonts w:hint="default" w:ascii="Times New Roman" w:hAnsi="Times New Roman" w:cs="Times New Roman"/>
          <w:lang w:val="en-US" w:eastAsia="zh-CN"/>
        </w:rPr>
        <w:t>桃花江擂茶、武潭鱼、鲊埠牛肉等桃江特色食品香飘四海。</w:t>
      </w:r>
    </w:p>
    <w:p w14:paraId="6BD06774">
      <w:pPr>
        <w:pStyle w:val="183"/>
        <w:rPr>
          <w:rFonts w:hint="eastAsia"/>
          <w:lang w:bidi="ar"/>
        </w:rPr>
      </w:pPr>
      <w:bookmarkStart w:id="109" w:name="_Toc17109"/>
      <w:bookmarkStart w:id="110" w:name="_Toc17893"/>
      <w:r>
        <w:rPr>
          <w:rFonts w:ascii="Times New Roman" w:hAnsi="Times New Roman"/>
          <w:snapToGrid/>
        </w:rPr>
        <w:t>（</w:t>
      </w:r>
      <w:r>
        <w:rPr>
          <w:rFonts w:hint="eastAsia"/>
          <w:snapToGrid/>
          <w:lang w:val="en-US" w:eastAsia="zh-CN"/>
        </w:rPr>
        <w:t>二</w:t>
      </w:r>
      <w:r>
        <w:rPr>
          <w:rFonts w:ascii="Times New Roman" w:hAnsi="Times New Roman"/>
          <w:snapToGrid/>
        </w:rPr>
        <w:t>）</w:t>
      </w:r>
      <w:r>
        <w:rPr>
          <w:rFonts w:hint="eastAsia"/>
          <w:lang w:val="en-US" w:eastAsia="zh-CN"/>
        </w:rPr>
        <w:t>发展目标</w:t>
      </w:r>
      <w:bookmarkEnd w:id="104"/>
      <w:bookmarkEnd w:id="105"/>
      <w:bookmarkEnd w:id="106"/>
      <w:bookmarkEnd w:id="107"/>
      <w:bookmarkEnd w:id="108"/>
      <w:bookmarkEnd w:id="109"/>
      <w:bookmarkEnd w:id="110"/>
    </w:p>
    <w:p w14:paraId="34F83BF7">
      <w:pPr>
        <w:pStyle w:val="181"/>
        <w:rPr>
          <w:rFonts w:hint="default" w:ascii="Times New Roman" w:hAnsi="Times New Roman"/>
          <w:snapToGrid/>
          <w:kern w:val="2"/>
          <w:szCs w:val="28"/>
          <w:lang w:val="en-US" w:eastAsia="zh-CN"/>
        </w:rPr>
      </w:pPr>
      <w:r>
        <w:rPr>
          <w:rFonts w:hint="eastAsia" w:ascii="Times New Roman" w:hAnsi="Times New Roman" w:cs="Times New Roman"/>
          <w:kern w:val="0"/>
          <w:sz w:val="30"/>
          <w:szCs w:val="30"/>
          <w:lang w:val="en-US" w:eastAsia="zh-CN"/>
        </w:rPr>
        <w:t>茶产业产值40亿元，蔬菜、</w:t>
      </w:r>
      <w:r>
        <w:rPr>
          <w:rFonts w:hint="eastAsia" w:ascii="Times New Roman" w:hAnsi="Times New Roman" w:eastAsia="仿宋" w:cs="Times New Roman"/>
          <w:kern w:val="0"/>
          <w:sz w:val="30"/>
          <w:szCs w:val="30"/>
        </w:rPr>
        <w:t>修山面</w:t>
      </w:r>
      <w:r>
        <w:rPr>
          <w:rFonts w:hint="eastAsia" w:ascii="Times New Roman" w:hAnsi="Times New Roman" w:cs="Times New Roman"/>
          <w:kern w:val="0"/>
          <w:sz w:val="30"/>
          <w:szCs w:val="30"/>
          <w:lang w:eastAsia="zh-CN"/>
        </w:rPr>
        <w:t>、</w:t>
      </w:r>
      <w:r>
        <w:rPr>
          <w:rFonts w:hint="eastAsia" w:ascii="Times New Roman" w:hAnsi="Times New Roman" w:cs="Times New Roman"/>
          <w:kern w:val="0"/>
          <w:sz w:val="30"/>
          <w:szCs w:val="30"/>
          <w:lang w:val="en-US" w:eastAsia="zh-CN"/>
        </w:rPr>
        <w:t>生态养殖</w:t>
      </w:r>
      <w:r>
        <w:rPr>
          <w:rFonts w:hint="eastAsia" w:ascii="Times New Roman" w:hAnsi="Times New Roman" w:eastAsia="仿宋" w:cs="Times New Roman"/>
          <w:kern w:val="0"/>
          <w:sz w:val="30"/>
          <w:szCs w:val="30"/>
          <w:lang w:val="en-US" w:eastAsia="zh-CN"/>
        </w:rPr>
        <w:t>等</w:t>
      </w:r>
      <w:r>
        <w:rPr>
          <w:rFonts w:hint="eastAsia" w:ascii="Times New Roman" w:hAnsi="Times New Roman" w:cs="Times New Roman"/>
          <w:kern w:val="0"/>
          <w:sz w:val="30"/>
          <w:szCs w:val="30"/>
          <w:lang w:val="en-US" w:eastAsia="zh-CN"/>
        </w:rPr>
        <w:t>其他</w:t>
      </w:r>
      <w:r>
        <w:rPr>
          <w:rFonts w:hint="eastAsia" w:ascii="Times New Roman" w:hAnsi="Times New Roman" w:eastAsia="仿宋" w:cs="Times New Roman"/>
          <w:kern w:val="0"/>
          <w:sz w:val="30"/>
          <w:szCs w:val="30"/>
        </w:rPr>
        <w:t>农副食品产值</w:t>
      </w:r>
      <w:r>
        <w:rPr>
          <w:rFonts w:hint="eastAsia" w:ascii="Times New Roman" w:hAnsi="Times New Roman" w:cs="Times New Roman"/>
          <w:kern w:val="0"/>
          <w:sz w:val="30"/>
          <w:szCs w:val="30"/>
          <w:lang w:val="en-US" w:eastAsia="zh-CN"/>
        </w:rPr>
        <w:t>40</w:t>
      </w:r>
      <w:r>
        <w:rPr>
          <w:rFonts w:hint="eastAsia" w:ascii="Times New Roman" w:hAnsi="Times New Roman" w:eastAsia="仿宋" w:cs="Times New Roman"/>
          <w:kern w:val="0"/>
          <w:sz w:val="30"/>
          <w:szCs w:val="30"/>
        </w:rPr>
        <w:t>亿元，休闲食品产业产值</w:t>
      </w:r>
      <w:r>
        <w:rPr>
          <w:rFonts w:hint="eastAsia" w:ascii="Times New Roman" w:hAnsi="Times New Roman" w:cs="Times New Roman"/>
          <w:kern w:val="0"/>
          <w:sz w:val="30"/>
          <w:szCs w:val="30"/>
          <w:lang w:val="en-US" w:eastAsia="zh-CN"/>
        </w:rPr>
        <w:t>20</w:t>
      </w:r>
      <w:r>
        <w:rPr>
          <w:rFonts w:hint="eastAsia" w:ascii="Times New Roman" w:hAnsi="Times New Roman" w:eastAsia="仿宋" w:cs="Times New Roman"/>
          <w:kern w:val="0"/>
          <w:sz w:val="30"/>
          <w:szCs w:val="30"/>
        </w:rPr>
        <w:t>亿元</w:t>
      </w:r>
      <w:r>
        <w:rPr>
          <w:rFonts w:hint="default" w:ascii="Times New Roman" w:hAnsi="Times New Roman" w:eastAsia="仿宋" w:cs="Times New Roman"/>
          <w:kern w:val="0"/>
          <w:sz w:val="30"/>
          <w:szCs w:val="30"/>
        </w:rPr>
        <w:t>。</w:t>
      </w:r>
      <w:r>
        <w:rPr>
          <w:rFonts w:hint="eastAsia"/>
        </w:rPr>
        <w:t>培育</w:t>
      </w:r>
      <w:r>
        <w:rPr>
          <w:rFonts w:hint="eastAsia"/>
          <w:lang w:val="en-US" w:eastAsia="zh-CN"/>
        </w:rPr>
        <w:t>或引进</w:t>
      </w:r>
      <w:r>
        <w:rPr>
          <w:rFonts w:hint="eastAsia"/>
        </w:rPr>
        <w:t>年</w:t>
      </w:r>
      <w:r>
        <w:rPr>
          <w:rFonts w:hint="eastAsia"/>
          <w:lang w:val="en-US" w:eastAsia="zh-CN"/>
        </w:rPr>
        <w:t>产值超10</w:t>
      </w:r>
      <w:r>
        <w:rPr>
          <w:rFonts w:hint="eastAsia"/>
        </w:rPr>
        <w:t>亿</w:t>
      </w:r>
      <w:r>
        <w:rPr>
          <w:rFonts w:hint="eastAsia"/>
          <w:lang w:val="en-US" w:eastAsia="zh-CN"/>
        </w:rPr>
        <w:t>元</w:t>
      </w:r>
      <w:r>
        <w:rPr>
          <w:rFonts w:hint="eastAsia"/>
        </w:rPr>
        <w:t>的龙头企业</w:t>
      </w:r>
      <w:r>
        <w:rPr>
          <w:rFonts w:hint="eastAsia"/>
          <w:lang w:val="en-US" w:eastAsia="zh-CN"/>
        </w:rPr>
        <w:t>3</w:t>
      </w:r>
      <w:r>
        <w:rPr>
          <w:rFonts w:hint="eastAsia"/>
        </w:rPr>
        <w:t>家，培育年营收</w:t>
      </w:r>
      <w:r>
        <w:rPr>
          <w:rFonts w:hint="eastAsia"/>
          <w:lang w:val="en-US" w:eastAsia="zh-CN"/>
        </w:rPr>
        <w:t>超1亿元</w:t>
      </w:r>
      <w:r>
        <w:rPr>
          <w:rFonts w:hint="eastAsia"/>
        </w:rPr>
        <w:t>的重点企业</w:t>
      </w:r>
      <w:r>
        <w:rPr>
          <w:rFonts w:hint="eastAsia"/>
          <w:lang w:val="en-US" w:eastAsia="zh-CN"/>
        </w:rPr>
        <w:t>8</w:t>
      </w:r>
      <w:r>
        <w:rPr>
          <w:rFonts w:hint="eastAsia"/>
        </w:rPr>
        <w:t>家，</w:t>
      </w:r>
      <w:r>
        <w:rPr>
          <w:rFonts w:hint="eastAsia"/>
          <w:lang w:val="en-US" w:eastAsia="zh-CN"/>
        </w:rPr>
        <w:t>各类深加工企业数量超过40家</w:t>
      </w:r>
      <w:r>
        <w:rPr>
          <w:rFonts w:hint="eastAsia"/>
        </w:rPr>
        <w:t>。</w:t>
      </w:r>
    </w:p>
    <w:p w14:paraId="18C75288">
      <w:pPr>
        <w:pStyle w:val="183"/>
        <w:rPr>
          <w:rFonts w:hint="eastAsia" w:ascii="Times New Roman" w:hAnsi="Times New Roman" w:cs="Times New Roman"/>
          <w:b w:val="0"/>
          <w:bCs w:val="0"/>
          <w:lang w:val="en-US" w:eastAsia="zh-CN"/>
        </w:rPr>
      </w:pPr>
      <w:bookmarkStart w:id="111" w:name="_Toc26619"/>
      <w:bookmarkStart w:id="112" w:name="_Toc15332"/>
      <w:bookmarkStart w:id="113" w:name="_Toc23345"/>
      <w:bookmarkStart w:id="114" w:name="_Toc29637"/>
      <w:bookmarkStart w:id="115" w:name="_Toc30595"/>
      <w:bookmarkStart w:id="116" w:name="_Toc5699"/>
      <w:bookmarkStart w:id="117" w:name="_Toc9528"/>
      <w:r>
        <w:rPr>
          <w:rFonts w:ascii="Times New Roman" w:hAnsi="Times New Roman"/>
          <w:snapToGrid/>
        </w:rPr>
        <w:t>（</w:t>
      </w:r>
      <w:r>
        <w:rPr>
          <w:rFonts w:hint="eastAsia"/>
          <w:snapToGrid/>
          <w:lang w:val="en-US" w:eastAsia="zh-CN"/>
        </w:rPr>
        <w:t>三</w:t>
      </w:r>
      <w:r>
        <w:rPr>
          <w:rFonts w:ascii="Times New Roman" w:hAnsi="Times New Roman"/>
          <w:snapToGrid/>
        </w:rPr>
        <w:t>）</w:t>
      </w:r>
      <w:r>
        <w:rPr>
          <w:rFonts w:hint="eastAsia"/>
          <w:lang w:val="en-US" w:eastAsia="zh-CN"/>
        </w:rPr>
        <w:t>发展重点及路径</w:t>
      </w:r>
      <w:bookmarkEnd w:id="111"/>
      <w:bookmarkEnd w:id="112"/>
      <w:bookmarkEnd w:id="113"/>
      <w:bookmarkEnd w:id="114"/>
      <w:bookmarkEnd w:id="115"/>
      <w:bookmarkEnd w:id="116"/>
      <w:bookmarkEnd w:id="117"/>
    </w:p>
    <w:p w14:paraId="5E56273E">
      <w:pPr>
        <w:ind w:firstLine="602"/>
        <w:rPr>
          <w:rFonts w:hint="default" w:ascii="Times New Roman" w:hAnsi="Times New Roman" w:cs="Times New Roman"/>
          <w:b/>
          <w:bCs/>
          <w:lang w:val="en-US"/>
        </w:rPr>
      </w:pPr>
      <w:r>
        <w:rPr>
          <w:rFonts w:hint="eastAsia" w:ascii="Times New Roman" w:hAnsi="Times New Roman" w:cs="Times New Roman"/>
          <w:b/>
          <w:bCs/>
          <w:lang w:val="en-US" w:eastAsia="zh-CN"/>
        </w:rPr>
        <w:t>1</w:t>
      </w:r>
      <w:r>
        <w:rPr>
          <w:rFonts w:ascii="Times New Roman" w:hAnsi="Times New Roman" w:cs="Times New Roman"/>
          <w:b/>
          <w:bCs/>
        </w:rPr>
        <w:t>.</w:t>
      </w:r>
      <w:r>
        <w:rPr>
          <w:rFonts w:hint="eastAsia" w:ascii="Times New Roman" w:hAnsi="Times New Roman" w:cs="Times New Roman"/>
          <w:b/>
          <w:bCs/>
          <w:lang w:val="en-US" w:eastAsia="zh-CN"/>
        </w:rPr>
        <w:t>茶产业</w:t>
      </w:r>
    </w:p>
    <w:p w14:paraId="7F27D996">
      <w:pPr>
        <w:ind w:firstLine="602"/>
        <w:rPr>
          <w:rFonts w:hint="eastAsia" w:ascii="Times New Roman" w:hAnsi="Times New Roman" w:cs="Times New Roman"/>
          <w:lang w:eastAsia="zh-CN"/>
        </w:rPr>
      </w:pPr>
      <w:r>
        <w:rPr>
          <w:rFonts w:hint="eastAsia" w:ascii="Times New Roman" w:hAnsi="Times New Roman" w:cs="Times New Roman"/>
          <w:b/>
          <w:bCs/>
          <w:lang w:val="en-US" w:eastAsia="zh-CN"/>
        </w:rPr>
        <w:t>一是强化基地建设，加强茶园整合。</w:t>
      </w:r>
      <w:r>
        <w:rPr>
          <w:rFonts w:hint="eastAsia" w:ascii="Times New Roman" w:hAnsi="Times New Roman" w:cs="Times New Roman"/>
          <w:lang w:val="en-US" w:eastAsia="zh-CN"/>
        </w:rPr>
        <w:t>帮助茶叶加工企业设备升级，稳步有序发展高效优质生态茶园，打造有机茶园示范基地。对全县桃花江镇、鸬鹚渡镇、灰山港镇、高桥镇、大栗港镇、修山镇、浮邱山乡、马迹塘镇等重点乡镇划定重点区域并着重打造高山茶、溪谷茶、有机茶，同时支持基础条件优质的企业开展茶园美化绿化工程，建成一批生态有机、休闲观光、产业融合度高的现代化标准茶园，提高茶产业综合效益。</w:t>
      </w:r>
      <w:r>
        <w:rPr>
          <w:rFonts w:hint="eastAsia" w:ascii="Times New Roman" w:hAnsi="Times New Roman" w:cs="Times New Roman"/>
          <w:b/>
          <w:bCs/>
          <w:lang w:val="en-US" w:eastAsia="zh-CN"/>
        </w:rPr>
        <w:t>二是优化产品结构，打造地方公共品牌。</w:t>
      </w:r>
      <w:r>
        <w:rPr>
          <w:rFonts w:hint="eastAsia" w:ascii="Times New Roman" w:hAnsi="Times New Roman" w:cs="Times New Roman"/>
          <w:lang w:val="en-US" w:eastAsia="zh-CN"/>
        </w:rPr>
        <w:t>根据“做强绿茶做优红茶，做精黑茶”的基本方略，着力打造“桃江竹叶”“安化黑茶”，以点带面，促进桃江茶产业发展，进一步推进黑茶“四化”产品研发，并</w:t>
      </w:r>
      <w:r>
        <w:rPr>
          <w:rFonts w:hint="eastAsia" w:ascii="Times New Roman" w:hAnsi="Times New Roman" w:cs="Times New Roman"/>
          <w:lang w:eastAsia="zh-CN"/>
        </w:rPr>
        <w:t>加大红茶、黑茶、乌龙茶等开发力度，提高产量和品质。积极从茶原料中提取茶多酚等功能性保健品，大力开发速溶茶、茶酒茶糖等新型茶产品，</w:t>
      </w:r>
      <w:r>
        <w:rPr>
          <w:rFonts w:hint="eastAsia" w:ascii="Times New Roman" w:hAnsi="Times New Roman" w:cs="Times New Roman"/>
          <w:lang w:val="en-US" w:eastAsia="zh-CN"/>
        </w:rPr>
        <w:t>满足多层次消费需求。挖掘人才资源，强化科技支撑。</w:t>
      </w:r>
      <w:r>
        <w:rPr>
          <w:rFonts w:hint="eastAsia" w:ascii="Times New Roman" w:hAnsi="Times New Roman" w:cs="Times New Roman"/>
          <w:b/>
          <w:bCs/>
          <w:lang w:val="en-US" w:eastAsia="zh-CN"/>
        </w:rPr>
        <w:t>三是拓宽市场渠道，创新营销方式。</w:t>
      </w:r>
      <w:r>
        <w:rPr>
          <w:rFonts w:hint="eastAsia" w:ascii="Times New Roman" w:hAnsi="Times New Roman" w:cs="Times New Roman"/>
          <w:lang w:val="en-US" w:eastAsia="zh-CN"/>
        </w:rPr>
        <w:t>引导各茶企与大型批发市场、零售市场、专卖店、物流配送中心对接，创新发展线下销售渠道。结合实施“互联网十”农产品出村进城工程，利用网络、数据、技术等现代要素，建立新型线上销售体系，推动营销渠道网络化。鼓励企业复制“资江源”茶业的销售新模式，发展直供销售、会员定制、门店体验、直播带货等新业态，推进消费模式转变。</w:t>
      </w:r>
    </w:p>
    <w:tbl>
      <w:tblPr>
        <w:tblStyle w:val="35"/>
        <w:tblW w:w="827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276"/>
      </w:tblGrid>
      <w:tr w14:paraId="773CD2B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276" w:type="dxa"/>
          </w:tcPr>
          <w:p w14:paraId="79088343">
            <w:pPr>
              <w:pStyle w:val="175"/>
              <w:ind w:firstLine="0" w:firstLineChars="0"/>
              <w:jc w:val="center"/>
              <w:rPr>
                <w:rFonts w:hint="default" w:asciiTheme="minorEastAsia" w:hAnsiTheme="minorEastAsia" w:eastAsiaTheme="minorEastAsia" w:cstheme="minorEastAsia"/>
                <w:b/>
                <w:bCs/>
                <w:sz w:val="28"/>
                <w:szCs w:val="28"/>
                <w:lang w:val="en-US" w:eastAsia="zh-CN"/>
              </w:rPr>
            </w:pPr>
            <w:r>
              <w:rPr>
                <w:rFonts w:hint="eastAsia" w:ascii="Times New Roman" w:hAnsi="Times New Roman" w:eastAsia="仿宋" w:cs="Times New Roman"/>
                <w:b/>
                <w:bCs/>
                <w:snapToGrid w:val="0"/>
                <w:kern w:val="0"/>
                <w:sz w:val="30"/>
                <w:szCs w:val="30"/>
                <w:lang w:val="en-US" w:eastAsia="zh-CN" w:bidi="ar-SA"/>
              </w:rPr>
              <w:t>专栏1：茶叶精深加工食品</w:t>
            </w:r>
          </w:p>
        </w:tc>
      </w:tr>
      <w:tr w14:paraId="09C8236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276" w:type="dxa"/>
          </w:tcPr>
          <w:p w14:paraId="49C9F491">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b w:val="0"/>
                <w:bCs w:val="0"/>
                <w:color w:val="000000" w:themeColor="text1"/>
                <w:sz w:val="28"/>
                <w:szCs w:val="36"/>
                <w:highlight w:val="none"/>
                <w:lang w:val="en-US" w:eastAsia="zh-CN"/>
                <w14:textFill>
                  <w14:solidFill>
                    <w14:schemeClr w14:val="tx1"/>
                  </w14:solidFill>
                </w14:textFill>
              </w:rPr>
            </w:pPr>
            <w:r>
              <w:rPr>
                <w:rFonts w:hint="eastAsia" w:ascii="Times New Roman" w:hAnsi="Times New Roman" w:cs="Times New Roman"/>
                <w:b/>
                <w:bCs/>
                <w:color w:val="000000" w:themeColor="text1"/>
                <w:sz w:val="28"/>
                <w:szCs w:val="36"/>
                <w:highlight w:val="none"/>
                <w:lang w:val="en-US" w:eastAsia="zh-CN"/>
                <w14:textFill>
                  <w14:solidFill>
                    <w14:schemeClr w14:val="tx1"/>
                  </w14:solidFill>
                </w14:textFill>
              </w:rPr>
              <w:t>速溶茶：</w:t>
            </w:r>
            <w:r>
              <w:rPr>
                <w:rFonts w:hint="eastAsia" w:ascii="Times New Roman" w:hAnsi="Times New Roman" w:cs="Times New Roman"/>
                <w:b w:val="0"/>
                <w:bCs w:val="0"/>
                <w:color w:val="000000" w:themeColor="text1"/>
                <w:sz w:val="28"/>
                <w:szCs w:val="36"/>
                <w:highlight w:val="none"/>
                <w:lang w:val="en-US" w:eastAsia="zh-CN"/>
                <w14:textFill>
                  <w14:solidFill>
                    <w14:schemeClr w14:val="tx1"/>
                  </w14:solidFill>
                </w14:textFill>
              </w:rPr>
              <w:t>以茶叶为主要原料，经过提取、浓缩、干燥等一系列加工过程制成的粉末状或颗粒状产品。便于冲泡饮用，尤其适合在户外活动、旅行或是办公室环境中使用。</w:t>
            </w:r>
          </w:p>
          <w:p w14:paraId="46101B79">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bCs/>
                <w:color w:val="000000" w:themeColor="text1"/>
                <w:sz w:val="28"/>
                <w:szCs w:val="36"/>
                <w:highlight w:val="none"/>
                <w:lang w:val="en-US" w:eastAsia="zh-CN"/>
                <w14:textFill>
                  <w14:solidFill>
                    <w14:schemeClr w14:val="tx1"/>
                  </w14:solidFill>
                </w14:textFill>
              </w:rPr>
            </w:pPr>
            <w:r>
              <w:rPr>
                <w:rFonts w:hint="eastAsia" w:ascii="Times New Roman" w:hAnsi="Times New Roman" w:cs="Times New Roman"/>
                <w:b/>
                <w:bCs/>
                <w:color w:val="000000" w:themeColor="text1"/>
                <w:sz w:val="28"/>
                <w:szCs w:val="36"/>
                <w:highlight w:val="none"/>
                <w:lang w:val="en-US" w:eastAsia="zh-CN"/>
                <w14:textFill>
                  <w14:solidFill>
                    <w14:schemeClr w14:val="tx1"/>
                  </w14:solidFill>
                </w14:textFill>
              </w:rPr>
              <w:t>茶饮料：</w:t>
            </w:r>
            <w:r>
              <w:rPr>
                <w:rFonts w:hint="eastAsia" w:ascii="Times New Roman" w:hAnsi="Times New Roman" w:cs="Times New Roman"/>
                <w:b w:val="0"/>
                <w:bCs w:val="0"/>
                <w:color w:val="000000" w:themeColor="text1"/>
                <w:sz w:val="28"/>
                <w:szCs w:val="36"/>
                <w:highlight w:val="none"/>
                <w:lang w:val="en-US" w:eastAsia="zh-CN"/>
                <w14:textFill>
                  <w14:solidFill>
                    <w14:schemeClr w14:val="tx1"/>
                  </w14:solidFill>
                </w14:textFill>
              </w:rPr>
              <w:t>以茶叶为基础原料，经过过滤、浓缩，添加糖、香料、果汁等各类调味品后制成的饮品。</w:t>
            </w:r>
          </w:p>
          <w:p w14:paraId="0BE273EB">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b/>
                <w:bCs/>
                <w:color w:val="000000" w:themeColor="text1"/>
                <w:sz w:val="28"/>
                <w:szCs w:val="36"/>
                <w:highlight w:val="none"/>
                <w:lang w:val="en-US" w:eastAsia="zh-CN"/>
                <w14:textFill>
                  <w14:solidFill>
                    <w14:schemeClr w14:val="tx1"/>
                  </w14:solidFill>
                </w14:textFill>
              </w:rPr>
            </w:pPr>
            <w:r>
              <w:rPr>
                <w:rFonts w:hint="eastAsia" w:ascii="Times New Roman" w:hAnsi="Times New Roman" w:cs="Times New Roman"/>
                <w:b/>
                <w:bCs/>
                <w:color w:val="000000" w:themeColor="text1"/>
                <w:sz w:val="28"/>
                <w:szCs w:val="36"/>
                <w:highlight w:val="none"/>
                <w:lang w:val="en-US" w:eastAsia="zh-CN"/>
                <w14:textFill>
                  <w14:solidFill>
                    <w14:schemeClr w14:val="tx1"/>
                  </w14:solidFill>
                </w14:textFill>
              </w:rPr>
              <w:t>茶酒茶糖等特色食品：</w:t>
            </w:r>
            <w:r>
              <w:rPr>
                <w:rFonts w:hint="eastAsia" w:ascii="Times New Roman" w:hAnsi="Times New Roman" w:cs="Times New Roman"/>
                <w:b w:val="0"/>
                <w:bCs w:val="0"/>
                <w:color w:val="000000" w:themeColor="text1"/>
                <w:sz w:val="28"/>
                <w:szCs w:val="36"/>
                <w:highlight w:val="none"/>
                <w:lang w:val="en-US" w:eastAsia="zh-CN"/>
                <w14:textFill>
                  <w14:solidFill>
                    <w14:schemeClr w14:val="tx1"/>
                  </w14:solidFill>
                </w14:textFill>
              </w:rPr>
              <w:t>以茶叶为主要原料，结合酒和糖制作而成的特色食品。知名的茶饮品牌和糖果品牌都有相关的产品线。</w:t>
            </w:r>
          </w:p>
          <w:p w14:paraId="6238A42A">
            <w:pPr>
              <w:keepNext w:val="0"/>
              <w:keepLines w:val="0"/>
              <w:pageBreakBefore w:val="0"/>
              <w:widowControl w:val="0"/>
              <w:kinsoku/>
              <w:wordWrap/>
              <w:overflowPunct/>
              <w:topLinePunct w:val="0"/>
              <w:autoSpaceDE/>
              <w:autoSpaceDN/>
              <w:bidi w:val="0"/>
              <w:adjustRightInd/>
              <w:snapToGrid/>
              <w:ind w:left="0" w:leftChars="0" w:firstLine="602" w:firstLineChars="200"/>
              <w:textAlignment w:val="auto"/>
              <w:rPr>
                <w:rFonts w:hint="eastAsia"/>
                <w:lang w:val="en-US" w:eastAsia="zh-CN"/>
              </w:rPr>
            </w:pPr>
            <w:r>
              <w:rPr>
                <w:rFonts w:hint="eastAsia" w:ascii="Times New Roman" w:hAnsi="Times New Roman" w:cs="Times New Roman"/>
                <w:b/>
                <w:bCs/>
                <w:lang w:val="en-US" w:eastAsia="zh-CN"/>
              </w:rPr>
              <w:t>茶</w:t>
            </w:r>
            <w:r>
              <w:rPr>
                <w:rFonts w:hint="eastAsia" w:ascii="Times New Roman" w:hAnsi="Times New Roman" w:cs="Times New Roman"/>
                <w:b/>
                <w:bCs/>
                <w:lang w:eastAsia="zh-CN"/>
              </w:rPr>
              <w:t>功能性保健品：</w:t>
            </w:r>
            <w:r>
              <w:rPr>
                <w:rFonts w:hint="eastAsia" w:ascii="Times New Roman" w:hAnsi="Times New Roman" w:cs="Times New Roman"/>
                <w:b w:val="0"/>
                <w:bCs w:val="0"/>
                <w:color w:val="000000" w:themeColor="text1"/>
                <w:sz w:val="28"/>
                <w:szCs w:val="36"/>
                <w:highlight w:val="none"/>
                <w:lang w:val="en-US" w:eastAsia="zh-CN"/>
                <w14:textFill>
                  <w14:solidFill>
                    <w14:schemeClr w14:val="tx1"/>
                  </w14:solidFill>
                </w14:textFill>
              </w:rPr>
              <w:t>利用茶叶及其茶多酚、咖啡碱、茶氨酸等提取物为主要原料，结合现代科学技术和传统草本知识，制成的具有特定健康功效的食品或补充剂。‌</w:t>
            </w:r>
            <w:r>
              <w:rPr>
                <w:rFonts w:hint="eastAsia"/>
                <w:lang w:val="en-US" w:eastAsia="zh-CN"/>
              </w:rPr>
              <w:t>‌</w:t>
            </w:r>
          </w:p>
        </w:tc>
      </w:tr>
    </w:tbl>
    <w:p w14:paraId="70927A2D">
      <w:pPr>
        <w:ind w:left="0" w:leftChars="0" w:firstLine="600" w:firstLineChars="200"/>
        <w:rPr>
          <w:rFonts w:hint="eastAsia" w:ascii="Times New Roman" w:hAnsi="Times New Roman" w:cs="Times New Roman"/>
          <w:lang w:eastAsia="zh-CN"/>
        </w:rPr>
      </w:pPr>
      <w:r>
        <w:rPr>
          <w:rFonts w:hint="eastAsia" w:ascii="Times New Roman" w:hAnsi="Times New Roman" w:cs="Times New Roman"/>
          <w:lang w:val="en-US" w:eastAsia="zh-CN"/>
        </w:rPr>
        <w:t>同时，</w:t>
      </w:r>
      <w:r>
        <w:rPr>
          <w:rFonts w:hint="eastAsia" w:ascii="Times New Roman" w:hAnsi="Times New Roman" w:cs="Times New Roman"/>
          <w:lang w:eastAsia="zh-CN"/>
        </w:rPr>
        <w:t>以茶资源为基础，积极推行“茶叶+旅游”“茶叶+文化”“茶叶+生态”，以市场需求为导向，以旅游体验为核心内容，打造一批集赏茶、采茶、制茶、品茶、购茶等功能于一体的茶园综合体，推出一批生态游、体验游、研学游等精品茶旅线路，加大宣传营销力度，品牌叠加、协同发展，加快打造茶文旅经济全产业链、生态链，走出一条“以茶促旅、以旅带茶、茶旅共融”的乡村振兴之路。</w:t>
      </w:r>
    </w:p>
    <w:p w14:paraId="7BFB385F">
      <w:pPr>
        <w:ind w:firstLine="602"/>
        <w:rPr>
          <w:rFonts w:hint="default" w:ascii="Times New Roman" w:hAnsi="Times New Roman" w:cs="Times New Roman"/>
          <w:b/>
          <w:bCs/>
          <w:lang w:val="en-US"/>
        </w:rPr>
      </w:pPr>
      <w:r>
        <w:rPr>
          <w:rFonts w:hint="eastAsia" w:ascii="Times New Roman" w:hAnsi="Times New Roman" w:cs="Times New Roman"/>
          <w:b/>
          <w:bCs/>
          <w:lang w:val="en-US" w:eastAsia="zh-CN"/>
        </w:rPr>
        <w:t>2</w:t>
      </w:r>
      <w:r>
        <w:rPr>
          <w:rFonts w:ascii="Times New Roman" w:hAnsi="Times New Roman" w:cs="Times New Roman"/>
          <w:b/>
          <w:bCs/>
        </w:rPr>
        <w:t>.</w:t>
      </w:r>
      <w:r>
        <w:rPr>
          <w:rFonts w:hint="eastAsia" w:ascii="Times New Roman" w:hAnsi="Times New Roman" w:cs="Times New Roman"/>
          <w:b/>
          <w:bCs/>
          <w:lang w:val="en-US" w:eastAsia="zh-CN"/>
        </w:rPr>
        <w:t>蔬菜产业</w:t>
      </w:r>
    </w:p>
    <w:p w14:paraId="7F0D85CB">
      <w:pPr>
        <w:ind w:left="0" w:leftChars="0" w:firstLine="602" w:firstLineChars="200"/>
        <w:rPr>
          <w:rFonts w:hint="eastAsia" w:ascii="Times New Roman" w:hAnsi="Times New Roman" w:cs="Times New Roman"/>
        </w:rPr>
      </w:pPr>
      <w:r>
        <w:rPr>
          <w:rFonts w:hint="eastAsia" w:ascii="Times New Roman" w:hAnsi="Times New Roman" w:cs="Times New Roman"/>
          <w:b/>
          <w:bCs/>
          <w:lang w:val="en-US" w:eastAsia="zh-CN"/>
        </w:rPr>
        <w:t>一是进一步</w:t>
      </w:r>
      <w:r>
        <w:rPr>
          <w:rFonts w:hint="eastAsia" w:ascii="Times New Roman" w:hAnsi="Times New Roman" w:cs="Times New Roman"/>
          <w:b/>
          <w:bCs/>
        </w:rPr>
        <w:t>优化蔬菜种植模式</w:t>
      </w:r>
      <w:r>
        <w:rPr>
          <w:rFonts w:hint="eastAsia" w:ascii="Times New Roman" w:hAnsi="Times New Roman" w:cs="Times New Roman"/>
          <w:b/>
          <w:bCs/>
          <w:lang w:eastAsia="zh-CN"/>
        </w:rPr>
        <w:t>。</w:t>
      </w:r>
      <w:r>
        <w:rPr>
          <w:rFonts w:hint="eastAsia" w:ascii="Times New Roman" w:hAnsi="Times New Roman" w:cs="Times New Roman"/>
        </w:rPr>
        <w:t>在山地和园地、县城及小城镇周边、资江沿河带，分别发展特色蔬菜、城镇居民专业蔬菜、外向型蔬菜基地。</w:t>
      </w:r>
      <w:r>
        <w:rPr>
          <w:rFonts w:hint="eastAsia" w:ascii="Times New Roman" w:hAnsi="Times New Roman" w:cs="Times New Roman"/>
          <w:lang w:val="en-US" w:eastAsia="zh-CN"/>
        </w:rPr>
        <w:t>加强</w:t>
      </w:r>
      <w:r>
        <w:rPr>
          <w:rFonts w:hint="eastAsia" w:ascii="Times New Roman" w:hAnsi="Times New Roman" w:cs="Times New Roman"/>
        </w:rPr>
        <w:t>与</w:t>
      </w:r>
      <w:r>
        <w:rPr>
          <w:rFonts w:hint="eastAsia" w:ascii="Times New Roman" w:hAnsi="Times New Roman" w:cs="Times New Roman"/>
          <w:lang w:val="en-US" w:eastAsia="zh-CN"/>
        </w:rPr>
        <w:t>湖南农大</w:t>
      </w:r>
      <w:r>
        <w:rPr>
          <w:rFonts w:hint="eastAsia" w:ascii="Times New Roman" w:hAnsi="Times New Roman" w:cs="Times New Roman"/>
        </w:rPr>
        <w:t>、</w:t>
      </w:r>
      <w:r>
        <w:rPr>
          <w:rFonts w:hint="eastAsia" w:ascii="Times New Roman" w:hAnsi="Times New Roman" w:cs="Times New Roman"/>
          <w:lang w:val="en-US" w:eastAsia="zh-CN"/>
        </w:rPr>
        <w:t>湖南农科院等</w:t>
      </w:r>
      <w:r>
        <w:rPr>
          <w:rFonts w:hint="eastAsia" w:ascii="Times New Roman" w:hAnsi="Times New Roman" w:cs="Times New Roman"/>
        </w:rPr>
        <w:t>高校院所合作，研制推广立体栽培、无土栽培、椰糠栽培等新模式，突破设施蔬菜连作障碍</w:t>
      </w:r>
      <w:r>
        <w:rPr>
          <w:rFonts w:hint="eastAsia" w:ascii="Times New Roman" w:hAnsi="Times New Roman" w:cs="Times New Roman"/>
          <w:lang w:eastAsia="zh-CN"/>
        </w:rPr>
        <w:t>，</w:t>
      </w:r>
      <w:r>
        <w:rPr>
          <w:rFonts w:hint="eastAsia" w:ascii="Times New Roman" w:hAnsi="Times New Roman" w:cs="Times New Roman"/>
          <w:lang w:val="en-US" w:eastAsia="zh-CN"/>
        </w:rPr>
        <w:t>拓展蔬菜品种，发展食用菌、秋葵等经济价值较高品类，</w:t>
      </w:r>
      <w:r>
        <w:rPr>
          <w:rFonts w:hint="eastAsia" w:ascii="Times New Roman" w:hAnsi="Times New Roman" w:cs="Times New Roman"/>
        </w:rPr>
        <w:t>提升全县蔬菜产业发展水平。</w:t>
      </w:r>
      <w:r>
        <w:rPr>
          <w:rFonts w:hint="eastAsia" w:ascii="Times New Roman" w:hAnsi="Times New Roman" w:cs="Times New Roman"/>
          <w:b/>
          <w:bCs/>
          <w:lang w:val="en-US" w:eastAsia="zh-CN"/>
        </w:rPr>
        <w:t>二是</w:t>
      </w:r>
      <w:r>
        <w:rPr>
          <w:rFonts w:hint="eastAsia" w:ascii="Times New Roman" w:hAnsi="Times New Roman" w:cs="Times New Roman"/>
          <w:b/>
          <w:bCs/>
        </w:rPr>
        <w:t>强化蔬菜种植与加工领域联动发展</w:t>
      </w:r>
      <w:r>
        <w:rPr>
          <w:rFonts w:hint="eastAsia" w:ascii="Times New Roman" w:hAnsi="Times New Roman" w:cs="Times New Roman"/>
          <w:b/>
          <w:bCs/>
          <w:lang w:eastAsia="zh-CN"/>
        </w:rPr>
        <w:t>。</w:t>
      </w:r>
      <w:r>
        <w:rPr>
          <w:rFonts w:hint="eastAsia" w:ascii="Times New Roman" w:hAnsi="Times New Roman" w:cs="Times New Roman"/>
        </w:rPr>
        <w:t>支持</w:t>
      </w:r>
      <w:r>
        <w:rPr>
          <w:rFonts w:hint="default" w:ascii="Times New Roman" w:hAnsi="Times New Roman" w:cs="Times New Roman"/>
          <w:lang w:val="en-US" w:eastAsia="zh-CN"/>
        </w:rPr>
        <w:t>先田智慧</w:t>
      </w:r>
      <w:r>
        <w:rPr>
          <w:rFonts w:hint="eastAsia" w:ascii="Times New Roman" w:hAnsi="Times New Roman" w:cs="Times New Roman"/>
          <w:lang w:val="en-US" w:eastAsia="zh-CN"/>
        </w:rPr>
        <w:t>等</w:t>
      </w:r>
      <w:r>
        <w:rPr>
          <w:rFonts w:hint="eastAsia" w:ascii="Times New Roman" w:hAnsi="Times New Roman" w:cs="Times New Roman"/>
        </w:rPr>
        <w:t>蔬菜种植重点企业布局建设保鲜、净菜清洗消毒、烘干、分类分级包装和运销等初加工设施装备，延伸发展方便净菜、袋装蔬菜、真空保鲜蔬菜、精品礼盒蔬菜等鲜切蔬菜，提升蔬菜产品档次和附加值。依托</w:t>
      </w:r>
      <w:r>
        <w:rPr>
          <w:rFonts w:hint="eastAsia" w:ascii="Times New Roman" w:hAnsi="Times New Roman" w:cs="Times New Roman"/>
          <w:lang w:val="en-US" w:eastAsia="zh-CN"/>
        </w:rPr>
        <w:t>重点</w:t>
      </w:r>
      <w:r>
        <w:rPr>
          <w:rFonts w:hint="eastAsia" w:ascii="Times New Roman" w:hAnsi="Times New Roman" w:cs="Times New Roman"/>
        </w:rPr>
        <w:t>项目</w:t>
      </w:r>
      <w:r>
        <w:rPr>
          <w:rFonts w:hint="eastAsia" w:ascii="Times New Roman" w:hAnsi="Times New Roman" w:cs="Times New Roman"/>
          <w:lang w:val="en-US" w:eastAsia="zh-CN"/>
        </w:rPr>
        <w:t>建设</w:t>
      </w:r>
      <w:r>
        <w:rPr>
          <w:rFonts w:hint="eastAsia" w:ascii="Times New Roman" w:hAnsi="Times New Roman" w:cs="Times New Roman"/>
        </w:rPr>
        <w:t>，聚焦构建“食品龙头企业+原料种植基地”模式，</w:t>
      </w:r>
      <w:r>
        <w:rPr>
          <w:rFonts w:hint="eastAsia" w:ascii="Times New Roman" w:hAnsi="Times New Roman" w:cs="Times New Roman"/>
          <w:lang w:val="en-US" w:eastAsia="zh-CN"/>
        </w:rPr>
        <w:t>打造</w:t>
      </w:r>
      <w:r>
        <w:rPr>
          <w:rFonts w:hint="eastAsia" w:ascii="Times New Roman" w:hAnsi="Times New Roman" w:cs="Times New Roman"/>
        </w:rPr>
        <w:t>蔬菜种植基地、蔬菜采后处理、果蔬深加工等一体化项目。围绕蔬菜生产加工需求，布局建设田间地头小型仓储保鲜冷链物流设施。充分利用</w:t>
      </w:r>
      <w:r>
        <w:rPr>
          <w:rFonts w:hint="eastAsia" w:ascii="Times New Roman" w:hAnsi="Times New Roman" w:cs="Times New Roman"/>
          <w:lang w:val="en-US" w:eastAsia="zh-CN"/>
        </w:rPr>
        <w:t>各大</w:t>
      </w:r>
      <w:r>
        <w:rPr>
          <w:rFonts w:hint="eastAsia" w:ascii="Times New Roman" w:hAnsi="Times New Roman" w:cs="Times New Roman"/>
        </w:rPr>
        <w:t>电商平台，发展</w:t>
      </w:r>
      <w:r>
        <w:rPr>
          <w:rFonts w:hint="eastAsia" w:ascii="Times New Roman" w:hAnsi="Times New Roman" w:cs="Times New Roman"/>
          <w:lang w:val="en-US" w:eastAsia="zh-CN"/>
        </w:rPr>
        <w:t>食用菌、</w:t>
      </w:r>
      <w:r>
        <w:rPr>
          <w:rFonts w:hint="eastAsia" w:ascii="Times New Roman" w:hAnsi="Times New Roman" w:cs="Times New Roman"/>
        </w:rPr>
        <w:t>辣椒、番茄、黄金瓜等特色蔬菜产品直播销售及品牌推广。</w:t>
      </w:r>
      <w:r>
        <w:rPr>
          <w:rFonts w:hint="eastAsia" w:ascii="Times New Roman" w:hAnsi="Times New Roman" w:cs="Times New Roman"/>
          <w:b/>
          <w:bCs/>
          <w:lang w:val="en-US" w:eastAsia="zh-CN"/>
        </w:rPr>
        <w:t>三是</w:t>
      </w:r>
      <w:r>
        <w:rPr>
          <w:rFonts w:hint="eastAsia" w:ascii="Times New Roman" w:hAnsi="Times New Roman" w:cs="Times New Roman"/>
          <w:b/>
          <w:bCs/>
        </w:rPr>
        <w:t>以“数字+”撬动蔬菜种植基地转型升级，</w:t>
      </w:r>
      <w:r>
        <w:rPr>
          <w:rFonts w:hint="eastAsia" w:ascii="Times New Roman" w:hAnsi="Times New Roman" w:cs="Times New Roman"/>
        </w:rPr>
        <w:t>争取引进数字龙头企业，实施“平台公司+运营商+种植基地”的新型生产模式，实现种植基地环境智能感知、要素靶向投入、产量智慧监测、手机一体化管控。</w:t>
      </w:r>
    </w:p>
    <w:tbl>
      <w:tblPr>
        <w:tblStyle w:val="35"/>
        <w:tblW w:w="827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276"/>
      </w:tblGrid>
      <w:tr w14:paraId="4CF6DD0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276" w:type="dxa"/>
          </w:tcPr>
          <w:p w14:paraId="62B55442">
            <w:pPr>
              <w:pStyle w:val="175"/>
              <w:ind w:firstLine="0" w:firstLineChars="0"/>
              <w:jc w:val="center"/>
              <w:rPr>
                <w:rFonts w:hint="default" w:asciiTheme="minorEastAsia" w:hAnsiTheme="minorEastAsia" w:eastAsiaTheme="minorEastAsia" w:cstheme="minorEastAsia"/>
                <w:b/>
                <w:bCs/>
                <w:sz w:val="28"/>
                <w:szCs w:val="28"/>
                <w:lang w:val="en-US" w:eastAsia="zh-CN"/>
              </w:rPr>
            </w:pPr>
            <w:r>
              <w:rPr>
                <w:rFonts w:hint="eastAsia" w:ascii="Times New Roman" w:hAnsi="Times New Roman" w:eastAsia="仿宋" w:cs="Times New Roman"/>
                <w:b/>
                <w:bCs/>
                <w:snapToGrid w:val="0"/>
                <w:kern w:val="0"/>
                <w:sz w:val="30"/>
                <w:szCs w:val="30"/>
                <w:lang w:val="en-US" w:eastAsia="zh-CN" w:bidi="ar-SA"/>
              </w:rPr>
              <w:t>专栏2：蔬菜精深加工食品</w:t>
            </w:r>
          </w:p>
        </w:tc>
      </w:tr>
      <w:tr w14:paraId="37FD9B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38" w:hRule="atLeast"/>
          <w:jc w:val="center"/>
        </w:trPr>
        <w:tc>
          <w:tcPr>
            <w:tcW w:w="8276" w:type="dxa"/>
          </w:tcPr>
          <w:p w14:paraId="5C019584">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b w:val="0"/>
                <w:bCs w:val="0"/>
                <w:color w:val="000000" w:themeColor="text1"/>
                <w:sz w:val="28"/>
                <w:szCs w:val="36"/>
                <w:highlight w:val="none"/>
                <w:lang w:val="en-US" w:eastAsia="zh-CN"/>
                <w14:textFill>
                  <w14:solidFill>
                    <w14:schemeClr w14:val="tx1"/>
                  </w14:solidFill>
                </w14:textFill>
              </w:rPr>
            </w:pPr>
            <w:r>
              <w:rPr>
                <w:rFonts w:hint="eastAsia" w:ascii="Times New Roman" w:hAnsi="Times New Roman" w:cs="Times New Roman"/>
                <w:b/>
                <w:bCs/>
                <w:color w:val="000000" w:themeColor="text1"/>
                <w:sz w:val="28"/>
                <w:szCs w:val="36"/>
                <w:highlight w:val="none"/>
                <w:lang w:val="en-US" w:eastAsia="zh-CN"/>
                <w14:textFill>
                  <w14:solidFill>
                    <w14:schemeClr w14:val="tx1"/>
                  </w14:solidFill>
                </w14:textFill>
              </w:rPr>
              <w:t>鲜切蔬菜：</w:t>
            </w:r>
            <w:r>
              <w:rPr>
                <w:rFonts w:hint="eastAsia" w:ascii="Times New Roman" w:hAnsi="Times New Roman" w:cs="Times New Roman"/>
                <w:b w:val="0"/>
                <w:bCs w:val="0"/>
                <w:color w:val="000000" w:themeColor="text1"/>
                <w:sz w:val="28"/>
                <w:szCs w:val="36"/>
                <w:highlight w:val="none"/>
                <w:lang w:val="en-US" w:eastAsia="zh-CN"/>
                <w14:textFill>
                  <w14:solidFill>
                    <w14:schemeClr w14:val="tx1"/>
                  </w14:solidFill>
                </w14:textFill>
              </w:rPr>
              <w:t>方便净菜、袋装蔬菜、真空保鲜蔬菜、精品礼盒蔬菜等鲜切蔬菜。</w:t>
            </w:r>
          </w:p>
          <w:p w14:paraId="7AB08149">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b/>
                <w:bCs/>
                <w:color w:val="000000" w:themeColor="text1"/>
                <w:sz w:val="28"/>
                <w:szCs w:val="36"/>
                <w:highlight w:val="none"/>
                <w:lang w:val="en-US" w:eastAsia="zh-CN"/>
                <w14:textFill>
                  <w14:solidFill>
                    <w14:schemeClr w14:val="tx1"/>
                  </w14:solidFill>
                </w14:textFill>
              </w:rPr>
            </w:pPr>
            <w:r>
              <w:rPr>
                <w:rFonts w:hint="eastAsia" w:ascii="Times New Roman" w:hAnsi="Times New Roman" w:cs="Times New Roman"/>
                <w:b/>
                <w:bCs/>
                <w:color w:val="000000" w:themeColor="text1"/>
                <w:sz w:val="28"/>
                <w:szCs w:val="36"/>
                <w:highlight w:val="none"/>
                <w:lang w:val="en-US" w:eastAsia="zh-CN"/>
                <w14:textFill>
                  <w14:solidFill>
                    <w14:schemeClr w14:val="tx1"/>
                  </w14:solidFill>
                </w14:textFill>
              </w:rPr>
              <w:t>蔬菜脆片：</w:t>
            </w:r>
            <w:r>
              <w:rPr>
                <w:rFonts w:hint="eastAsia" w:ascii="Times New Roman" w:hAnsi="Times New Roman" w:cs="Times New Roman"/>
                <w:b w:val="0"/>
                <w:bCs w:val="0"/>
                <w:color w:val="000000" w:themeColor="text1"/>
                <w:sz w:val="28"/>
                <w:szCs w:val="36"/>
                <w:highlight w:val="none"/>
                <w:lang w:val="en-US" w:eastAsia="zh-CN"/>
                <w14:textFill>
                  <w14:solidFill>
                    <w14:schemeClr w14:val="tx1"/>
                  </w14:solidFill>
                </w14:textFill>
              </w:rPr>
              <w:t>通过特殊的加工方法将新鲜蔬菜转化成脆口、便于携带的小吃。蔬菜脆片既可以作为健康的零食选择，也可以作为烹饪时的配料使用。</w:t>
            </w:r>
          </w:p>
          <w:p w14:paraId="2392628D">
            <w:pPr>
              <w:keepNext w:val="0"/>
              <w:keepLines w:val="0"/>
              <w:pageBreakBefore w:val="0"/>
              <w:widowControl w:val="0"/>
              <w:kinsoku/>
              <w:wordWrap/>
              <w:overflowPunct/>
              <w:topLinePunct w:val="0"/>
              <w:autoSpaceDE/>
              <w:autoSpaceDN/>
              <w:bidi w:val="0"/>
              <w:adjustRightInd/>
              <w:snapToGrid/>
              <w:ind w:left="0" w:leftChars="0" w:firstLine="562" w:firstLineChars="200"/>
              <w:textAlignment w:val="auto"/>
              <w:rPr>
                <w:rFonts w:hint="eastAsia" w:ascii="Times New Roman" w:hAnsi="Times New Roman" w:cs="Times New Roman"/>
                <w:b w:val="0"/>
                <w:bCs w:val="0"/>
                <w:color w:val="000000" w:themeColor="text1"/>
                <w:sz w:val="28"/>
                <w:szCs w:val="36"/>
                <w:highlight w:val="none"/>
                <w:lang w:val="en-US" w:eastAsia="zh-CN"/>
                <w14:textFill>
                  <w14:solidFill>
                    <w14:schemeClr w14:val="tx1"/>
                  </w14:solidFill>
                </w14:textFill>
              </w:rPr>
            </w:pPr>
            <w:r>
              <w:rPr>
                <w:rFonts w:hint="eastAsia" w:ascii="Times New Roman" w:hAnsi="Times New Roman" w:cs="Times New Roman"/>
                <w:b/>
                <w:bCs/>
                <w:color w:val="000000" w:themeColor="text1"/>
                <w:sz w:val="28"/>
                <w:szCs w:val="36"/>
                <w:highlight w:val="none"/>
                <w:lang w:val="en-US" w:eastAsia="zh-CN"/>
                <w14:textFill>
                  <w14:solidFill>
                    <w14:schemeClr w14:val="tx1"/>
                  </w14:solidFill>
                </w14:textFill>
              </w:rPr>
              <w:t>蔬菜饮品：</w:t>
            </w:r>
            <w:r>
              <w:rPr>
                <w:rFonts w:hint="eastAsia" w:ascii="Times New Roman" w:hAnsi="Times New Roman" w:cs="Times New Roman"/>
                <w:b w:val="0"/>
                <w:bCs w:val="0"/>
                <w:color w:val="000000" w:themeColor="text1"/>
                <w:sz w:val="28"/>
                <w:szCs w:val="36"/>
                <w:highlight w:val="none"/>
                <w:lang w:val="en-US" w:eastAsia="zh-CN"/>
                <w14:textFill>
                  <w14:solidFill>
                    <w14:schemeClr w14:val="tx1"/>
                  </w14:solidFill>
                </w14:textFill>
              </w:rPr>
              <w:t>将新鲜或加工后的蔬菜通过榨汁、搅拌等方法制作而成的饮料。这类饮品通常富含维生素、矿物质以及膳食纤维等营养成分，有助于补充人体所需的营养物质。</w:t>
            </w:r>
          </w:p>
          <w:p w14:paraId="286D9F11">
            <w:pPr>
              <w:keepNext w:val="0"/>
              <w:keepLines w:val="0"/>
              <w:pageBreakBefore w:val="0"/>
              <w:widowControl w:val="0"/>
              <w:kinsoku/>
              <w:wordWrap/>
              <w:overflowPunct/>
              <w:topLinePunct w:val="0"/>
              <w:autoSpaceDE/>
              <w:autoSpaceDN/>
              <w:bidi w:val="0"/>
              <w:adjustRightInd/>
              <w:snapToGrid/>
              <w:ind w:left="0" w:leftChars="0" w:firstLine="562" w:firstLineChars="200"/>
              <w:textAlignment w:val="auto"/>
              <w:rPr>
                <w:rFonts w:hint="eastAsia"/>
                <w:lang w:val="en-US" w:eastAsia="zh-CN"/>
              </w:rPr>
            </w:pPr>
            <w:r>
              <w:rPr>
                <w:rFonts w:hint="eastAsia" w:ascii="Times New Roman" w:hAnsi="Times New Roman" w:cs="Times New Roman"/>
                <w:b/>
                <w:bCs/>
                <w:color w:val="000000" w:themeColor="text1"/>
                <w:sz w:val="28"/>
                <w:szCs w:val="36"/>
                <w:highlight w:val="none"/>
                <w:lang w:val="en-US" w:eastAsia="zh-CN"/>
                <w14:textFill>
                  <w14:solidFill>
                    <w14:schemeClr w14:val="tx1"/>
                  </w14:solidFill>
                </w14:textFill>
              </w:rPr>
              <w:t>蔬菜粉：</w:t>
            </w:r>
            <w:r>
              <w:rPr>
                <w:rFonts w:hint="eastAsia" w:ascii="Times New Roman" w:hAnsi="Times New Roman" w:cs="Times New Roman"/>
                <w:b w:val="0"/>
                <w:bCs w:val="0"/>
                <w:color w:val="000000" w:themeColor="text1"/>
                <w:sz w:val="28"/>
                <w:szCs w:val="36"/>
                <w:highlight w:val="none"/>
                <w:lang w:val="en-US" w:eastAsia="zh-CN"/>
                <w14:textFill>
                  <w14:solidFill>
                    <w14:schemeClr w14:val="tx1"/>
                  </w14:solidFill>
                </w14:textFill>
              </w:rPr>
              <w:t>通过干燥和研磨新鲜蔬菜制成的粉末状产品。蔬菜粉的应用范围广泛，不仅可以作为调味品，还可以作为食品加工中的原料。‌</w:t>
            </w:r>
            <w:r>
              <w:rPr>
                <w:rFonts w:hint="eastAsia"/>
                <w:lang w:val="en-US" w:eastAsia="zh-CN"/>
              </w:rPr>
              <w:t>‌</w:t>
            </w:r>
          </w:p>
        </w:tc>
      </w:tr>
    </w:tbl>
    <w:p w14:paraId="132F50A7">
      <w:pPr>
        <w:ind w:left="0" w:leftChars="0" w:firstLine="602" w:firstLineChars="200"/>
        <w:rPr>
          <w:rFonts w:hint="eastAsia" w:ascii="Times New Roman" w:hAnsi="Times New Roman"/>
          <w:b/>
          <w:bCs/>
          <w:snapToGrid/>
          <w:lang w:val="en-US" w:eastAsia="zh-CN"/>
        </w:rPr>
      </w:pPr>
    </w:p>
    <w:p w14:paraId="3B52ADCD">
      <w:pPr>
        <w:ind w:left="0" w:leftChars="0" w:firstLine="602" w:firstLineChars="200"/>
        <w:rPr>
          <w:rFonts w:hint="default" w:ascii="Times New Roman" w:hAnsi="Times New Roman"/>
          <w:snapToGrid/>
          <w:lang w:val="en-US" w:eastAsia="zh-CN"/>
        </w:rPr>
      </w:pPr>
      <w:r>
        <w:rPr>
          <w:rFonts w:hint="eastAsia" w:ascii="Times New Roman" w:hAnsi="Times New Roman"/>
          <w:b/>
          <w:bCs/>
          <w:snapToGrid/>
          <w:lang w:val="en-US" w:eastAsia="zh-CN"/>
        </w:rPr>
        <w:t>3.修山面产业</w:t>
      </w:r>
    </w:p>
    <w:p w14:paraId="641BAD8F">
      <w:pPr>
        <w:bidi w:val="0"/>
        <w:ind w:left="0" w:leftChars="0" w:firstLine="602" w:firstLineChars="200"/>
        <w:rPr>
          <w:rFonts w:hint="eastAsia" w:ascii="Times New Roman" w:hAnsi="Times New Roman" w:cs="Times New Roman"/>
          <w:b w:val="0"/>
          <w:bCs w:val="0"/>
          <w:lang w:val="en-US" w:eastAsia="zh-CN"/>
        </w:rPr>
      </w:pPr>
      <w:r>
        <w:rPr>
          <w:rFonts w:hint="eastAsia" w:ascii="Times New Roman" w:hAnsi="Times New Roman" w:cs="Times New Roman"/>
          <w:b/>
          <w:bCs/>
          <w:lang w:val="en-US" w:eastAsia="zh-CN"/>
        </w:rPr>
        <w:t>一是推动企业转型升级。</w:t>
      </w:r>
      <w:r>
        <w:rPr>
          <w:rFonts w:hint="eastAsia" w:ascii="Times New Roman" w:hAnsi="Times New Roman" w:cs="Times New Roman"/>
          <w:b w:val="0"/>
          <w:bCs w:val="0"/>
          <w:lang w:val="en-US" w:eastAsia="zh-CN"/>
        </w:rPr>
        <w:t>加快推动修山面业等当地企业进行加工技术改造、装备升级和模式创新，向产业链中高端、研发设计和品牌营销延伸，以提升产品附加值，推动加工企业由小变大、加工程度由初变深、加工产品由粗变精。</w:t>
      </w:r>
      <w:r>
        <w:rPr>
          <w:rFonts w:hint="eastAsia" w:ascii="Times New Roman" w:hAnsi="Times New Roman" w:cs="Times New Roman"/>
          <w:b/>
          <w:bCs/>
          <w:lang w:val="en-US" w:eastAsia="zh-CN"/>
        </w:rPr>
        <w:t>二是拓宽产品种类。</w:t>
      </w:r>
      <w:r>
        <w:rPr>
          <w:rFonts w:hint="eastAsia" w:ascii="Times New Roman" w:hAnsi="Times New Roman" w:cs="Times New Roman"/>
          <w:b w:val="0"/>
          <w:bCs w:val="0"/>
          <w:lang w:val="en-US" w:eastAsia="zh-CN"/>
        </w:rPr>
        <w:t>引导企业加大产品研发，开发不同口味的面条，如海鲜味、麻辣味、番茄味等，满足消费者多样化的需求，研发低脂、低糖、高纤维等功能性面条，以及高添加杂粮面、生鲜湿面、日式软弹面等组合产品，丰富产品布局。</w:t>
      </w:r>
      <w:r>
        <w:rPr>
          <w:rFonts w:hint="eastAsia" w:ascii="Times New Roman" w:hAnsi="Times New Roman" w:cs="Times New Roman"/>
          <w:b/>
          <w:bCs/>
          <w:lang w:val="en-US" w:eastAsia="zh-CN"/>
        </w:rPr>
        <w:t>三是打造区域公共品牌。</w:t>
      </w:r>
      <w:r>
        <w:rPr>
          <w:rFonts w:hint="eastAsia" w:ascii="Times New Roman" w:hAnsi="Times New Roman" w:cs="Times New Roman"/>
          <w:b w:val="0"/>
          <w:bCs w:val="0"/>
          <w:lang w:val="en-US" w:eastAsia="zh-CN"/>
        </w:rPr>
        <w:t>深度挖掘修山面的历史文化背景，提炼品牌核心价值，打造“修山面”区域公共品牌，建立统一的生产工艺流程和标准化质量管理体系。利用电商平台、社交媒体、线下零售店等多渠道进行品牌推广和产品销售。此外，举办品牌日、美食节、体验活动等，提升品牌曝光度，增强消费者认知。加强与旅游景点、餐饮企业、地方特产店等建立合作关系，进一步拓宽销售渠道。</w:t>
      </w:r>
    </w:p>
    <w:tbl>
      <w:tblPr>
        <w:tblStyle w:val="35"/>
        <w:tblW w:w="827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276"/>
      </w:tblGrid>
      <w:tr w14:paraId="4B4370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8276" w:type="dxa"/>
          </w:tcPr>
          <w:p w14:paraId="6EE25590">
            <w:pPr>
              <w:pStyle w:val="175"/>
              <w:ind w:firstLine="0" w:firstLineChars="0"/>
              <w:jc w:val="center"/>
              <w:rPr>
                <w:rFonts w:hint="default" w:asciiTheme="minorEastAsia" w:hAnsiTheme="minorEastAsia" w:eastAsiaTheme="minorEastAsia" w:cstheme="minorEastAsia"/>
                <w:b/>
                <w:bCs/>
                <w:sz w:val="28"/>
                <w:szCs w:val="28"/>
                <w:lang w:val="en-US" w:eastAsia="zh-CN"/>
              </w:rPr>
            </w:pPr>
            <w:r>
              <w:rPr>
                <w:rFonts w:hint="eastAsia" w:ascii="Times New Roman" w:hAnsi="Times New Roman" w:eastAsia="仿宋" w:cs="Times New Roman"/>
                <w:b/>
                <w:bCs/>
                <w:snapToGrid w:val="0"/>
                <w:kern w:val="0"/>
                <w:sz w:val="30"/>
                <w:szCs w:val="30"/>
                <w:lang w:val="en-US" w:eastAsia="zh-CN" w:bidi="ar-SA"/>
              </w:rPr>
              <w:t>专栏3：修山面精深加工食品</w:t>
            </w:r>
          </w:p>
        </w:tc>
      </w:tr>
      <w:tr w14:paraId="4A337FE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276" w:type="dxa"/>
          </w:tcPr>
          <w:p w14:paraId="092DD651">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b w:val="0"/>
                <w:bCs w:val="0"/>
                <w:color w:val="000000" w:themeColor="text1"/>
                <w:sz w:val="28"/>
                <w:szCs w:val="36"/>
                <w:highlight w:val="none"/>
                <w:lang w:val="en-US" w:eastAsia="zh-CN"/>
                <w14:textFill>
                  <w14:solidFill>
                    <w14:schemeClr w14:val="tx1"/>
                  </w14:solidFill>
                </w14:textFill>
              </w:rPr>
            </w:pPr>
            <w:r>
              <w:rPr>
                <w:rFonts w:hint="eastAsia" w:ascii="Times New Roman" w:hAnsi="Times New Roman" w:cs="Times New Roman"/>
                <w:b/>
                <w:bCs/>
                <w:color w:val="000000" w:themeColor="text1"/>
                <w:sz w:val="28"/>
                <w:szCs w:val="36"/>
                <w:highlight w:val="none"/>
                <w:lang w:val="en-US" w:eastAsia="zh-CN"/>
                <w14:textFill>
                  <w14:solidFill>
                    <w14:schemeClr w14:val="tx1"/>
                  </w14:solidFill>
                </w14:textFill>
              </w:rPr>
              <w:t>修山挂面：</w:t>
            </w:r>
            <w:r>
              <w:rPr>
                <w:rFonts w:hint="eastAsia" w:ascii="Times New Roman" w:hAnsi="Times New Roman" w:cs="Times New Roman"/>
                <w:b w:val="0"/>
                <w:bCs w:val="0"/>
                <w:color w:val="000000" w:themeColor="text1"/>
                <w:sz w:val="28"/>
                <w:szCs w:val="36"/>
                <w:highlight w:val="none"/>
                <w:lang w:val="en-US" w:eastAsia="zh-CN"/>
                <w14:textFill>
                  <w14:solidFill>
                    <w14:schemeClr w14:val="tx1"/>
                  </w14:solidFill>
                </w14:textFill>
              </w:rPr>
              <w:t>选用优质小麦面粉作为主要原料，采用传统的手工工艺制作，经过和面、揉面、醒面、切条、晾晒等多道工序，其品质和风味很大程度上依赖于当地的自然环境和传统的制作工艺。</w:t>
            </w:r>
          </w:p>
          <w:p w14:paraId="55CA7DD0">
            <w:pPr>
              <w:keepNext w:val="0"/>
              <w:keepLines w:val="0"/>
              <w:pageBreakBefore w:val="0"/>
              <w:widowControl w:val="0"/>
              <w:kinsoku/>
              <w:wordWrap/>
              <w:overflowPunct/>
              <w:topLinePunct w:val="0"/>
              <w:autoSpaceDE/>
              <w:autoSpaceDN/>
              <w:bidi w:val="0"/>
              <w:adjustRightInd/>
              <w:snapToGrid/>
              <w:ind w:firstLine="0"/>
              <w:textAlignment w:val="auto"/>
              <w:rPr>
                <w:rFonts w:hint="eastAsia" w:ascii="Times New Roman" w:hAnsi="Times New Roman" w:cs="Times New Roman"/>
                <w:b w:val="0"/>
                <w:bCs w:val="0"/>
                <w:color w:val="000000" w:themeColor="text1"/>
                <w:sz w:val="28"/>
                <w:szCs w:val="36"/>
                <w:highlight w:val="none"/>
                <w:lang w:val="en-US" w:eastAsia="zh-CN"/>
                <w14:textFill>
                  <w14:solidFill>
                    <w14:schemeClr w14:val="tx1"/>
                  </w14:solidFill>
                </w14:textFill>
              </w:rPr>
            </w:pPr>
            <w:r>
              <w:rPr>
                <w:rFonts w:hint="eastAsia" w:ascii="Times New Roman" w:hAnsi="Times New Roman" w:cs="Times New Roman"/>
                <w:b/>
                <w:bCs/>
                <w:color w:val="000000" w:themeColor="text1"/>
                <w:sz w:val="28"/>
                <w:szCs w:val="36"/>
                <w:highlight w:val="none"/>
                <w:lang w:val="en-US" w:eastAsia="zh-CN"/>
                <w14:textFill>
                  <w14:solidFill>
                    <w14:schemeClr w14:val="tx1"/>
                  </w14:solidFill>
                </w14:textFill>
              </w:rPr>
              <w:t>修山方便面：</w:t>
            </w:r>
            <w:r>
              <w:rPr>
                <w:rFonts w:hint="eastAsia" w:ascii="Times New Roman" w:hAnsi="Times New Roman" w:cs="Times New Roman"/>
                <w:b w:val="0"/>
                <w:bCs w:val="0"/>
                <w:color w:val="000000" w:themeColor="text1"/>
                <w:sz w:val="28"/>
                <w:szCs w:val="36"/>
                <w:highlight w:val="none"/>
                <w:lang w:val="en-US" w:eastAsia="zh-CN"/>
                <w14:textFill>
                  <w14:solidFill>
                    <w14:schemeClr w14:val="tx1"/>
                  </w14:solidFill>
                </w14:textFill>
              </w:rPr>
              <w:t>快速方便的即食面食产品，通常由预煮过的面条制成，然后经过油炸或非油炸干燥处理。方便面因其便捷性和快速烹饪的特点而深受消费者欢迎。</w:t>
            </w:r>
          </w:p>
          <w:p w14:paraId="70FBC59E">
            <w:pPr>
              <w:keepNext w:val="0"/>
              <w:keepLines w:val="0"/>
              <w:pageBreakBefore w:val="0"/>
              <w:widowControl w:val="0"/>
              <w:kinsoku/>
              <w:wordWrap/>
              <w:overflowPunct/>
              <w:topLinePunct w:val="0"/>
              <w:autoSpaceDE/>
              <w:autoSpaceDN/>
              <w:bidi w:val="0"/>
              <w:adjustRightInd/>
              <w:snapToGrid/>
              <w:ind w:left="0" w:leftChars="0" w:firstLine="562" w:firstLineChars="200"/>
              <w:textAlignment w:val="auto"/>
              <w:rPr>
                <w:rFonts w:hint="eastAsia" w:ascii="Times New Roman" w:hAnsi="Times New Roman" w:cs="Times New Roman"/>
                <w:b w:val="0"/>
                <w:bCs w:val="0"/>
                <w:color w:val="000000" w:themeColor="text1"/>
                <w:sz w:val="28"/>
                <w:szCs w:val="36"/>
                <w:highlight w:val="none"/>
                <w:lang w:val="en-US" w:eastAsia="zh-CN"/>
                <w14:textFill>
                  <w14:solidFill>
                    <w14:schemeClr w14:val="tx1"/>
                  </w14:solidFill>
                </w14:textFill>
              </w:rPr>
            </w:pPr>
            <w:r>
              <w:rPr>
                <w:rFonts w:hint="eastAsia" w:ascii="Times New Roman" w:hAnsi="Times New Roman" w:cs="Times New Roman"/>
                <w:b/>
                <w:bCs/>
                <w:color w:val="000000" w:themeColor="text1"/>
                <w:sz w:val="28"/>
                <w:szCs w:val="36"/>
                <w:highlight w:val="none"/>
                <w:lang w:val="en-US" w:eastAsia="zh-CN"/>
                <w14:textFill>
                  <w14:solidFill>
                    <w14:schemeClr w14:val="tx1"/>
                  </w14:solidFill>
                </w14:textFill>
              </w:rPr>
              <w:t>修山功能性面食品：</w:t>
            </w:r>
            <w:r>
              <w:rPr>
                <w:rFonts w:hint="eastAsia" w:ascii="Times New Roman" w:hAnsi="Times New Roman" w:cs="Times New Roman"/>
                <w:b w:val="0"/>
                <w:bCs w:val="0"/>
                <w:color w:val="000000" w:themeColor="text1"/>
                <w:sz w:val="28"/>
                <w:szCs w:val="36"/>
                <w:highlight w:val="none"/>
                <w:lang w:val="en-US" w:eastAsia="zh-CN"/>
                <w14:textFill>
                  <w14:solidFill>
                    <w14:schemeClr w14:val="tx1"/>
                  </w14:solidFill>
                </w14:textFill>
              </w:rPr>
              <w:t>具有特定营养保健功能的面食产品。</w:t>
            </w:r>
          </w:p>
          <w:p w14:paraId="6A84CD39">
            <w:pPr>
              <w:keepNext w:val="0"/>
              <w:keepLines w:val="0"/>
              <w:pageBreakBefore w:val="0"/>
              <w:widowControl w:val="0"/>
              <w:kinsoku/>
              <w:wordWrap/>
              <w:overflowPunct/>
              <w:topLinePunct w:val="0"/>
              <w:autoSpaceDE/>
              <w:autoSpaceDN/>
              <w:bidi w:val="0"/>
              <w:adjustRightInd/>
              <w:snapToGrid/>
              <w:ind w:left="0" w:leftChars="0" w:firstLine="562" w:firstLineChars="200"/>
              <w:textAlignment w:val="auto"/>
              <w:rPr>
                <w:rFonts w:hint="eastAsia"/>
                <w:lang w:val="en-US" w:eastAsia="zh-CN"/>
              </w:rPr>
            </w:pPr>
            <w:r>
              <w:rPr>
                <w:rFonts w:hint="eastAsia" w:ascii="Times New Roman" w:hAnsi="Times New Roman" w:cs="Times New Roman"/>
                <w:b/>
                <w:bCs/>
                <w:color w:val="000000" w:themeColor="text1"/>
                <w:sz w:val="28"/>
                <w:szCs w:val="36"/>
                <w:highlight w:val="none"/>
                <w:lang w:val="en-US" w:eastAsia="zh-CN"/>
                <w14:textFill>
                  <w14:solidFill>
                    <w14:schemeClr w14:val="tx1"/>
                  </w14:solidFill>
                </w14:textFill>
              </w:rPr>
              <w:t>修山特色面食品：</w:t>
            </w:r>
            <w:r>
              <w:rPr>
                <w:rFonts w:hint="eastAsia" w:ascii="Times New Roman" w:hAnsi="Times New Roman" w:cs="Times New Roman"/>
                <w:b w:val="0"/>
                <w:bCs w:val="0"/>
                <w:color w:val="000000" w:themeColor="text1"/>
                <w:sz w:val="28"/>
                <w:szCs w:val="36"/>
                <w:highlight w:val="none"/>
                <w:lang w:val="en-US" w:eastAsia="zh-CN"/>
                <w14:textFill>
                  <w14:solidFill>
                    <w14:schemeClr w14:val="tx1"/>
                  </w14:solidFill>
                </w14:textFill>
              </w:rPr>
              <w:t>根据不同的加工工艺和口感需求制作而成的面食产品，包括高添加杂粮面、生鲜湿面、软弹面等。‌</w:t>
            </w:r>
            <w:r>
              <w:rPr>
                <w:rFonts w:hint="eastAsia"/>
                <w:lang w:val="en-US" w:eastAsia="zh-CN"/>
              </w:rPr>
              <w:t>‌</w:t>
            </w:r>
          </w:p>
        </w:tc>
      </w:tr>
    </w:tbl>
    <w:p w14:paraId="11997135">
      <w:pPr>
        <w:ind w:left="0" w:leftChars="0" w:firstLine="602" w:firstLineChars="200"/>
        <w:rPr>
          <w:rFonts w:hint="default" w:ascii="Times New Roman" w:hAnsi="Times New Roman"/>
          <w:snapToGrid/>
          <w:lang w:val="en-US" w:eastAsia="zh-CN"/>
        </w:rPr>
      </w:pPr>
      <w:r>
        <w:rPr>
          <w:rFonts w:hint="eastAsia" w:ascii="Times New Roman" w:hAnsi="Times New Roman"/>
          <w:b/>
          <w:bCs/>
          <w:snapToGrid/>
          <w:lang w:val="en-US" w:eastAsia="zh-CN"/>
        </w:rPr>
        <w:t>4.生态养殖产业</w:t>
      </w:r>
    </w:p>
    <w:p w14:paraId="4A144090">
      <w:pPr>
        <w:keepNext w:val="0"/>
        <w:keepLines w:val="0"/>
        <w:pageBreakBefore w:val="0"/>
        <w:kinsoku/>
        <w:wordWrap/>
        <w:overflowPunct/>
        <w:topLinePunct w:val="0"/>
        <w:autoSpaceDE/>
        <w:autoSpaceDN/>
        <w:bidi w:val="0"/>
        <w:adjustRightInd w:val="0"/>
        <w:snapToGrid w:val="0"/>
        <w:spacing w:line="600" w:lineRule="exact"/>
        <w:ind w:firstLine="602"/>
        <w:textAlignment w:val="auto"/>
        <w:rPr>
          <w:rFonts w:hint="eastAsia" w:ascii="Times New Roman" w:hAnsi="Times New Roman" w:cs="Times New Roman"/>
          <w:b w:val="0"/>
          <w:bCs w:val="0"/>
          <w:lang w:val="en-US" w:eastAsia="zh-CN"/>
        </w:rPr>
      </w:pPr>
      <w:r>
        <w:rPr>
          <w:rFonts w:hint="eastAsia" w:ascii="Times New Roman" w:hAnsi="Times New Roman" w:cs="Times New Roman"/>
          <w:b/>
          <w:bCs/>
          <w:lang w:val="en-US" w:eastAsia="zh-CN"/>
        </w:rPr>
        <w:t>一是拓宽精深加工领域。</w:t>
      </w:r>
      <w:r>
        <w:rPr>
          <w:rFonts w:hint="eastAsia" w:ascii="Times New Roman" w:hAnsi="Times New Roman" w:cs="Times New Roman"/>
          <w:b w:val="0"/>
          <w:bCs w:val="0"/>
          <w:lang w:val="en-US" w:eastAsia="zh-CN"/>
        </w:rPr>
        <w:t>大力发展畜禽肉精细化分割冷鲜肉、速冻肉、精品小包装肉、副品加工等领域，打造长株潭冰鲜畜禽肉供应中心。积极发展畜禽肉、水产品熟食加工领域，鼓励企业加强与周黑鸭、绝味食品、紫燕百味鸡等卤制品企业合作，重点发展卤肉干、卤鸡鸭副产品、卤肉肠、卤虾、卤鱼、卤蟹等熟食代加工领域。谋划建设蛋禽养殖生产项目，提升禽蛋供应能力。延伸禽蛋加工领域，支持禽类养殖加工企业引入国内外先进禽蛋生产加工技术及设备，布局发展绿色禽蛋、全蛋液、蛋黄液等蛋制品加工领域。</w:t>
      </w:r>
      <w:r>
        <w:rPr>
          <w:rFonts w:hint="eastAsia" w:ascii="Times New Roman" w:hAnsi="Times New Roman" w:cs="Times New Roman"/>
          <w:b/>
          <w:bCs/>
          <w:lang w:val="en-US" w:eastAsia="zh-CN"/>
        </w:rPr>
        <w:t>二是要开展种质资源保护。</w:t>
      </w:r>
      <w:r>
        <w:rPr>
          <w:rFonts w:hint="eastAsia" w:ascii="Times New Roman" w:hAnsi="Times New Roman" w:cs="Times New Roman"/>
          <w:b w:val="0"/>
          <w:bCs w:val="0"/>
          <w:lang w:val="en-US" w:eastAsia="zh-CN"/>
        </w:rPr>
        <w:t>持续开展黄颡鱼国家级水产种质资源保护区、水产健康养殖和生态养殖示范区工作。持续开展养殖环境整治的指导工作，提升全县畜禽粪污资源化利用率。到2030年，全县规模养殖比重达到80%以上，畜禽粪污资源化利用率达到91%以上。</w:t>
      </w:r>
    </w:p>
    <w:tbl>
      <w:tblPr>
        <w:tblStyle w:val="35"/>
        <w:tblW w:w="827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276"/>
      </w:tblGrid>
      <w:tr w14:paraId="70624D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63" w:hRule="atLeast"/>
          <w:jc w:val="center"/>
        </w:trPr>
        <w:tc>
          <w:tcPr>
            <w:tcW w:w="8276" w:type="dxa"/>
          </w:tcPr>
          <w:p w14:paraId="06AB6040">
            <w:pPr>
              <w:pStyle w:val="175"/>
              <w:ind w:firstLine="0" w:firstLineChars="0"/>
              <w:jc w:val="center"/>
              <w:rPr>
                <w:rFonts w:hint="default" w:asciiTheme="minorEastAsia" w:hAnsiTheme="minorEastAsia" w:eastAsiaTheme="minorEastAsia" w:cstheme="minorEastAsia"/>
                <w:b/>
                <w:bCs/>
                <w:sz w:val="28"/>
                <w:szCs w:val="28"/>
                <w:lang w:val="en-US" w:eastAsia="zh-CN"/>
              </w:rPr>
            </w:pPr>
            <w:r>
              <w:rPr>
                <w:rFonts w:hint="eastAsia" w:ascii="Times New Roman" w:hAnsi="Times New Roman" w:eastAsia="仿宋" w:cs="Times New Roman"/>
                <w:b/>
                <w:bCs/>
                <w:snapToGrid w:val="0"/>
                <w:kern w:val="0"/>
                <w:sz w:val="30"/>
                <w:szCs w:val="30"/>
                <w:lang w:val="en-US" w:eastAsia="zh-CN" w:bidi="ar-SA"/>
              </w:rPr>
              <w:t>专栏4：生态养殖精深加工食品</w:t>
            </w:r>
          </w:p>
        </w:tc>
      </w:tr>
      <w:tr w14:paraId="23B421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276" w:type="dxa"/>
          </w:tcPr>
          <w:p w14:paraId="7E3717B9">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b w:val="0"/>
                <w:bCs w:val="0"/>
                <w:color w:val="000000" w:themeColor="text1"/>
                <w:sz w:val="28"/>
                <w:szCs w:val="36"/>
                <w:highlight w:val="none"/>
                <w:lang w:val="en-US" w:eastAsia="zh-CN"/>
                <w14:textFill>
                  <w14:solidFill>
                    <w14:schemeClr w14:val="tx1"/>
                  </w14:solidFill>
                </w14:textFill>
              </w:rPr>
            </w:pPr>
            <w:r>
              <w:rPr>
                <w:rFonts w:hint="eastAsia" w:ascii="Times New Roman" w:hAnsi="Times New Roman" w:cs="Times New Roman"/>
                <w:b/>
                <w:bCs/>
                <w:color w:val="000000" w:themeColor="text1"/>
                <w:sz w:val="28"/>
                <w:szCs w:val="36"/>
                <w:highlight w:val="none"/>
                <w:lang w:val="en-US" w:eastAsia="zh-CN"/>
                <w14:textFill>
                  <w14:solidFill>
                    <w14:schemeClr w14:val="tx1"/>
                  </w14:solidFill>
                </w14:textFill>
              </w:rPr>
              <w:t>肉类制品：</w:t>
            </w:r>
            <w:r>
              <w:rPr>
                <w:rFonts w:hint="eastAsia" w:ascii="Times New Roman" w:hAnsi="Times New Roman" w:cs="Times New Roman"/>
                <w:b w:val="0"/>
                <w:bCs w:val="0"/>
                <w:color w:val="000000" w:themeColor="text1"/>
                <w:sz w:val="28"/>
                <w:szCs w:val="36"/>
                <w:highlight w:val="none"/>
                <w:lang w:val="en-US" w:eastAsia="zh-CN"/>
                <w14:textFill>
                  <w14:solidFill>
                    <w14:schemeClr w14:val="tx1"/>
                  </w14:solidFill>
                </w14:textFill>
              </w:rPr>
              <w:t>熟食肉制品，如火腿、香肠、培根、腊肉、腊肠等。</w:t>
            </w:r>
          </w:p>
          <w:p w14:paraId="7F74DFD7">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Times New Roman" w:hAnsi="Times New Roman" w:cs="Times New Roman"/>
                <w:b w:val="0"/>
                <w:bCs w:val="0"/>
                <w:color w:val="000000" w:themeColor="text1"/>
                <w:sz w:val="28"/>
                <w:szCs w:val="36"/>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8"/>
                <w:szCs w:val="36"/>
                <w:highlight w:val="none"/>
                <w:lang w:val="en-US" w:eastAsia="zh-CN"/>
                <w14:textFill>
                  <w14:solidFill>
                    <w14:schemeClr w14:val="tx1"/>
                  </w14:solidFill>
                </w14:textFill>
              </w:rPr>
              <w:t>即食肉制品，如即食牛肉干、即食猪肉干、即食鸡肉丝等。调理肉制品，如调理牛排、调理鸡块、调理猪肉片等，通常需要简单加热即可食用。</w:t>
            </w:r>
          </w:p>
          <w:p w14:paraId="7F320A0B">
            <w:pPr>
              <w:keepNext w:val="0"/>
              <w:keepLines w:val="0"/>
              <w:pageBreakBefore w:val="0"/>
              <w:widowControl w:val="0"/>
              <w:kinsoku/>
              <w:wordWrap/>
              <w:overflowPunct/>
              <w:topLinePunct w:val="0"/>
              <w:autoSpaceDE/>
              <w:autoSpaceDN/>
              <w:bidi w:val="0"/>
              <w:adjustRightInd/>
              <w:snapToGrid/>
              <w:ind w:firstLine="0"/>
              <w:textAlignment w:val="auto"/>
              <w:rPr>
                <w:rFonts w:hint="eastAsia" w:ascii="Times New Roman" w:hAnsi="Times New Roman" w:cs="Times New Roman"/>
                <w:b w:val="0"/>
                <w:bCs w:val="0"/>
                <w:color w:val="000000" w:themeColor="text1"/>
                <w:sz w:val="28"/>
                <w:szCs w:val="36"/>
                <w:highlight w:val="none"/>
                <w:lang w:val="en-US" w:eastAsia="zh-CN"/>
                <w14:textFill>
                  <w14:solidFill>
                    <w14:schemeClr w14:val="tx1"/>
                  </w14:solidFill>
                </w14:textFill>
              </w:rPr>
            </w:pPr>
            <w:r>
              <w:rPr>
                <w:rFonts w:hint="eastAsia" w:ascii="Times New Roman" w:hAnsi="Times New Roman" w:cs="Times New Roman"/>
                <w:b/>
                <w:bCs/>
                <w:color w:val="000000" w:themeColor="text1"/>
                <w:sz w:val="28"/>
                <w:szCs w:val="36"/>
                <w:highlight w:val="none"/>
                <w:lang w:val="en-US" w:eastAsia="zh-CN"/>
                <w14:textFill>
                  <w14:solidFill>
                    <w14:schemeClr w14:val="tx1"/>
                  </w14:solidFill>
                </w14:textFill>
              </w:rPr>
              <w:t>水产制品：</w:t>
            </w:r>
            <w:r>
              <w:rPr>
                <w:rFonts w:hint="eastAsia" w:ascii="Times New Roman" w:hAnsi="Times New Roman" w:cs="Times New Roman"/>
                <w:b w:val="0"/>
                <w:bCs w:val="0"/>
                <w:color w:val="000000" w:themeColor="text1"/>
                <w:sz w:val="28"/>
                <w:szCs w:val="36"/>
                <w:highlight w:val="none"/>
                <w:lang w:val="en-US" w:eastAsia="zh-CN"/>
                <w14:textFill>
                  <w14:solidFill>
                    <w14:schemeClr w14:val="tx1"/>
                  </w14:solidFill>
                </w14:textFill>
              </w:rPr>
              <w:t>即食水产制品，如即食鱼片、即食虾仁、即食蟹肉等。调理水产制品：如调理鱼排、调理虾球、调理蟹棒等。水产品预制菜，如芝士蟹味棒、手打虾饼、铁板鱿鱼条、黑醋鳗鱼等。</w:t>
            </w:r>
          </w:p>
          <w:p w14:paraId="05790A65">
            <w:pPr>
              <w:keepNext w:val="0"/>
              <w:keepLines w:val="0"/>
              <w:pageBreakBefore w:val="0"/>
              <w:widowControl w:val="0"/>
              <w:kinsoku/>
              <w:wordWrap/>
              <w:overflowPunct/>
              <w:topLinePunct w:val="0"/>
              <w:autoSpaceDE/>
              <w:autoSpaceDN/>
              <w:bidi w:val="0"/>
              <w:adjustRightInd/>
              <w:snapToGrid/>
              <w:ind w:left="0" w:leftChars="0" w:firstLine="562" w:firstLineChars="200"/>
              <w:textAlignment w:val="auto"/>
              <w:rPr>
                <w:rFonts w:hint="eastAsia"/>
                <w:lang w:val="en-US" w:eastAsia="zh-CN"/>
              </w:rPr>
            </w:pPr>
            <w:r>
              <w:rPr>
                <w:rFonts w:hint="eastAsia" w:ascii="Times New Roman" w:hAnsi="Times New Roman" w:cs="Times New Roman"/>
                <w:b/>
                <w:bCs/>
                <w:color w:val="000000" w:themeColor="text1"/>
                <w:sz w:val="28"/>
                <w:szCs w:val="36"/>
                <w:highlight w:val="none"/>
                <w:lang w:val="en-US" w:eastAsia="zh-CN"/>
                <w14:textFill>
                  <w14:solidFill>
                    <w14:schemeClr w14:val="tx1"/>
                  </w14:solidFill>
                </w14:textFill>
              </w:rPr>
              <w:t>禽蛋类产品：</w:t>
            </w:r>
            <w:r>
              <w:rPr>
                <w:rFonts w:hint="eastAsia" w:ascii="Times New Roman" w:hAnsi="Times New Roman" w:cs="Times New Roman"/>
                <w:b w:val="0"/>
                <w:bCs w:val="0"/>
                <w:color w:val="000000" w:themeColor="text1"/>
                <w:sz w:val="28"/>
                <w:szCs w:val="36"/>
                <w:highlight w:val="none"/>
                <w:lang w:val="en-US" w:eastAsia="zh-CN"/>
                <w14:textFill>
                  <w14:solidFill>
                    <w14:schemeClr w14:val="tx1"/>
                  </w14:solidFill>
                </w14:textFill>
              </w:rPr>
              <w:t>蛋制品，如咸蛋、松花蛋、卤蛋等。蛋液制品，如液体蛋、蛋粉等。蛋黄制品，如蛋黄酱、蛋黄酥等。‌</w:t>
            </w:r>
            <w:r>
              <w:rPr>
                <w:rFonts w:hint="eastAsia"/>
                <w:lang w:val="en-US" w:eastAsia="zh-CN"/>
              </w:rPr>
              <w:t>‌</w:t>
            </w:r>
          </w:p>
        </w:tc>
      </w:tr>
    </w:tbl>
    <w:p w14:paraId="37FC8BAA">
      <w:pPr>
        <w:ind w:firstLine="602"/>
        <w:rPr>
          <w:rFonts w:hint="default" w:ascii="Times New Roman" w:hAnsi="Times New Roman" w:cs="Times New Roman"/>
          <w:b/>
          <w:bCs/>
          <w:lang w:val="en-US"/>
        </w:rPr>
      </w:pPr>
      <w:r>
        <w:rPr>
          <w:rFonts w:hint="eastAsia" w:ascii="Times New Roman" w:hAnsi="Times New Roman" w:cs="Times New Roman"/>
          <w:b/>
          <w:bCs/>
          <w:lang w:val="en-US" w:eastAsia="zh-CN"/>
        </w:rPr>
        <w:t>5</w:t>
      </w:r>
      <w:r>
        <w:rPr>
          <w:rFonts w:ascii="Times New Roman" w:hAnsi="Times New Roman" w:cs="Times New Roman"/>
          <w:b/>
          <w:bCs/>
        </w:rPr>
        <w:t>.</w:t>
      </w:r>
      <w:r>
        <w:rPr>
          <w:rFonts w:hint="eastAsia" w:ascii="Times New Roman" w:hAnsi="Times New Roman" w:cs="Times New Roman"/>
          <w:b/>
          <w:bCs/>
          <w:lang w:val="en-US" w:eastAsia="zh-CN"/>
        </w:rPr>
        <w:t>休闲食品产业</w:t>
      </w:r>
    </w:p>
    <w:p w14:paraId="29ECB8AB">
      <w:pPr>
        <w:bidi w:val="0"/>
        <w:rPr>
          <w:rFonts w:hint="default"/>
          <w:lang w:val="en-US" w:eastAsia="zh-CN"/>
        </w:rPr>
      </w:pPr>
      <w:r>
        <w:rPr>
          <w:rFonts w:hint="eastAsia"/>
          <w:b/>
          <w:bCs/>
          <w:lang w:val="en-US" w:eastAsia="zh-CN"/>
        </w:rPr>
        <w:t>一是加快龙头企业培育。</w:t>
      </w:r>
      <w:r>
        <w:rPr>
          <w:rFonts w:hint="eastAsia"/>
          <w:lang w:val="en-US" w:eastAsia="zh-CN"/>
        </w:rPr>
        <w:t>桃江休闲食品加工企业规模较小，缺乏龙头企业带动。重点是要围绕桃花江擂茶、武潭鱼等特色食品，加大培育一批年产值超</w:t>
      </w:r>
      <w:r>
        <w:rPr>
          <w:rFonts w:hint="default" w:ascii="Times New Roman" w:hAnsi="Times New Roman" w:cs="Times New Roman"/>
          <w:lang w:val="en-US" w:eastAsia="zh-CN"/>
        </w:rPr>
        <w:t>1亿元</w:t>
      </w:r>
      <w:r>
        <w:rPr>
          <w:rFonts w:hint="eastAsia"/>
          <w:lang w:val="en-US" w:eastAsia="zh-CN"/>
        </w:rPr>
        <w:t>以上且带动能力强的休闲食品产业“龙头”，形成龙头企业</w:t>
      </w:r>
      <w:r>
        <w:rPr>
          <w:rFonts w:hint="default" w:ascii="Times New Roman" w:hAnsi="Times New Roman" w:cs="Times New Roman"/>
          <w:lang w:val="en-US" w:eastAsia="zh-CN"/>
        </w:rPr>
        <w:t>+</w:t>
      </w:r>
      <w:r>
        <w:rPr>
          <w:rFonts w:hint="eastAsia"/>
          <w:lang w:val="en-US" w:eastAsia="zh-CN"/>
        </w:rPr>
        <w:t>产业链关联项目的产业生态圈。重点支持极野食品、亿阳仑生态食品、鱼山鱼海、四味食品等</w:t>
      </w:r>
      <w:r>
        <w:rPr>
          <w:rFonts w:hint="default"/>
          <w:lang w:val="en-US" w:eastAsia="zh-CN"/>
        </w:rPr>
        <w:t>企业加强生产设备改造升级，引入冷冻干燥、超高压灭菌等高新技术，研发生产天然无添加</w:t>
      </w:r>
      <w:r>
        <w:rPr>
          <w:rFonts w:hint="eastAsia"/>
          <w:lang w:val="en-US" w:eastAsia="zh-CN"/>
        </w:rPr>
        <w:t>的各类休闲</w:t>
      </w:r>
      <w:r>
        <w:rPr>
          <w:rFonts w:hint="default"/>
          <w:lang w:val="en-US" w:eastAsia="zh-CN"/>
        </w:rPr>
        <w:t>食品。</w:t>
      </w:r>
      <w:r>
        <w:rPr>
          <w:rFonts w:hint="eastAsia"/>
          <w:b/>
          <w:bCs/>
          <w:lang w:val="en-US" w:eastAsia="zh-CN"/>
        </w:rPr>
        <w:t>二是打造全产业链运营体系。</w:t>
      </w:r>
      <w:r>
        <w:rPr>
          <w:rFonts w:hint="default"/>
          <w:lang w:val="en-US" w:eastAsia="zh-CN"/>
        </w:rPr>
        <w:t>瞄准粤港澳大湾区、长三角、珠三角等农业发展快的经济发达地区，加大</w:t>
      </w:r>
      <w:r>
        <w:rPr>
          <w:rFonts w:hint="eastAsia"/>
          <w:lang w:val="en-US" w:eastAsia="zh-CN"/>
        </w:rPr>
        <w:t>桃江</w:t>
      </w:r>
      <w:r>
        <w:rPr>
          <w:rFonts w:hint="default"/>
          <w:lang w:val="en-US" w:eastAsia="zh-CN"/>
        </w:rPr>
        <w:t>宣传推介力度，利用终端产品和核心产品优势，引进小包装卤肉制品等旅游类、蔬果脆等营养保健类食品</w:t>
      </w:r>
      <w:r>
        <w:rPr>
          <w:rFonts w:hint="eastAsia"/>
          <w:lang w:val="en-US" w:eastAsia="zh-CN"/>
        </w:rPr>
        <w:t>及</w:t>
      </w:r>
      <w:r>
        <w:rPr>
          <w:rFonts w:hint="default"/>
          <w:lang w:val="en-US" w:eastAsia="zh-CN"/>
        </w:rPr>
        <w:t>网红食品类生产加工企业及重点项目，壮大休闲食品产业规模。</w:t>
      </w:r>
      <w:r>
        <w:rPr>
          <w:rFonts w:hint="eastAsia"/>
          <w:lang w:val="en-US" w:eastAsia="zh-CN"/>
        </w:rPr>
        <w:t>同时，</w:t>
      </w:r>
      <w:r>
        <w:rPr>
          <w:rFonts w:hint="default"/>
          <w:lang w:val="en-US" w:eastAsia="zh-CN"/>
        </w:rPr>
        <w:t>围绕休闲食品加工大企业、大项目，配套引进包装设计、品牌设计、品牌推广等企业。支持企业与</w:t>
      </w:r>
      <w:r>
        <w:rPr>
          <w:rFonts w:hint="eastAsia"/>
          <w:lang w:val="en-US" w:eastAsia="zh-CN"/>
        </w:rPr>
        <w:t>长株潭</w:t>
      </w:r>
      <w:r>
        <w:rPr>
          <w:rFonts w:hint="default"/>
          <w:lang w:val="en-US" w:eastAsia="zh-CN"/>
        </w:rPr>
        <w:t>及</w:t>
      </w:r>
      <w:r>
        <w:rPr>
          <w:rFonts w:hint="eastAsia"/>
          <w:lang w:val="en-US" w:eastAsia="zh-CN"/>
        </w:rPr>
        <w:t>益阳</w:t>
      </w:r>
      <w:r>
        <w:rPr>
          <w:rFonts w:hint="default"/>
          <w:lang w:val="en-US" w:eastAsia="zh-CN"/>
        </w:rPr>
        <w:t>物流配送企业、电商企业和连锁商超等加强合作，开展直销连锁配送，形成涵盖加工生产、包装配套和检测、销售、物流在内的休闲食品全产业链运营体系。</w:t>
      </w:r>
    </w:p>
    <w:tbl>
      <w:tblPr>
        <w:tblStyle w:val="35"/>
        <w:tblW w:w="827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276"/>
      </w:tblGrid>
      <w:tr w14:paraId="6E3D1B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8276" w:type="dxa"/>
          </w:tcPr>
          <w:p w14:paraId="0F4D6B6E">
            <w:pPr>
              <w:pStyle w:val="175"/>
              <w:ind w:firstLine="0" w:firstLineChars="0"/>
              <w:jc w:val="center"/>
              <w:rPr>
                <w:rFonts w:hint="default" w:asciiTheme="minorEastAsia" w:hAnsiTheme="minorEastAsia" w:eastAsiaTheme="minorEastAsia" w:cstheme="minorEastAsia"/>
                <w:b/>
                <w:bCs/>
                <w:sz w:val="28"/>
                <w:szCs w:val="28"/>
                <w:lang w:val="en-US" w:eastAsia="zh-CN"/>
              </w:rPr>
            </w:pPr>
            <w:r>
              <w:rPr>
                <w:rFonts w:hint="eastAsia" w:ascii="Times New Roman" w:hAnsi="Times New Roman" w:eastAsia="仿宋" w:cs="Times New Roman"/>
                <w:b/>
                <w:bCs/>
                <w:snapToGrid w:val="0"/>
                <w:kern w:val="0"/>
                <w:sz w:val="30"/>
                <w:szCs w:val="30"/>
                <w:lang w:val="en-US" w:eastAsia="zh-CN" w:bidi="ar-SA"/>
              </w:rPr>
              <w:t>专栏5：休闲食品</w:t>
            </w:r>
          </w:p>
        </w:tc>
      </w:tr>
      <w:tr w14:paraId="37687A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276" w:type="dxa"/>
          </w:tcPr>
          <w:p w14:paraId="0B3E7B36">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b w:val="0"/>
                <w:bCs w:val="0"/>
                <w:color w:val="000000" w:themeColor="text1"/>
                <w:sz w:val="28"/>
                <w:szCs w:val="36"/>
                <w:highlight w:val="none"/>
                <w:lang w:val="en-US" w:eastAsia="zh-CN"/>
                <w14:textFill>
                  <w14:solidFill>
                    <w14:schemeClr w14:val="tx1"/>
                  </w14:solidFill>
                </w14:textFill>
              </w:rPr>
            </w:pPr>
            <w:r>
              <w:rPr>
                <w:rFonts w:hint="eastAsia" w:ascii="Times New Roman" w:hAnsi="Times New Roman" w:cs="Times New Roman"/>
                <w:b/>
                <w:bCs/>
                <w:color w:val="000000" w:themeColor="text1"/>
                <w:sz w:val="28"/>
                <w:szCs w:val="36"/>
                <w:highlight w:val="none"/>
                <w:lang w:val="en-US" w:eastAsia="zh-CN"/>
                <w14:textFill>
                  <w14:solidFill>
                    <w14:schemeClr w14:val="tx1"/>
                  </w14:solidFill>
                </w14:textFill>
              </w:rPr>
              <w:t>桃花江擂茶：</w:t>
            </w:r>
            <w:r>
              <w:rPr>
                <w:rFonts w:hint="eastAsia" w:ascii="Times New Roman" w:hAnsi="Times New Roman" w:cs="Times New Roman"/>
                <w:b w:val="0"/>
                <w:bCs w:val="0"/>
                <w:color w:val="000000" w:themeColor="text1"/>
                <w:sz w:val="28"/>
                <w:szCs w:val="36"/>
                <w:highlight w:val="none"/>
                <w:lang w:val="en-US" w:eastAsia="zh-CN"/>
                <w14:textFill>
                  <w14:solidFill>
                    <w14:schemeClr w14:val="tx1"/>
                  </w14:solidFill>
                </w14:textFill>
              </w:rPr>
              <w:t>具有桃江特色的传统饮品，通常是以擂茶粉的形式销售，顾客可以根据自己的喜好调整口感和甜度。擂茶粉可以方便地冲泡成饮料，也可以作为烘焙原料或用来制作其他小吃。</w:t>
            </w:r>
          </w:p>
          <w:p w14:paraId="4D85D6EE">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b w:val="0"/>
                <w:bCs w:val="0"/>
                <w:color w:val="000000" w:themeColor="text1"/>
                <w:sz w:val="28"/>
                <w:szCs w:val="36"/>
                <w:highlight w:val="none"/>
                <w:lang w:val="en-US" w:eastAsia="zh-CN"/>
                <w14:textFill>
                  <w14:solidFill>
                    <w14:schemeClr w14:val="tx1"/>
                  </w14:solidFill>
                </w14:textFill>
              </w:rPr>
            </w:pPr>
            <w:r>
              <w:rPr>
                <w:rFonts w:hint="eastAsia" w:ascii="Times New Roman" w:hAnsi="Times New Roman" w:cs="Times New Roman"/>
                <w:b/>
                <w:bCs/>
                <w:color w:val="000000" w:themeColor="text1"/>
                <w:sz w:val="28"/>
                <w:szCs w:val="36"/>
                <w:highlight w:val="none"/>
                <w:lang w:val="en-US" w:eastAsia="zh-CN"/>
                <w14:textFill>
                  <w14:solidFill>
                    <w14:schemeClr w14:val="tx1"/>
                  </w14:solidFill>
                </w14:textFill>
              </w:rPr>
              <w:t>桃江特色休闲食品：</w:t>
            </w:r>
            <w:r>
              <w:rPr>
                <w:rFonts w:hint="eastAsia" w:ascii="Times New Roman" w:hAnsi="Times New Roman" w:cs="Times New Roman"/>
                <w:b w:val="0"/>
                <w:bCs w:val="0"/>
                <w:color w:val="000000" w:themeColor="text1"/>
                <w:sz w:val="28"/>
                <w:szCs w:val="36"/>
                <w:highlight w:val="none"/>
                <w:lang w:val="en-US" w:eastAsia="zh-CN"/>
                <w14:textFill>
                  <w14:solidFill>
                    <w14:schemeClr w14:val="tx1"/>
                  </w14:solidFill>
                </w14:textFill>
              </w:rPr>
              <w:t>以</w:t>
            </w:r>
            <w:r>
              <w:rPr>
                <w:rFonts w:hint="eastAsia" w:ascii="Times New Roman" w:hAnsi="Times New Roman" w:cs="Times New Roman"/>
                <w:lang w:val="en-US" w:eastAsia="zh-CN"/>
              </w:rPr>
              <w:t>松木塘腊肉、</w:t>
            </w:r>
            <w:r>
              <w:rPr>
                <w:rFonts w:hint="default" w:ascii="Times New Roman" w:hAnsi="Times New Roman" w:cs="Times New Roman"/>
                <w:lang w:val="en-US" w:eastAsia="zh-CN"/>
              </w:rPr>
              <w:t>武潭鱼</w:t>
            </w:r>
            <w:r>
              <w:rPr>
                <w:rFonts w:hint="eastAsia" w:ascii="Times New Roman" w:hAnsi="Times New Roman" w:cs="Times New Roman"/>
                <w:lang w:val="en-US" w:eastAsia="zh-CN"/>
              </w:rPr>
              <w:t>、</w:t>
            </w:r>
            <w:r>
              <w:rPr>
                <w:rFonts w:hint="eastAsia" w:ascii="Times New Roman" w:hAnsi="Times New Roman"/>
                <w:snapToGrid/>
                <w:lang w:val="en-US" w:eastAsia="zh-CN"/>
              </w:rPr>
              <w:t>鲊埠牛肉、马迹塘豆腐</w:t>
            </w:r>
            <w:r>
              <w:rPr>
                <w:rFonts w:hint="eastAsia" w:ascii="Times New Roman" w:hAnsi="Times New Roman" w:cs="Times New Roman"/>
                <w:lang w:val="en-US" w:eastAsia="zh-CN"/>
              </w:rPr>
              <w:t>等</w:t>
            </w:r>
            <w:r>
              <w:rPr>
                <w:rFonts w:hint="eastAsia" w:ascii="Times New Roman" w:hAnsi="Times New Roman" w:cs="Times New Roman"/>
                <w:b w:val="0"/>
                <w:bCs w:val="0"/>
                <w:color w:val="000000" w:themeColor="text1"/>
                <w:sz w:val="28"/>
                <w:szCs w:val="36"/>
                <w:highlight w:val="none"/>
                <w:lang w:val="en-US" w:eastAsia="zh-CN"/>
                <w14:textFill>
                  <w14:solidFill>
                    <w14:schemeClr w14:val="tx1"/>
                  </w14:solidFill>
                </w14:textFill>
              </w:rPr>
              <w:t>为主要原料，经过加工制作而成的方便食用的桃江特色休闲零食。</w:t>
            </w:r>
          </w:p>
          <w:p w14:paraId="05F5A21A">
            <w:pPr>
              <w:pStyle w:val="17"/>
              <w:rPr>
                <w:rFonts w:hint="default" w:ascii="Times New Roman" w:hAnsi="Times New Roman" w:eastAsia="仿宋" w:cs="Times New Roman"/>
                <w:b/>
                <w:bCs/>
                <w:snapToGrid w:val="0"/>
                <w:kern w:val="0"/>
                <w:sz w:val="30"/>
                <w:lang w:val="en-US" w:eastAsia="zh-CN" w:bidi="ar-SA"/>
              </w:rPr>
            </w:pPr>
            <w:r>
              <w:rPr>
                <w:rFonts w:hint="default" w:ascii="Times New Roman" w:hAnsi="Times New Roman" w:eastAsia="仿宋" w:cs="Times New Roman"/>
                <w:b/>
                <w:bCs/>
                <w:snapToGrid w:val="0"/>
                <w:kern w:val="0"/>
                <w:sz w:val="30"/>
                <w:lang w:val="en-US" w:eastAsia="zh-CN" w:bidi="ar-SA"/>
              </w:rPr>
              <w:t>营养保健类</w:t>
            </w:r>
            <w:r>
              <w:rPr>
                <w:rFonts w:hint="eastAsia" w:ascii="Times New Roman" w:hAnsi="Times New Roman" w:cs="Times New Roman"/>
                <w:b/>
                <w:bCs/>
                <w:snapToGrid w:val="0"/>
                <w:kern w:val="0"/>
                <w:sz w:val="30"/>
                <w:lang w:val="en-US" w:eastAsia="zh-CN" w:bidi="ar-SA"/>
              </w:rPr>
              <w:t>食品</w:t>
            </w:r>
            <w:r>
              <w:rPr>
                <w:rFonts w:hint="eastAsia" w:ascii="Times New Roman" w:hAnsi="Times New Roman" w:eastAsia="仿宋" w:cs="Times New Roman"/>
                <w:b/>
                <w:bCs/>
                <w:snapToGrid w:val="0"/>
                <w:kern w:val="0"/>
                <w:sz w:val="30"/>
                <w:lang w:val="en-US" w:eastAsia="zh-CN" w:bidi="ar-SA"/>
              </w:rPr>
              <w:t>：</w:t>
            </w:r>
            <w:r>
              <w:rPr>
                <w:rFonts w:hint="eastAsia" w:ascii="Times New Roman" w:hAnsi="Times New Roman" w:eastAsia="仿宋" w:cs="Times New Roman"/>
                <w:b w:val="0"/>
                <w:bCs w:val="0"/>
                <w:snapToGrid w:val="0"/>
                <w:color w:val="000000" w:themeColor="text1"/>
                <w:kern w:val="0"/>
                <w:sz w:val="28"/>
                <w:szCs w:val="36"/>
                <w:highlight w:val="none"/>
                <w:lang w:val="en-US" w:eastAsia="zh-CN" w:bidi="ar-SA"/>
                <w14:textFill>
                  <w14:solidFill>
                    <w14:schemeClr w14:val="tx1"/>
                  </w14:solidFill>
                </w14:textFill>
              </w:rPr>
              <w:t>含有丰富的维生素、矿物质、膳食纤维等营养成分</w:t>
            </w:r>
            <w:r>
              <w:rPr>
                <w:rFonts w:hint="eastAsia" w:ascii="Times New Roman" w:hAnsi="Times New Roman" w:cs="Times New Roman"/>
                <w:b w:val="0"/>
                <w:bCs w:val="0"/>
                <w:snapToGrid w:val="0"/>
                <w:color w:val="000000" w:themeColor="text1"/>
                <w:kern w:val="0"/>
                <w:sz w:val="28"/>
                <w:szCs w:val="36"/>
                <w:highlight w:val="none"/>
                <w:lang w:val="en-US" w:eastAsia="zh-CN" w:bidi="ar-SA"/>
                <w14:textFill>
                  <w14:solidFill>
                    <w14:schemeClr w14:val="tx1"/>
                  </w14:solidFill>
                </w14:textFill>
              </w:rPr>
              <w:t>的健康食品，包括坚果类、蔬菜干、蛋白棒、无糖零食等。</w:t>
            </w:r>
          </w:p>
          <w:p w14:paraId="4B36F209">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ascii="Times New Roman" w:hAnsi="Times New Roman" w:cs="Times New Roman"/>
                <w:b/>
                <w:bCs/>
                <w:color w:val="000000" w:themeColor="text1"/>
                <w:sz w:val="28"/>
                <w:szCs w:val="36"/>
                <w:highlight w:val="none"/>
                <w:lang w:val="en-US" w:eastAsia="zh-CN"/>
                <w14:textFill>
                  <w14:solidFill>
                    <w14:schemeClr w14:val="tx1"/>
                  </w14:solidFill>
                </w14:textFill>
              </w:rPr>
              <w:t>网红类食品：</w:t>
            </w:r>
            <w:r>
              <w:rPr>
                <w:rFonts w:hint="eastAsia" w:ascii="Times New Roman" w:hAnsi="Times New Roman" w:cs="Times New Roman"/>
                <w:b w:val="0"/>
                <w:bCs w:val="0"/>
                <w:color w:val="000000" w:themeColor="text1"/>
                <w:sz w:val="28"/>
                <w:szCs w:val="36"/>
                <w:highlight w:val="none"/>
                <w:lang w:val="en-US" w:eastAsia="zh-CN"/>
                <w14:textFill>
                  <w14:solidFill>
                    <w14:schemeClr w14:val="tx1"/>
                  </w14:solidFill>
                </w14:textFill>
              </w:rPr>
              <w:t>网络上非常流行和受到广泛关注的食品或小吃，如彩虹蛋糕、拉丝奶茶、造型饼干、趣味薯片等。‌</w:t>
            </w:r>
            <w:r>
              <w:rPr>
                <w:rFonts w:hint="eastAsia"/>
                <w:lang w:val="en-US" w:eastAsia="zh-CN"/>
              </w:rPr>
              <w:t>‌</w:t>
            </w:r>
          </w:p>
        </w:tc>
      </w:tr>
    </w:tbl>
    <w:p w14:paraId="202B1CC6">
      <w:pPr>
        <w:pStyle w:val="2"/>
        <w:keepNext/>
        <w:keepLines/>
        <w:pageBreakBefore/>
        <w:widowControl w:val="0"/>
        <w:kinsoku/>
        <w:wordWrap/>
        <w:overflowPunct/>
        <w:topLinePunct w:val="0"/>
        <w:autoSpaceDE/>
        <w:autoSpaceDN/>
        <w:bidi w:val="0"/>
        <w:adjustRightInd/>
        <w:snapToGrid/>
        <w:jc w:val="center"/>
        <w:textAlignment w:val="auto"/>
        <w:rPr>
          <w:rFonts w:hint="default" w:ascii="Times New Roman" w:hAnsi="Times New Roman"/>
          <w:lang w:val="en-US" w:eastAsia="zh-CN"/>
        </w:rPr>
      </w:pPr>
      <w:bookmarkStart w:id="118" w:name="_Toc30557"/>
      <w:r>
        <w:rPr>
          <w:rFonts w:ascii="Times New Roman" w:hAnsi="Times New Roman"/>
        </w:rPr>
        <w:t>第</w:t>
      </w:r>
      <w:r>
        <w:rPr>
          <w:rFonts w:hint="eastAsia" w:ascii="Times New Roman" w:hAnsi="Times New Roman"/>
          <w:lang w:val="en-US" w:eastAsia="zh-CN"/>
        </w:rPr>
        <w:t>五</w:t>
      </w:r>
      <w:r>
        <w:rPr>
          <w:rFonts w:ascii="Times New Roman" w:hAnsi="Times New Roman"/>
        </w:rPr>
        <w:t xml:space="preserve">章 </w:t>
      </w:r>
      <w:r>
        <w:rPr>
          <w:rFonts w:hint="eastAsia" w:ascii="Times New Roman" w:hAnsi="Times New Roman"/>
          <w:lang w:val="en-US" w:eastAsia="zh-CN"/>
        </w:rPr>
        <w:t>重点任务</w:t>
      </w:r>
      <w:bookmarkEnd w:id="118"/>
    </w:p>
    <w:p w14:paraId="4AB71FBF">
      <w:pPr>
        <w:pStyle w:val="3"/>
        <w:rPr>
          <w:rFonts w:hint="default" w:eastAsia="黑体"/>
          <w:lang w:val="en-US" w:eastAsia="zh-CN"/>
        </w:rPr>
      </w:pPr>
      <w:bookmarkStart w:id="119" w:name="_Toc15028"/>
      <w:r>
        <w:rPr>
          <w:rFonts w:hint="eastAsia" w:ascii="Times New Roman" w:hAnsi="Times New Roman" w:cs="Times New Roman"/>
          <w:snapToGrid/>
          <w:lang w:val="en-US" w:eastAsia="zh-CN"/>
        </w:rPr>
        <w:t>一、领军主体培育工程</w:t>
      </w:r>
      <w:bookmarkEnd w:id="119"/>
    </w:p>
    <w:p w14:paraId="18D42775">
      <w:pPr>
        <w:pStyle w:val="183"/>
        <w:rPr>
          <w:rFonts w:hint="eastAsia"/>
          <w:snapToGrid/>
          <w:lang w:val="en-US" w:eastAsia="zh-CN"/>
        </w:rPr>
      </w:pPr>
      <w:bookmarkStart w:id="120" w:name="_Toc4683"/>
      <w:bookmarkStart w:id="121" w:name="_Toc11963"/>
      <w:bookmarkStart w:id="122" w:name="_Toc25999"/>
      <w:bookmarkStart w:id="123" w:name="_Toc27851"/>
      <w:bookmarkStart w:id="124" w:name="_Toc19455"/>
      <w:r>
        <w:rPr>
          <w:rFonts w:ascii="Times New Roman" w:hAnsi="Times New Roman"/>
          <w:snapToGrid/>
        </w:rPr>
        <w:t>（一）</w:t>
      </w:r>
      <w:r>
        <w:rPr>
          <w:rFonts w:hint="eastAsia"/>
          <w:snapToGrid/>
          <w:lang w:val="en-US" w:eastAsia="zh-CN"/>
        </w:rPr>
        <w:t>加大龙头企业引进与培育</w:t>
      </w:r>
      <w:bookmarkEnd w:id="120"/>
      <w:bookmarkEnd w:id="121"/>
    </w:p>
    <w:bookmarkEnd w:id="122"/>
    <w:bookmarkEnd w:id="123"/>
    <w:bookmarkEnd w:id="124"/>
    <w:p w14:paraId="151B77DE">
      <w:pPr>
        <w:tabs>
          <w:tab w:val="left" w:pos="3400"/>
        </w:tabs>
        <w:bidi w:val="0"/>
        <w:ind w:left="0" w:leftChars="0" w:firstLine="600" w:firstLineChars="200"/>
        <w:jc w:val="left"/>
        <w:rPr>
          <w:rFonts w:hint="eastAsia"/>
          <w:lang w:val="en-US" w:eastAsia="zh-CN"/>
        </w:rPr>
      </w:pPr>
      <w:r>
        <w:rPr>
          <w:rFonts w:hint="eastAsia"/>
          <w:lang w:val="en-US" w:eastAsia="zh-CN"/>
        </w:rPr>
        <w:t>依托桃江绿色食品原料资源优势及建设的马迹塘笋竹特色产业园、全竹绿色循环高效产业园、农产品仓储保鲜冷链物流中心等重点配套项目，切实加强绿色食品加工头部企业的双招双引工作，加快推进签约项目建设。充分发挥龙头企业引领作用，通过出台绿色食品产业发展政策，设立绿色食品产业基金等手段，带动引进多个与之相关的上下游企业或项目。加强规上绿色食品加工企业的培育壮大，支持亿阳仑生态食品、极野食品等绿色食品加工企业加大投资力度，扩大生产经营规模，提升产业发展能级。</w:t>
      </w:r>
      <w:r>
        <w:rPr>
          <w:rFonts w:hint="default" w:ascii="Times New Roman" w:hAnsi="Times New Roman" w:cs="Times New Roman"/>
          <w:lang w:val="en-US" w:eastAsia="zh-CN"/>
        </w:rPr>
        <w:t>到2030年，全县规上绿色食品加工企业50家。构建绿色食品产业生态圈，推动产业高质量发展。</w:t>
      </w:r>
    </w:p>
    <w:p w14:paraId="6A975115">
      <w:pPr>
        <w:tabs>
          <w:tab w:val="left" w:pos="3400"/>
        </w:tabs>
        <w:bidi w:val="0"/>
        <w:ind w:left="0" w:leftChars="0" w:firstLine="600" w:firstLineChars="200"/>
        <w:jc w:val="left"/>
        <w:rPr>
          <w:rFonts w:hint="eastAsia"/>
          <w:lang w:val="en-US" w:eastAsia="zh-CN"/>
        </w:rPr>
      </w:pPr>
      <w:r>
        <w:rPr>
          <w:rFonts w:hint="eastAsia"/>
          <w:lang w:val="en-US" w:eastAsia="zh-CN"/>
        </w:rPr>
        <w:t>重点瞄准京津冀、长三角、粤港澳大湾区等农业发展快的经济发达地区，精准对接绿色食品加工企业及产业链上下游企业，补齐产业链短板。利用桃江区位优势，积极融入“长株潭都市圈”建设，承接绿色蔬菜生产供应、绿色食品代加工等产业转移，吸引科技成果转化项目，形成产业互补、资源共享的区域协同发展格局。积极参与全国农博会、食品博览会等行业盛会，精选包装一批具有吸引力的项目和产品，开展展会招商活动，吸引知名企业和战略投资者的目光，促进桃江绿色食品产业项目的落地。</w:t>
      </w:r>
      <w:r>
        <w:rPr>
          <w:rFonts w:hint="default" w:ascii="Times New Roman" w:hAnsi="Times New Roman" w:cs="Times New Roman"/>
          <w:lang w:val="en-US" w:eastAsia="zh-CN"/>
        </w:rPr>
        <w:t>力争</w:t>
      </w:r>
      <w:r>
        <w:rPr>
          <w:rFonts w:hint="eastAsia" w:ascii="Times New Roman" w:hAnsi="Times New Roman" w:cs="Times New Roman"/>
          <w:lang w:val="en-US" w:eastAsia="zh-CN"/>
        </w:rPr>
        <w:t>到</w:t>
      </w:r>
      <w:r>
        <w:rPr>
          <w:rFonts w:hint="default" w:ascii="Times New Roman" w:hAnsi="Times New Roman" w:cs="Times New Roman"/>
          <w:lang w:val="en-US" w:eastAsia="zh-CN"/>
        </w:rPr>
        <w:t>20</w:t>
      </w:r>
      <w:r>
        <w:rPr>
          <w:rFonts w:hint="eastAsia" w:ascii="Times New Roman" w:hAnsi="Times New Roman" w:cs="Times New Roman"/>
          <w:lang w:val="en-US" w:eastAsia="zh-CN"/>
        </w:rPr>
        <w:t>30</w:t>
      </w:r>
      <w:r>
        <w:rPr>
          <w:rFonts w:hint="default" w:ascii="Times New Roman" w:hAnsi="Times New Roman" w:cs="Times New Roman"/>
          <w:lang w:val="en-US" w:eastAsia="zh-CN"/>
        </w:rPr>
        <w:t>年，</w:t>
      </w:r>
      <w:r>
        <w:rPr>
          <w:rFonts w:hint="eastAsia" w:ascii="Times New Roman" w:hAnsi="Times New Roman" w:cs="Times New Roman"/>
          <w:lang w:val="en-US" w:eastAsia="zh-CN"/>
        </w:rPr>
        <w:t>引进10</w:t>
      </w:r>
      <w:r>
        <w:rPr>
          <w:rFonts w:hint="default" w:ascii="Times New Roman" w:hAnsi="Times New Roman" w:cs="Times New Roman"/>
          <w:lang w:val="en-US" w:eastAsia="zh-CN"/>
        </w:rPr>
        <w:t>个5000万元以上</w:t>
      </w:r>
      <w:r>
        <w:rPr>
          <w:rFonts w:hint="eastAsia" w:ascii="Times New Roman" w:hAnsi="Times New Roman" w:cs="Times New Roman"/>
          <w:lang w:val="en-US" w:eastAsia="zh-CN"/>
        </w:rPr>
        <w:t>绿色食品产业</w:t>
      </w:r>
      <w:r>
        <w:rPr>
          <w:rFonts w:hint="default" w:ascii="Times New Roman" w:hAnsi="Times New Roman" w:cs="Times New Roman"/>
          <w:lang w:val="en-US" w:eastAsia="zh-CN"/>
        </w:rPr>
        <w:t>项目</w:t>
      </w:r>
      <w:r>
        <w:rPr>
          <w:rFonts w:hint="eastAsia" w:ascii="Times New Roman" w:hAnsi="Times New Roman" w:cs="Times New Roman"/>
          <w:lang w:val="en-US" w:eastAsia="zh-CN"/>
        </w:rPr>
        <w:t>并建成</w:t>
      </w:r>
      <w:r>
        <w:rPr>
          <w:rFonts w:hint="default" w:ascii="Times New Roman" w:hAnsi="Times New Roman" w:cs="Times New Roman"/>
          <w:lang w:val="en-US" w:eastAsia="zh-CN"/>
        </w:rPr>
        <w:t>投</w:t>
      </w:r>
      <w:r>
        <w:rPr>
          <w:rFonts w:hint="eastAsia" w:ascii="Times New Roman" w:hAnsi="Times New Roman" w:cs="Times New Roman"/>
          <w:lang w:val="en-US" w:eastAsia="zh-CN"/>
        </w:rPr>
        <w:t>产</w:t>
      </w:r>
      <w:r>
        <w:rPr>
          <w:rFonts w:hint="default" w:ascii="Times New Roman" w:hAnsi="Times New Roman" w:cs="Times New Roman"/>
          <w:lang w:val="en-US" w:eastAsia="zh-CN"/>
        </w:rPr>
        <w:t>。</w:t>
      </w:r>
    </w:p>
    <w:p w14:paraId="20391A66">
      <w:pPr>
        <w:pStyle w:val="183"/>
        <w:rPr>
          <w:rFonts w:hint="default" w:ascii="Times New Roman" w:hAnsi="Times New Roman"/>
          <w:snapToGrid/>
          <w:lang w:val="en-US" w:eastAsia="zh-CN"/>
        </w:rPr>
      </w:pPr>
      <w:bookmarkStart w:id="125" w:name="_Toc3253"/>
      <w:bookmarkStart w:id="126" w:name="_Toc31205"/>
      <w:bookmarkStart w:id="127" w:name="_Toc10565"/>
      <w:bookmarkStart w:id="128" w:name="_Toc4741"/>
      <w:bookmarkStart w:id="129" w:name="_Toc27560"/>
      <w:r>
        <w:rPr>
          <w:rFonts w:hint="eastAsia" w:ascii="Times New Roman" w:hAnsi="Times New Roman"/>
          <w:snapToGrid/>
          <w:lang w:val="en-US" w:eastAsia="zh-CN"/>
        </w:rPr>
        <w:t>（二）</w:t>
      </w:r>
      <w:r>
        <w:rPr>
          <w:rFonts w:hint="eastAsia"/>
          <w:snapToGrid/>
          <w:lang w:val="en-US" w:eastAsia="zh-CN"/>
        </w:rPr>
        <w:t>加快新型经营主体培育</w:t>
      </w:r>
      <w:bookmarkEnd w:id="125"/>
      <w:bookmarkEnd w:id="126"/>
      <w:bookmarkEnd w:id="127"/>
      <w:bookmarkEnd w:id="128"/>
      <w:bookmarkEnd w:id="129"/>
    </w:p>
    <w:p w14:paraId="605F7C01">
      <w:pPr>
        <w:tabs>
          <w:tab w:val="left" w:pos="3400"/>
        </w:tabs>
        <w:bidi w:val="0"/>
        <w:ind w:left="0" w:leftChars="0" w:firstLine="600" w:firstLineChars="200"/>
        <w:jc w:val="left"/>
        <w:rPr>
          <w:rFonts w:hint="eastAsia"/>
          <w:lang w:val="en-US" w:eastAsia="zh-CN"/>
        </w:rPr>
      </w:pPr>
      <w:r>
        <w:rPr>
          <w:rFonts w:hint="eastAsia"/>
          <w:lang w:val="en-US" w:eastAsia="zh-CN"/>
        </w:rPr>
        <w:t>围绕绿色食品产业和传统特色产业，加快培育种植大户、家庭农场、合作社等新型经营主体，构建多层次、多元化的农业经营体系。加快培育一批多元化、专业化农业社会化服务组织，开展农资配送、代耕代种、统防统治、烘干收储等生产托管服务。发展壮大绿色食品行业协会商会，围绕发展新质生产力，加强“新产业、新业态、新商业模式”生产经营主体培育。引导村集体经济组织因地制宜发展生态茶园、蔬菜基地、生态养殖等乡村特色产业，探索建立强村公司等村办企业，发展壮大村集体经济。到</w:t>
      </w:r>
      <w:r>
        <w:rPr>
          <w:rFonts w:hint="default" w:ascii="Times New Roman" w:hAnsi="Times New Roman" w:cs="Times New Roman"/>
          <w:lang w:val="en-US" w:eastAsia="zh-CN"/>
        </w:rPr>
        <w:t>2030年，全县农民专业合作社稳定在1500家</w:t>
      </w:r>
      <w:r>
        <w:rPr>
          <w:rFonts w:hint="eastAsia" w:ascii="Times New Roman" w:hAnsi="Times New Roman" w:cs="Times New Roman"/>
          <w:lang w:val="en-US" w:eastAsia="zh-CN"/>
        </w:rPr>
        <w:t>、</w:t>
      </w:r>
      <w:r>
        <w:rPr>
          <w:rFonts w:hint="default" w:ascii="Times New Roman" w:hAnsi="Times New Roman" w:cs="Times New Roman"/>
          <w:lang w:val="en-US" w:eastAsia="zh-CN"/>
        </w:rPr>
        <w:t>家庭农场</w:t>
      </w:r>
      <w:r>
        <w:rPr>
          <w:rFonts w:hint="eastAsia" w:ascii="Times New Roman" w:hAnsi="Times New Roman" w:cs="Times New Roman"/>
          <w:lang w:val="en-US" w:eastAsia="zh-CN"/>
        </w:rPr>
        <w:t>1800</w:t>
      </w:r>
      <w:r>
        <w:rPr>
          <w:rFonts w:hint="default" w:ascii="Times New Roman" w:hAnsi="Times New Roman" w:cs="Times New Roman"/>
          <w:lang w:val="en-US" w:eastAsia="zh-CN"/>
        </w:rPr>
        <w:t>家、农业社会化服务组织达500家。</w:t>
      </w:r>
    </w:p>
    <w:p w14:paraId="632E39B1">
      <w:pPr>
        <w:tabs>
          <w:tab w:val="left" w:pos="3400"/>
        </w:tabs>
        <w:bidi w:val="0"/>
        <w:ind w:left="0" w:leftChars="0" w:firstLine="600" w:firstLineChars="200"/>
        <w:jc w:val="left"/>
        <w:rPr>
          <w:rFonts w:hint="eastAsia"/>
          <w:lang w:val="en-US" w:eastAsia="zh-CN"/>
        </w:rPr>
      </w:pPr>
      <w:r>
        <w:rPr>
          <w:rFonts w:hint="eastAsia"/>
          <w:lang w:val="en-US" w:eastAsia="zh-CN"/>
        </w:rPr>
        <w:t>支持龙头企业与农民合作社、家庭农场、农户形成紧密合作的农业产业化联合体，通过“</w:t>
      </w:r>
      <w:r>
        <w:rPr>
          <w:rFonts w:hint="default" w:ascii="Times New Roman" w:hAnsi="Times New Roman" w:cs="Times New Roman"/>
          <w:lang w:val="en-US" w:eastAsia="zh-CN"/>
        </w:rPr>
        <w:t>公司+农民合作社+家庭农场+农户</w:t>
      </w:r>
      <w:r>
        <w:rPr>
          <w:rFonts w:hint="eastAsia"/>
          <w:lang w:val="en-US" w:eastAsia="zh-CN"/>
        </w:rPr>
        <w:t>”模式，实现生产、加工、销售一体化，构建分工协作、优势互补、利益共享的产业生态。鼓励农业产业化联合体内部成员签订长期合作协议，通过订单农业、股权合作、利润分成等方式，建立稳定的利益联结机制，确保各方共享产业增值收益。通过农业产业化联合体的构建，促进绿色食品产业链的延伸，发展休闲农业、乡村旅游、农村电商等新业态，实现农业与二三产业的深度融合，为桃江乡村产业振兴注入新动能。</w:t>
      </w:r>
    </w:p>
    <w:p w14:paraId="23278CDD">
      <w:pPr>
        <w:pStyle w:val="183"/>
        <w:rPr>
          <w:rFonts w:hint="default" w:ascii="Times New Roman" w:hAnsi="Times New Roman"/>
          <w:snapToGrid/>
          <w:lang w:val="en-US" w:eastAsia="zh-CN"/>
        </w:rPr>
      </w:pPr>
      <w:bookmarkStart w:id="130" w:name="_Toc15978"/>
      <w:bookmarkStart w:id="131" w:name="_Toc31940"/>
      <w:r>
        <w:rPr>
          <w:rFonts w:hint="eastAsia" w:ascii="Times New Roman" w:hAnsi="Times New Roman"/>
          <w:snapToGrid/>
          <w:lang w:val="en-US" w:eastAsia="zh-CN"/>
        </w:rPr>
        <w:t>（</w:t>
      </w:r>
      <w:r>
        <w:rPr>
          <w:rFonts w:hint="eastAsia"/>
          <w:snapToGrid/>
          <w:lang w:val="en-US" w:eastAsia="zh-CN"/>
        </w:rPr>
        <w:t>三</w:t>
      </w:r>
      <w:r>
        <w:rPr>
          <w:rFonts w:hint="eastAsia" w:ascii="Times New Roman" w:hAnsi="Times New Roman"/>
          <w:snapToGrid/>
          <w:lang w:val="en-US" w:eastAsia="zh-CN"/>
        </w:rPr>
        <w:t>）</w:t>
      </w:r>
      <w:r>
        <w:rPr>
          <w:rFonts w:hint="eastAsia"/>
          <w:snapToGrid/>
          <w:lang w:val="en-US" w:eastAsia="zh-CN"/>
        </w:rPr>
        <w:t>加强农村专业人才培育</w:t>
      </w:r>
      <w:bookmarkEnd w:id="130"/>
      <w:bookmarkEnd w:id="131"/>
    </w:p>
    <w:p w14:paraId="43318944">
      <w:pPr>
        <w:widowControl w:val="0"/>
        <w:numPr>
          <w:ilvl w:val="0"/>
          <w:numId w:val="0"/>
        </w:numPr>
        <w:adjustRightInd w:val="0"/>
        <w:snapToGrid w:val="0"/>
        <w:spacing w:line="600" w:lineRule="exact"/>
        <w:ind w:firstLine="600" w:firstLineChars="200"/>
        <w:jc w:val="both"/>
        <w:rPr>
          <w:rFonts w:hint="eastAsia"/>
          <w:lang w:val="en-US" w:eastAsia="zh-CN"/>
        </w:rPr>
      </w:pPr>
      <w:r>
        <w:rPr>
          <w:rFonts w:hint="default" w:ascii="Times New Roman" w:hAnsi="Times New Roman" w:cs="Times New Roman"/>
          <w:lang w:val="en-US" w:eastAsia="zh-CN"/>
        </w:rPr>
        <w:t>实施基层农技人员招聘计划，</w:t>
      </w:r>
      <w:r>
        <w:rPr>
          <w:rFonts w:hint="default"/>
          <w:lang w:val="en-US" w:eastAsia="zh-CN"/>
        </w:rPr>
        <w:t>与湖南农业大学、湖南省农科院等科研机构合作，加快培养一批符合绿色食品产业发展需求的科技人才和创新团队，提升产业的技术研发和创新能力。围绕</w:t>
      </w:r>
      <w:r>
        <w:rPr>
          <w:rFonts w:hint="eastAsia"/>
          <w:lang w:val="en-US" w:eastAsia="zh-CN"/>
        </w:rPr>
        <w:t>竹笋、茶叶、蔬菜等产业发展</w:t>
      </w:r>
      <w:r>
        <w:rPr>
          <w:rFonts w:hint="default"/>
          <w:lang w:val="en-US" w:eastAsia="zh-CN"/>
        </w:rPr>
        <w:t>所需、市场所求、人才所要，分层、分级、分类开展培训，培育一批产品策划、包装设计、品牌规划、市场营销、电子商务</w:t>
      </w:r>
      <w:r>
        <w:rPr>
          <w:rFonts w:hint="eastAsia" w:ascii="仿宋" w:hAnsi="仿宋" w:eastAsia="仿宋" w:cs="仿宋"/>
          <w:lang w:val="en-US" w:eastAsia="zh-CN"/>
        </w:rPr>
        <w:t>、资本运作等绿色食品产业细分领域“操盘手”“职业经理人”等专业型人才。</w:t>
      </w:r>
      <w:r>
        <w:rPr>
          <w:rFonts w:hint="default" w:ascii="Times New Roman" w:hAnsi="Times New Roman" w:cs="Times New Roman"/>
          <w:lang w:val="en-US" w:eastAsia="zh-CN"/>
        </w:rPr>
        <w:t>优先将绿色食品产业种养大户、家庭农场、农民专业合作社、生产加工企业等主体纳入高素质职业农民培训计划，实施乡村产业振兴带头人培育</w:t>
      </w:r>
      <w:r>
        <w:rPr>
          <w:rFonts w:hint="eastAsia" w:ascii="仿宋" w:hAnsi="仿宋" w:eastAsia="仿宋" w:cs="仿宋"/>
          <w:lang w:val="en-US" w:eastAsia="zh-CN"/>
        </w:rPr>
        <w:t>“</w:t>
      </w:r>
      <w:r>
        <w:rPr>
          <w:rFonts w:hint="default" w:ascii="Times New Roman" w:hAnsi="Times New Roman" w:cs="Times New Roman"/>
          <w:lang w:val="en-US" w:eastAsia="zh-CN"/>
        </w:rPr>
        <w:t>头雁</w:t>
      </w:r>
      <w:r>
        <w:rPr>
          <w:rFonts w:hint="eastAsia" w:ascii="仿宋" w:hAnsi="仿宋" w:eastAsia="仿宋" w:cs="仿宋"/>
          <w:lang w:val="en-US" w:eastAsia="zh-CN"/>
        </w:rPr>
        <w:t>”</w:t>
      </w:r>
      <w:r>
        <w:rPr>
          <w:rFonts w:hint="default" w:ascii="Times New Roman" w:hAnsi="Times New Roman" w:cs="Times New Roman"/>
          <w:lang w:val="en-US" w:eastAsia="zh-CN"/>
        </w:rPr>
        <w:t>项目建设，突出抓好农村产业带头人</w:t>
      </w:r>
      <w:r>
        <w:rPr>
          <w:rFonts w:hint="eastAsia" w:ascii="Times New Roman" w:hAnsi="Times New Roman" w:cs="Times New Roman"/>
          <w:lang w:val="en-US" w:eastAsia="zh-CN"/>
        </w:rPr>
        <w:t>、科技特派员</w:t>
      </w:r>
      <w:r>
        <w:rPr>
          <w:rFonts w:hint="default" w:ascii="Times New Roman" w:hAnsi="Times New Roman" w:cs="Times New Roman"/>
          <w:lang w:val="en-US" w:eastAsia="zh-CN"/>
        </w:rPr>
        <w:t>培育，推广订单生产、技术推广服务、农资供应、金融服务等带动措施，每年培训高素质农民、产业发展带头人600人次以上。开展乡村振兴人才评选，</w:t>
      </w:r>
      <w:r>
        <w:rPr>
          <w:rFonts w:hint="eastAsia" w:ascii="仿宋" w:hAnsi="仿宋" w:eastAsia="仿宋" w:cs="仿宋"/>
          <w:lang w:val="en-US" w:eastAsia="zh-CN"/>
        </w:rPr>
        <w:t>加大“田专家</w:t>
      </w:r>
      <w:r>
        <w:rPr>
          <w:rFonts w:hint="eastAsia" w:ascii="仿宋" w:hAnsi="仿宋" w:cs="仿宋"/>
          <w:lang w:val="en-US" w:eastAsia="zh-CN"/>
        </w:rPr>
        <w:t>”“</w:t>
      </w:r>
      <w:r>
        <w:rPr>
          <w:rFonts w:hint="eastAsia" w:ascii="仿宋" w:hAnsi="仿宋" w:eastAsia="仿宋" w:cs="仿宋"/>
          <w:lang w:val="en-US" w:eastAsia="zh-CN"/>
        </w:rPr>
        <w:t>土秀才”等乡土人才培育，</w:t>
      </w:r>
      <w:r>
        <w:rPr>
          <w:rFonts w:hint="default" w:ascii="Times New Roman" w:hAnsi="Times New Roman" w:eastAsia="仿宋" w:cs="Times New Roman"/>
          <w:lang w:val="en-US" w:eastAsia="zh-CN"/>
        </w:rPr>
        <w:t>到20</w:t>
      </w:r>
      <w:r>
        <w:rPr>
          <w:rFonts w:hint="eastAsia" w:ascii="Times New Roman" w:hAnsi="Times New Roman" w:cs="Times New Roman"/>
          <w:lang w:val="en-US" w:eastAsia="zh-CN"/>
        </w:rPr>
        <w:t>30</w:t>
      </w:r>
      <w:r>
        <w:rPr>
          <w:rFonts w:hint="default" w:ascii="Times New Roman" w:hAnsi="Times New Roman" w:eastAsia="仿宋" w:cs="Times New Roman"/>
          <w:lang w:val="en-US" w:eastAsia="zh-CN"/>
        </w:rPr>
        <w:t>年，新增高级人才</w:t>
      </w:r>
      <w:r>
        <w:rPr>
          <w:rFonts w:hint="eastAsia" w:ascii="Times New Roman" w:hAnsi="Times New Roman" w:cs="Times New Roman"/>
          <w:lang w:val="en-US" w:eastAsia="zh-CN"/>
        </w:rPr>
        <w:t>100</w:t>
      </w:r>
      <w:r>
        <w:rPr>
          <w:rFonts w:hint="default" w:ascii="Times New Roman" w:hAnsi="Times New Roman" w:eastAsia="仿宋" w:cs="Times New Roman"/>
          <w:lang w:val="en-US" w:eastAsia="zh-CN"/>
        </w:rPr>
        <w:t>名、中级人才</w:t>
      </w:r>
      <w:r>
        <w:rPr>
          <w:rFonts w:hint="eastAsia" w:ascii="Times New Roman" w:hAnsi="Times New Roman" w:cs="Times New Roman"/>
          <w:lang w:val="en-US" w:eastAsia="zh-CN"/>
        </w:rPr>
        <w:t>500</w:t>
      </w:r>
      <w:r>
        <w:rPr>
          <w:rFonts w:hint="default" w:ascii="Times New Roman" w:hAnsi="Times New Roman" w:eastAsia="仿宋" w:cs="Times New Roman"/>
          <w:lang w:val="en-US" w:eastAsia="zh-CN"/>
        </w:rPr>
        <w:t>名。</w:t>
      </w:r>
    </w:p>
    <w:p w14:paraId="1DC746C8">
      <w:pPr>
        <w:pStyle w:val="3"/>
        <w:rPr>
          <w:rFonts w:hint="default" w:eastAsia="黑体"/>
          <w:lang w:val="en-US" w:eastAsia="zh-CN"/>
        </w:rPr>
      </w:pPr>
      <w:bookmarkStart w:id="132" w:name="_Toc27536"/>
      <w:r>
        <w:rPr>
          <w:rFonts w:hint="eastAsia" w:ascii="Times New Roman" w:hAnsi="Times New Roman" w:cs="Times New Roman"/>
          <w:snapToGrid/>
          <w:lang w:val="en-US" w:eastAsia="zh-CN"/>
        </w:rPr>
        <w:t>二、绿色基地提质工程</w:t>
      </w:r>
      <w:bookmarkEnd w:id="132"/>
    </w:p>
    <w:p w14:paraId="77D34BF2">
      <w:pPr>
        <w:pStyle w:val="183"/>
        <w:rPr>
          <w:rFonts w:hint="default" w:eastAsia="黑体"/>
          <w:lang w:val="en-US" w:eastAsia="zh-CN"/>
        </w:rPr>
      </w:pPr>
      <w:bookmarkStart w:id="133" w:name="_Toc23947"/>
      <w:bookmarkStart w:id="134" w:name="_Toc9667"/>
      <w:bookmarkStart w:id="135" w:name="_Toc11929"/>
      <w:bookmarkStart w:id="136" w:name="_Toc29526"/>
      <w:bookmarkStart w:id="137" w:name="_Toc28142"/>
      <w:r>
        <w:rPr>
          <w:rFonts w:ascii="Times New Roman" w:hAnsi="Times New Roman"/>
          <w:snapToGrid/>
        </w:rPr>
        <w:t>（一）</w:t>
      </w:r>
      <w:bookmarkEnd w:id="133"/>
      <w:bookmarkEnd w:id="134"/>
      <w:bookmarkEnd w:id="135"/>
      <w:r>
        <w:rPr>
          <w:rFonts w:hint="eastAsia"/>
          <w:snapToGrid/>
          <w:lang w:val="en-US" w:eastAsia="zh-CN"/>
        </w:rPr>
        <w:t>加强</w:t>
      </w:r>
      <w:r>
        <w:rPr>
          <w:rFonts w:hint="eastAsia"/>
          <w:lang w:val="en-US" w:eastAsia="zh-CN"/>
        </w:rPr>
        <w:t>绿色原料基地建设</w:t>
      </w:r>
      <w:bookmarkEnd w:id="136"/>
      <w:bookmarkEnd w:id="137"/>
    </w:p>
    <w:p w14:paraId="5FD557BA">
      <w:pPr>
        <w:ind w:left="0" w:leftChars="0" w:firstLine="600" w:firstLineChars="200"/>
        <w:rPr>
          <w:rFonts w:hint="default" w:ascii="Times New Roman" w:hAnsi="Times New Roman"/>
          <w:b w:val="0"/>
          <w:bCs w:val="0"/>
          <w:snapToGrid/>
          <w:lang w:val="en-US" w:eastAsia="zh-CN"/>
        </w:rPr>
      </w:pPr>
      <w:r>
        <w:rPr>
          <w:rFonts w:hint="eastAsia" w:ascii="Times New Roman" w:hAnsi="Times New Roman"/>
          <w:b w:val="0"/>
          <w:bCs w:val="0"/>
          <w:snapToGrid/>
          <w:lang w:val="en-US" w:eastAsia="zh-CN"/>
        </w:rPr>
        <w:t>做好绿色食品源头建设，以实现绿色食品原材料的规模生产与标准化成果的生产，不断提升原料的品质和档次，推进标准化、精细化、品牌化生产，加快绿色食品原料标准化生产基地的发展。绿色原料基地做到环境有监测、操作有规程、生产有记录、产品有检验、上市有标识，农产品质量安全监测合格率高于全省平均水平，力争达到100％。建立绿色食品生产档案，上市农产品包装标识率达到100％，全面推广农产品质量追溯信息系统。农业标准化生产应用面大幅提高。绿色食品标准入户率、标准转化率、标准普及率及宣传培训率达到100％。到2030年，建设竹笋、茶叶、蔬菜、水果、油茶等各类绿色食品标准化生产基地30个，其中竹笋标准化基地10万亩，茶园标准化基地4万亩，蔬菜标准化基地15万亩。</w:t>
      </w:r>
    </w:p>
    <w:p w14:paraId="06819F1F">
      <w:pPr>
        <w:pStyle w:val="183"/>
        <w:rPr>
          <w:rFonts w:hint="eastAsia" w:ascii="Times New Roman" w:hAnsi="Times New Roman"/>
          <w:snapToGrid/>
          <w:lang w:eastAsia="zh-CN"/>
        </w:rPr>
      </w:pPr>
      <w:bookmarkStart w:id="138" w:name="_Toc5604"/>
      <w:bookmarkStart w:id="139" w:name="_Toc7064"/>
      <w:r>
        <w:rPr>
          <w:rFonts w:hint="eastAsia" w:ascii="Times New Roman" w:hAnsi="Times New Roman"/>
          <w:snapToGrid/>
          <w:lang w:eastAsia="zh-CN"/>
        </w:rPr>
        <w:t>（</w:t>
      </w:r>
      <w:r>
        <w:rPr>
          <w:rFonts w:hint="eastAsia"/>
          <w:snapToGrid/>
          <w:lang w:val="en-US" w:eastAsia="zh-CN"/>
        </w:rPr>
        <w:t>二</w:t>
      </w:r>
      <w:r>
        <w:rPr>
          <w:rFonts w:hint="eastAsia" w:ascii="Times New Roman" w:hAnsi="Times New Roman"/>
          <w:snapToGrid/>
          <w:lang w:eastAsia="zh-CN"/>
        </w:rPr>
        <w:t>）加强</w:t>
      </w:r>
      <w:r>
        <w:rPr>
          <w:rFonts w:hint="eastAsia"/>
          <w:snapToGrid/>
          <w:lang w:val="en-US" w:eastAsia="zh-CN"/>
        </w:rPr>
        <w:t>生态养殖基地</w:t>
      </w:r>
      <w:r>
        <w:rPr>
          <w:rFonts w:hint="eastAsia" w:ascii="Times New Roman" w:hAnsi="Times New Roman"/>
          <w:snapToGrid/>
          <w:lang w:eastAsia="zh-CN"/>
        </w:rPr>
        <w:t>建设</w:t>
      </w:r>
      <w:bookmarkEnd w:id="138"/>
      <w:bookmarkEnd w:id="139"/>
    </w:p>
    <w:p w14:paraId="090762B4">
      <w:pPr>
        <w:pStyle w:val="17"/>
        <w:rPr>
          <w:rFonts w:hint="default" w:ascii="Times New Roman" w:hAnsi="Times New Roman" w:eastAsia="仿宋" w:cs="Times New Roman"/>
          <w:b w:val="0"/>
          <w:bCs w:val="0"/>
          <w:snapToGrid/>
          <w:kern w:val="0"/>
          <w:sz w:val="30"/>
          <w:lang w:val="en-US" w:eastAsia="zh-CN" w:bidi="ar-SA"/>
        </w:rPr>
      </w:pPr>
      <w:r>
        <w:rPr>
          <w:rFonts w:hint="default" w:ascii="Times New Roman" w:hAnsi="Times New Roman" w:eastAsia="仿宋" w:cs="Times New Roman"/>
          <w:b w:val="0"/>
          <w:bCs w:val="0"/>
          <w:snapToGrid/>
          <w:kern w:val="0"/>
          <w:sz w:val="30"/>
          <w:lang w:val="en-US" w:eastAsia="zh-CN" w:bidi="ar-SA"/>
        </w:rPr>
        <w:t>加快养殖业转型升级，推动生猪、牛、羊、家禽等产业向适度规模、健康养殖、生态平衡方向发展。增加牛、羊、鸡、鸭等优质绿色畜禽产品供给</w:t>
      </w:r>
      <w:r>
        <w:rPr>
          <w:rFonts w:hint="eastAsia" w:ascii="Times New Roman" w:hAnsi="Times New Roman" w:cs="Times New Roman"/>
          <w:b w:val="0"/>
          <w:bCs w:val="0"/>
          <w:snapToGrid/>
          <w:kern w:val="0"/>
          <w:sz w:val="30"/>
          <w:lang w:val="en-US" w:eastAsia="zh-CN" w:bidi="ar-SA"/>
        </w:rPr>
        <w:t>。到2030年，建设生态绿色养殖基地50个、生态良种繁育基地3个。</w:t>
      </w:r>
      <w:r>
        <w:rPr>
          <w:rFonts w:hint="default" w:ascii="Times New Roman" w:hAnsi="Times New Roman" w:eastAsia="仿宋" w:cs="Times New Roman"/>
          <w:b w:val="0"/>
          <w:bCs w:val="0"/>
          <w:snapToGrid/>
          <w:kern w:val="0"/>
          <w:sz w:val="30"/>
          <w:lang w:val="en-US" w:eastAsia="zh-CN" w:bidi="ar-SA"/>
        </w:rPr>
        <w:t>在资江沿岸重点发展特色休闲渔业。因地制宜，建设一批淡水龙虾、小龙虾、欧洲鳗鱼、罗氏沼虾</w:t>
      </w:r>
      <w:r>
        <w:rPr>
          <w:rFonts w:hint="eastAsia" w:ascii="Times New Roman" w:hAnsi="Times New Roman" w:cs="Times New Roman"/>
          <w:b w:val="0"/>
          <w:bCs w:val="0"/>
          <w:snapToGrid/>
          <w:kern w:val="0"/>
          <w:sz w:val="30"/>
          <w:lang w:val="en-US" w:eastAsia="zh-CN" w:bidi="ar-SA"/>
        </w:rPr>
        <w:t>等</w:t>
      </w:r>
      <w:r>
        <w:rPr>
          <w:rFonts w:hint="default" w:ascii="Times New Roman" w:hAnsi="Times New Roman" w:eastAsia="仿宋" w:cs="Times New Roman"/>
          <w:b w:val="0"/>
          <w:bCs w:val="0"/>
          <w:snapToGrid/>
          <w:kern w:val="0"/>
          <w:sz w:val="30"/>
          <w:lang w:val="en-US" w:eastAsia="zh-CN" w:bidi="ar-SA"/>
        </w:rPr>
        <w:t>高新技术养殖基地、生态渔业养殖基地、现代休闲渔业示范基地、水产苗种繁育基地、特种水产养殖基地、稻渔综合种养示范基地。</w:t>
      </w:r>
      <w:r>
        <w:rPr>
          <w:rFonts w:hint="eastAsia" w:ascii="Times New Roman" w:hAnsi="Times New Roman" w:cs="Times New Roman"/>
          <w:b w:val="0"/>
          <w:bCs w:val="0"/>
          <w:snapToGrid/>
          <w:kern w:val="0"/>
          <w:sz w:val="30"/>
          <w:lang w:val="en-US" w:eastAsia="zh-CN" w:bidi="ar-SA"/>
        </w:rPr>
        <w:t>到2030年，全县放养水面稳定在4.5万亩以上，其中特色水产面积达到2.3万亩，水产生态绿色养殖面积覆盖率达到95％以上。</w:t>
      </w:r>
    </w:p>
    <w:p w14:paraId="28EB8999">
      <w:pPr>
        <w:pStyle w:val="183"/>
        <w:rPr>
          <w:rFonts w:hint="default" w:eastAsia="黑体"/>
          <w:lang w:val="en-US" w:eastAsia="zh-CN"/>
        </w:rPr>
      </w:pPr>
      <w:bookmarkStart w:id="140" w:name="_Toc7543"/>
      <w:bookmarkStart w:id="141" w:name="_Toc15806"/>
      <w:bookmarkStart w:id="142" w:name="_Toc10919"/>
      <w:bookmarkStart w:id="143" w:name="_Toc12157"/>
      <w:bookmarkStart w:id="144" w:name="_Toc14445"/>
      <w:r>
        <w:rPr>
          <w:rFonts w:ascii="Times New Roman" w:hAnsi="Times New Roman"/>
          <w:snapToGrid/>
        </w:rPr>
        <w:t>（</w:t>
      </w:r>
      <w:r>
        <w:rPr>
          <w:rFonts w:hint="eastAsia"/>
          <w:snapToGrid/>
          <w:lang w:val="en-US" w:eastAsia="zh-CN"/>
        </w:rPr>
        <w:t>三</w:t>
      </w:r>
      <w:r>
        <w:rPr>
          <w:rFonts w:ascii="Times New Roman" w:hAnsi="Times New Roman"/>
          <w:snapToGrid/>
        </w:rPr>
        <w:t>）</w:t>
      </w:r>
      <w:r>
        <w:rPr>
          <w:rFonts w:hint="eastAsia"/>
          <w:snapToGrid/>
          <w:lang w:val="en-US" w:eastAsia="zh-CN"/>
        </w:rPr>
        <w:t>加强</w:t>
      </w:r>
      <w:r>
        <w:rPr>
          <w:rFonts w:hint="eastAsia"/>
          <w:lang w:val="en-US" w:eastAsia="zh-CN"/>
        </w:rPr>
        <w:t>绿色防控技术推广</w:t>
      </w:r>
      <w:bookmarkEnd w:id="140"/>
      <w:bookmarkEnd w:id="141"/>
    </w:p>
    <w:p w14:paraId="01E90998">
      <w:pPr>
        <w:ind w:left="0" w:leftChars="0" w:firstLine="600" w:firstLineChars="200"/>
        <w:rPr>
          <w:rFonts w:hint="default" w:ascii="Times New Roman" w:hAnsi="Times New Roman"/>
          <w:b w:val="0"/>
          <w:bCs w:val="0"/>
          <w:snapToGrid/>
          <w:lang w:val="en-US" w:eastAsia="zh-CN"/>
        </w:rPr>
      </w:pPr>
      <w:r>
        <w:rPr>
          <w:rFonts w:hint="eastAsia" w:ascii="Times New Roman" w:hAnsi="Times New Roman"/>
          <w:b w:val="0"/>
          <w:bCs w:val="0"/>
          <w:snapToGrid/>
          <w:lang w:val="en-US" w:eastAsia="zh-CN"/>
        </w:rPr>
        <w:t>持续推广农作物病虫害专业化统防统治与绿色防控融合，分作物集成绿色防控技术和可复制推广模式。鼓励依托第三方社会化服务公司，开展“统一优良品种、统一生产操作规程、统一投入品供应和使用、统一田间管理、统一收获”的生产服务，积极推广轮作、休耕制度，杜绝使用品种。以有机肥为基础，实行测土配方施肥。以农业防治、生物防治和物理防治技术为基础，开展辣椒作物病虫草害绿色防治，切实减少农药、化肥施用量，确保产品质量安全和品质提升。到2030年，全县主要粮食作物统防统治覆盖率近90%，主要农作物绿色防控覆盖率85%以上。</w:t>
      </w:r>
    </w:p>
    <w:bookmarkEnd w:id="142"/>
    <w:bookmarkEnd w:id="143"/>
    <w:bookmarkEnd w:id="144"/>
    <w:p w14:paraId="143382B9">
      <w:pPr>
        <w:pStyle w:val="3"/>
        <w:rPr>
          <w:rFonts w:hint="default" w:eastAsia="黑体"/>
          <w:lang w:val="en-US" w:eastAsia="zh-CN"/>
        </w:rPr>
      </w:pPr>
      <w:bookmarkStart w:id="145" w:name="_Toc14732"/>
      <w:r>
        <w:rPr>
          <w:rFonts w:hint="eastAsia" w:ascii="Times New Roman" w:hAnsi="Times New Roman" w:cs="Times New Roman"/>
          <w:snapToGrid/>
          <w:lang w:val="en-US" w:eastAsia="zh-CN"/>
        </w:rPr>
        <w:t>三、产品加工升级工程</w:t>
      </w:r>
      <w:bookmarkEnd w:id="145"/>
    </w:p>
    <w:p w14:paraId="73F9DA29">
      <w:pPr>
        <w:pStyle w:val="183"/>
        <w:rPr>
          <w:rFonts w:hint="default" w:eastAsia="黑体"/>
          <w:lang w:val="en-US" w:eastAsia="zh-CN"/>
        </w:rPr>
      </w:pPr>
      <w:bookmarkStart w:id="146" w:name="_Toc14346"/>
      <w:bookmarkStart w:id="147" w:name="_Toc13393"/>
      <w:r>
        <w:rPr>
          <w:rFonts w:ascii="Times New Roman" w:hAnsi="Times New Roman"/>
          <w:snapToGrid/>
        </w:rPr>
        <w:t>（一）</w:t>
      </w:r>
      <w:r>
        <w:rPr>
          <w:rFonts w:hint="eastAsia"/>
          <w:snapToGrid/>
          <w:lang w:val="en-US" w:eastAsia="zh-CN"/>
        </w:rPr>
        <w:t>推进</w:t>
      </w:r>
      <w:r>
        <w:rPr>
          <w:rFonts w:hint="eastAsia"/>
          <w:lang w:val="en-US" w:eastAsia="zh-CN"/>
        </w:rPr>
        <w:t>农产品产地初加工</w:t>
      </w:r>
      <w:bookmarkEnd w:id="146"/>
      <w:bookmarkEnd w:id="147"/>
    </w:p>
    <w:p w14:paraId="0CDE5DDF">
      <w:pPr>
        <w:ind w:left="0" w:leftChars="0" w:firstLine="600" w:firstLineChars="200"/>
        <w:rPr>
          <w:rFonts w:hint="eastAsia" w:ascii="Times New Roman" w:hAnsi="Times New Roman"/>
          <w:b w:val="0"/>
          <w:bCs w:val="0"/>
          <w:snapToGrid/>
          <w:lang w:eastAsia="zh-CN"/>
        </w:rPr>
      </w:pPr>
      <w:r>
        <w:rPr>
          <w:rFonts w:hint="eastAsia" w:ascii="Times New Roman" w:hAnsi="Times New Roman"/>
          <w:b w:val="0"/>
          <w:bCs w:val="0"/>
          <w:snapToGrid/>
          <w:lang w:eastAsia="zh-CN"/>
        </w:rPr>
        <w:t>鼓励和支持中小微企业、农民合作社、家庭农场等发展农产品产地初加工，延长保鲜期，扩大销售半径。果蔬、畜禽及水产品等鲜活农产品，重点发展预冷、保鲜、冷冻、清洗、分级、分割、去骨、包装等仓储设施和商品化处理，实现减损增效。粮食等耐储农产品，重点发展烘干、储藏、脱壳、去杂等初加工，实现保值增值。</w:t>
      </w:r>
    </w:p>
    <w:p w14:paraId="0E743B55">
      <w:pPr>
        <w:pStyle w:val="183"/>
        <w:rPr>
          <w:rFonts w:hint="default" w:eastAsia="黑体"/>
          <w:lang w:val="en-US" w:eastAsia="zh-CN"/>
        </w:rPr>
      </w:pPr>
      <w:bookmarkStart w:id="148" w:name="_Toc18320"/>
      <w:bookmarkStart w:id="149" w:name="_Toc31398"/>
      <w:r>
        <w:rPr>
          <w:rFonts w:ascii="Times New Roman" w:hAnsi="Times New Roman"/>
          <w:snapToGrid/>
        </w:rPr>
        <w:t>（</w:t>
      </w:r>
      <w:r>
        <w:rPr>
          <w:rFonts w:hint="eastAsia" w:ascii="Times New Roman" w:hAnsi="Times New Roman"/>
          <w:snapToGrid/>
          <w:lang w:val="en-US" w:eastAsia="zh-CN"/>
        </w:rPr>
        <w:t>二</w:t>
      </w:r>
      <w:r>
        <w:rPr>
          <w:rFonts w:ascii="Times New Roman" w:hAnsi="Times New Roman"/>
          <w:snapToGrid/>
        </w:rPr>
        <w:t>）</w:t>
      </w:r>
      <w:r>
        <w:rPr>
          <w:rFonts w:hint="eastAsia" w:ascii="Times New Roman" w:hAnsi="Times New Roman"/>
          <w:snapToGrid/>
        </w:rPr>
        <w:t>提升</w:t>
      </w:r>
      <w:r>
        <w:rPr>
          <w:rFonts w:hint="eastAsia" w:ascii="Times New Roman" w:hAnsi="Times New Roman"/>
          <w:snapToGrid/>
          <w:lang w:val="en-US" w:eastAsia="zh-CN"/>
        </w:rPr>
        <w:t>绿色食品</w:t>
      </w:r>
      <w:r>
        <w:rPr>
          <w:rFonts w:hint="eastAsia" w:ascii="Times New Roman" w:hAnsi="Times New Roman"/>
          <w:snapToGrid/>
        </w:rPr>
        <w:t>精深加工</w:t>
      </w:r>
      <w:bookmarkEnd w:id="148"/>
      <w:bookmarkEnd w:id="149"/>
    </w:p>
    <w:p w14:paraId="34E9B71D">
      <w:pPr>
        <w:pStyle w:val="17"/>
        <w:rPr>
          <w:rFonts w:hint="eastAsia" w:ascii="Times New Roman" w:hAnsi="Times New Roman"/>
          <w:b w:val="0"/>
          <w:bCs w:val="0"/>
          <w:snapToGrid/>
          <w:lang w:eastAsia="zh-CN"/>
        </w:rPr>
      </w:pPr>
      <w:r>
        <w:rPr>
          <w:rFonts w:hint="eastAsia" w:ascii="Times New Roman" w:hAnsi="Times New Roman"/>
          <w:b w:val="0"/>
          <w:bCs w:val="0"/>
          <w:snapToGrid/>
          <w:lang w:eastAsia="zh-CN"/>
        </w:rPr>
        <w:t>加快桃江县笋竹加工产业园（二期）精深加工</w:t>
      </w:r>
      <w:r>
        <w:rPr>
          <w:rFonts w:hint="eastAsia" w:ascii="Times New Roman" w:hAnsi="Times New Roman"/>
          <w:b w:val="0"/>
          <w:bCs w:val="0"/>
          <w:snapToGrid/>
          <w:lang w:val="en-US" w:eastAsia="zh-CN"/>
        </w:rPr>
        <w:t>等项目</w:t>
      </w:r>
      <w:r>
        <w:rPr>
          <w:rFonts w:hint="eastAsia" w:ascii="Times New Roman" w:hAnsi="Times New Roman"/>
          <w:b w:val="0"/>
          <w:bCs w:val="0"/>
          <w:snapToGrid/>
          <w:lang w:eastAsia="zh-CN"/>
        </w:rPr>
        <w:t>建设，提升</w:t>
      </w:r>
      <w:r>
        <w:rPr>
          <w:rFonts w:hint="eastAsia" w:ascii="Times New Roman" w:hAnsi="Times New Roman"/>
          <w:b w:val="0"/>
          <w:bCs w:val="0"/>
          <w:snapToGrid/>
          <w:lang w:val="en-US" w:eastAsia="zh-CN"/>
        </w:rPr>
        <w:t>竹笋</w:t>
      </w:r>
      <w:r>
        <w:rPr>
          <w:rFonts w:hint="eastAsia" w:ascii="Times New Roman" w:hAnsi="Times New Roman"/>
          <w:b w:val="0"/>
          <w:bCs w:val="0"/>
          <w:snapToGrid/>
          <w:lang w:eastAsia="zh-CN"/>
        </w:rPr>
        <w:t>精深加工能力水平。重点</w:t>
      </w:r>
      <w:r>
        <w:rPr>
          <w:rFonts w:hint="eastAsia" w:ascii="Times New Roman" w:hAnsi="Times New Roman"/>
          <w:b w:val="0"/>
          <w:bCs w:val="0"/>
          <w:snapToGrid/>
          <w:lang w:val="en-US" w:eastAsia="zh-CN"/>
        </w:rPr>
        <w:t>推动</w:t>
      </w:r>
      <w:r>
        <w:rPr>
          <w:rFonts w:hint="eastAsia" w:ascii="Times New Roman" w:hAnsi="Times New Roman"/>
          <w:b w:val="0"/>
          <w:bCs w:val="0"/>
          <w:snapToGrid/>
          <w:lang w:eastAsia="zh-CN"/>
        </w:rPr>
        <w:t>极野食品、亿阳仑生态食品、鱼山鱼海、四味食品等企业加强生产设备改造升级，以开发多元产品为抓手，延长产业链、提升价值链。研制生产一批营养、安全、美味、健康、方便的</w:t>
      </w:r>
      <w:r>
        <w:rPr>
          <w:rFonts w:hint="eastAsia" w:ascii="Times New Roman" w:hAnsi="Times New Roman"/>
          <w:b w:val="0"/>
          <w:bCs w:val="0"/>
          <w:snapToGrid/>
          <w:lang w:val="en-US" w:eastAsia="zh-CN"/>
        </w:rPr>
        <w:t>米面、</w:t>
      </w:r>
      <w:r>
        <w:rPr>
          <w:rFonts w:hint="eastAsia" w:ascii="Times New Roman" w:hAnsi="Times New Roman"/>
          <w:b w:val="0"/>
          <w:bCs w:val="0"/>
          <w:snapToGrid/>
          <w:lang w:eastAsia="zh-CN"/>
        </w:rPr>
        <w:t>预制菜肴等多元化主食产品。加强功能性及特殊人群膳食相关产品开发。加快新型非热加工、新型杀菌、高效分离、绿色节能干燥和传统食品工业化关键技术升级与集成应用，开展酶工程、发酵工程及蛋白质工程等生物制造技术研发应用及信息化、智能化、成套化精深加工装备研制。</w:t>
      </w:r>
    </w:p>
    <w:p w14:paraId="6C1EC48E">
      <w:pPr>
        <w:pStyle w:val="183"/>
        <w:rPr>
          <w:rFonts w:hint="default" w:eastAsia="黑体"/>
          <w:lang w:val="en-US" w:eastAsia="zh-CN"/>
        </w:rPr>
      </w:pPr>
      <w:bookmarkStart w:id="150" w:name="_Toc16427"/>
      <w:bookmarkStart w:id="151" w:name="_Toc11867"/>
      <w:r>
        <w:rPr>
          <w:rFonts w:ascii="Times New Roman" w:hAnsi="Times New Roman"/>
          <w:snapToGrid/>
        </w:rPr>
        <w:t>（</w:t>
      </w:r>
      <w:r>
        <w:rPr>
          <w:rFonts w:hint="eastAsia" w:ascii="Times New Roman" w:hAnsi="Times New Roman"/>
          <w:snapToGrid/>
          <w:lang w:val="en-US" w:eastAsia="zh-CN"/>
        </w:rPr>
        <w:t>三</w:t>
      </w:r>
      <w:r>
        <w:rPr>
          <w:rFonts w:ascii="Times New Roman" w:hAnsi="Times New Roman"/>
          <w:snapToGrid/>
        </w:rPr>
        <w:t>）</w:t>
      </w:r>
      <w:r>
        <w:rPr>
          <w:rFonts w:hint="eastAsia" w:ascii="Times New Roman" w:hAnsi="Times New Roman"/>
          <w:snapToGrid/>
          <w:lang w:val="en-US" w:eastAsia="zh-CN"/>
        </w:rPr>
        <w:t>加快预制食品产业发展</w:t>
      </w:r>
      <w:bookmarkEnd w:id="150"/>
      <w:bookmarkEnd w:id="151"/>
    </w:p>
    <w:p w14:paraId="798FF3E0">
      <w:pPr>
        <w:pStyle w:val="17"/>
        <w:rPr>
          <w:rFonts w:hint="eastAsia" w:ascii="Times New Roman" w:hAnsi="Times New Roman"/>
          <w:b w:val="0"/>
          <w:bCs w:val="0"/>
          <w:snapToGrid/>
          <w:lang w:val="en-US" w:eastAsia="zh-CN"/>
        </w:rPr>
      </w:pPr>
      <w:r>
        <w:rPr>
          <w:rFonts w:hint="eastAsia" w:ascii="Times New Roman" w:hAnsi="Times New Roman"/>
          <w:b w:val="0"/>
          <w:bCs w:val="0"/>
          <w:snapToGrid/>
          <w:lang w:eastAsia="zh-CN"/>
        </w:rPr>
        <w:t>发挥预制食品质量安全、营养健康、特色便捷的特点及带动农产品消费品种多、范围广的作用，集</w:t>
      </w:r>
      <w:r>
        <w:rPr>
          <w:rFonts w:hint="eastAsia" w:ascii="Times New Roman" w:hAnsi="Times New Roman"/>
          <w:b w:val="0"/>
          <w:bCs w:val="0"/>
          <w:snapToGrid/>
          <w:lang w:val="en-US" w:eastAsia="zh-CN"/>
        </w:rPr>
        <w:t>竹笋、竹泉米</w:t>
      </w:r>
      <w:r>
        <w:rPr>
          <w:rFonts w:hint="eastAsia" w:ascii="Times New Roman" w:hAnsi="Times New Roman"/>
          <w:b w:val="0"/>
          <w:bCs w:val="0"/>
          <w:snapToGrid/>
          <w:lang w:eastAsia="zh-CN"/>
        </w:rPr>
        <w:t>、蔬菜、生猪、家禽、水产</w:t>
      </w:r>
      <w:r>
        <w:rPr>
          <w:rFonts w:hint="eastAsia" w:ascii="Times New Roman" w:hAnsi="Times New Roman"/>
          <w:b w:val="0"/>
          <w:bCs w:val="0"/>
          <w:snapToGrid/>
          <w:lang w:val="en-US" w:eastAsia="zh-CN"/>
        </w:rPr>
        <w:t>品等</w:t>
      </w:r>
      <w:r>
        <w:rPr>
          <w:rFonts w:hint="eastAsia" w:ascii="Times New Roman" w:hAnsi="Times New Roman"/>
          <w:b w:val="0"/>
          <w:bCs w:val="0"/>
          <w:snapToGrid/>
          <w:lang w:eastAsia="zh-CN"/>
        </w:rPr>
        <w:t>绿色食品产业互联互通发展优势，推进</w:t>
      </w:r>
      <w:r>
        <w:rPr>
          <w:rFonts w:hint="eastAsia" w:ascii="Times New Roman" w:hAnsi="Times New Roman"/>
          <w:b w:val="0"/>
          <w:bCs w:val="0"/>
          <w:snapToGrid/>
          <w:lang w:val="en-US" w:eastAsia="zh-CN"/>
        </w:rPr>
        <w:t>桃江预制食品</w:t>
      </w:r>
      <w:r>
        <w:rPr>
          <w:rFonts w:hint="eastAsia" w:ascii="Times New Roman" w:hAnsi="Times New Roman"/>
          <w:b w:val="0"/>
          <w:bCs w:val="0"/>
          <w:snapToGrid/>
          <w:lang w:eastAsia="zh-CN"/>
        </w:rPr>
        <w:t>产业发展。重点加强预制菜企业的招引工作，</w:t>
      </w:r>
      <w:r>
        <w:rPr>
          <w:rFonts w:hint="eastAsia" w:ascii="Times New Roman" w:hAnsi="Times New Roman"/>
          <w:b w:val="0"/>
          <w:bCs w:val="0"/>
          <w:snapToGrid/>
          <w:lang w:val="en-US" w:eastAsia="zh-CN"/>
        </w:rPr>
        <w:t>推进</w:t>
      </w:r>
      <w:r>
        <w:rPr>
          <w:rFonts w:hint="eastAsia" w:ascii="Times New Roman" w:hAnsi="Times New Roman"/>
          <w:b w:val="0"/>
          <w:bCs w:val="0"/>
          <w:snapToGrid/>
          <w:lang w:eastAsia="zh-CN"/>
        </w:rPr>
        <w:t>中央厨房食品加工等项目建设，引进智能化中央厨房生产设施设备，建设自动化清理分拣线、食品热处理等生产线，提升预制食品加工能力，培育特色预制菜品牌，形成产业集聚。</w:t>
      </w:r>
    </w:p>
    <w:p w14:paraId="24A660B9">
      <w:pPr>
        <w:pStyle w:val="183"/>
        <w:rPr>
          <w:rFonts w:hint="default" w:eastAsia="黑体"/>
          <w:lang w:val="en-US" w:eastAsia="zh-CN"/>
        </w:rPr>
      </w:pPr>
      <w:bookmarkStart w:id="152" w:name="_Toc4051"/>
      <w:bookmarkStart w:id="153" w:name="_Toc12482"/>
      <w:r>
        <w:rPr>
          <w:rFonts w:ascii="Times New Roman" w:hAnsi="Times New Roman"/>
          <w:snapToGrid/>
        </w:rPr>
        <w:t>（</w:t>
      </w:r>
      <w:r>
        <w:rPr>
          <w:rFonts w:hint="eastAsia" w:ascii="Times New Roman" w:hAnsi="Times New Roman"/>
          <w:snapToGrid/>
          <w:lang w:val="en-US" w:eastAsia="zh-CN"/>
        </w:rPr>
        <w:t>四</w:t>
      </w:r>
      <w:r>
        <w:rPr>
          <w:rFonts w:ascii="Times New Roman" w:hAnsi="Times New Roman"/>
          <w:snapToGrid/>
        </w:rPr>
        <w:t>）</w:t>
      </w:r>
      <w:r>
        <w:rPr>
          <w:rFonts w:hint="eastAsia" w:ascii="Times New Roman" w:hAnsi="Times New Roman"/>
          <w:snapToGrid/>
          <w:lang w:val="en-US" w:eastAsia="zh-CN"/>
        </w:rPr>
        <w:t>加强农副产物综合利用</w:t>
      </w:r>
      <w:bookmarkEnd w:id="152"/>
      <w:bookmarkEnd w:id="153"/>
    </w:p>
    <w:p w14:paraId="04AA04D7">
      <w:pPr>
        <w:pStyle w:val="17"/>
        <w:rPr>
          <w:rFonts w:hint="eastAsia" w:ascii="Times New Roman" w:hAnsi="Times New Roman"/>
          <w:b w:val="0"/>
          <w:bCs w:val="0"/>
          <w:snapToGrid/>
          <w:lang w:eastAsia="zh-CN"/>
        </w:rPr>
      </w:pPr>
      <w:r>
        <w:rPr>
          <w:rFonts w:hint="eastAsia"/>
          <w:lang w:val="en-US" w:eastAsia="zh-CN"/>
        </w:rPr>
        <w:t>持续推进种植养殖业废弃物资源化利用，加快提升畜禽养殖场零排放水平，探索推广“阳光棚堆制间</w:t>
      </w:r>
      <w:r>
        <w:rPr>
          <w:rFonts w:hint="eastAsia" w:ascii="Times New Roman" w:hAnsi="Times New Roman" w:cs="Times New Roman"/>
          <w:lang w:val="en-US" w:eastAsia="zh-CN"/>
        </w:rPr>
        <w:t>+</w:t>
      </w:r>
      <w:r>
        <w:rPr>
          <w:rFonts w:hint="eastAsia"/>
          <w:lang w:val="en-US" w:eastAsia="zh-CN"/>
        </w:rPr>
        <w:t>漏粪间</w:t>
      </w:r>
      <w:r>
        <w:rPr>
          <w:rFonts w:hint="eastAsia" w:ascii="Times New Roman" w:hAnsi="Times New Roman" w:cs="Times New Roman"/>
          <w:lang w:val="en-US" w:eastAsia="zh-CN"/>
        </w:rPr>
        <w:t>+</w:t>
      </w:r>
      <w:r>
        <w:rPr>
          <w:rFonts w:hint="eastAsia"/>
          <w:lang w:val="en-US" w:eastAsia="zh-CN"/>
        </w:rPr>
        <w:t>异位微生物发酵床生产有机肥原料</w:t>
      </w:r>
      <w:r>
        <w:rPr>
          <w:rFonts w:hint="default" w:ascii="Times New Roman" w:hAnsi="Times New Roman" w:cs="Times New Roman"/>
          <w:lang w:val="en-US" w:eastAsia="zh-CN"/>
        </w:rPr>
        <w:t>+</w:t>
      </w:r>
      <w:r>
        <w:rPr>
          <w:rFonts w:hint="eastAsia"/>
          <w:lang w:val="en-US" w:eastAsia="zh-CN"/>
        </w:rPr>
        <w:t>有机肥厂”“雨污分流</w:t>
      </w:r>
      <w:r>
        <w:rPr>
          <w:rFonts w:hint="eastAsia" w:ascii="Times New Roman" w:hAnsi="Times New Roman" w:cs="Times New Roman"/>
          <w:lang w:val="en-US" w:eastAsia="zh-CN"/>
        </w:rPr>
        <w:t>+</w:t>
      </w:r>
      <w:r>
        <w:rPr>
          <w:rFonts w:hint="eastAsia"/>
          <w:lang w:val="en-US" w:eastAsia="zh-CN"/>
        </w:rPr>
        <w:t>粪尿干湿分离</w:t>
      </w:r>
      <w:r>
        <w:rPr>
          <w:rFonts w:hint="eastAsia" w:ascii="Times New Roman" w:hAnsi="Times New Roman" w:cs="Times New Roman"/>
          <w:lang w:val="en-US" w:eastAsia="zh-CN"/>
        </w:rPr>
        <w:t>+</w:t>
      </w:r>
      <w:r>
        <w:rPr>
          <w:rFonts w:hint="eastAsia"/>
          <w:lang w:val="en-US" w:eastAsia="zh-CN"/>
        </w:rPr>
        <w:t>粪污浓淡分离</w:t>
      </w:r>
      <w:r>
        <w:rPr>
          <w:rFonts w:hint="eastAsia" w:ascii="Times New Roman" w:hAnsi="Times New Roman" w:cs="Times New Roman"/>
          <w:lang w:val="en-US" w:eastAsia="zh-CN"/>
        </w:rPr>
        <w:t>+</w:t>
      </w:r>
      <w:r>
        <w:rPr>
          <w:rFonts w:hint="eastAsia"/>
          <w:lang w:val="en-US" w:eastAsia="zh-CN"/>
        </w:rPr>
        <w:t>沼气池</w:t>
      </w:r>
      <w:r>
        <w:rPr>
          <w:rFonts w:hint="eastAsia" w:ascii="Times New Roman" w:hAnsi="Times New Roman" w:cs="Times New Roman"/>
          <w:lang w:val="en-US" w:eastAsia="zh-CN"/>
        </w:rPr>
        <w:t>+</w:t>
      </w:r>
      <w:r>
        <w:rPr>
          <w:rFonts w:hint="eastAsia"/>
          <w:lang w:val="en-US" w:eastAsia="zh-CN"/>
        </w:rPr>
        <w:t>贮液池”等“以地定养、以养肥地、粪尿全量收集还田利用”的循环模式。加强竹笋全笋、蔬菜边叶、秸秆资源化利用，鼓励饲料企业与竹笋、蔬菜种植企业合作，支持引进自动化分拣机、粉碎机、水解破壁、生物菌配置等先进设备及工艺，研制生产有机生物肥料及土壤改良剂，提升资源利用率，减少农业废弃物对环境的影响。</w:t>
      </w:r>
      <w:r>
        <w:rPr>
          <w:rFonts w:hint="eastAsia" w:ascii="Times New Roman" w:hAnsi="Times New Roman"/>
          <w:b w:val="0"/>
          <w:bCs w:val="0"/>
          <w:snapToGrid/>
          <w:lang w:eastAsia="zh-CN"/>
        </w:rPr>
        <w:t>到20</w:t>
      </w:r>
      <w:r>
        <w:rPr>
          <w:rFonts w:hint="eastAsia" w:ascii="Times New Roman" w:hAnsi="Times New Roman"/>
          <w:b w:val="0"/>
          <w:bCs w:val="0"/>
          <w:snapToGrid/>
          <w:lang w:val="en-US" w:eastAsia="zh-CN"/>
        </w:rPr>
        <w:t>30</w:t>
      </w:r>
      <w:r>
        <w:rPr>
          <w:rFonts w:hint="eastAsia" w:ascii="Times New Roman" w:hAnsi="Times New Roman"/>
          <w:b w:val="0"/>
          <w:bCs w:val="0"/>
          <w:snapToGrid/>
          <w:lang w:eastAsia="zh-CN"/>
        </w:rPr>
        <w:t>年，全县秸秆综合利用率、畜禽粪污资源化</w:t>
      </w:r>
      <w:r>
        <w:rPr>
          <w:rFonts w:hint="eastAsia" w:ascii="Times New Roman" w:hAnsi="Times New Roman"/>
          <w:b w:val="0"/>
          <w:bCs w:val="0"/>
          <w:snapToGrid/>
          <w:lang w:val="en-US" w:eastAsia="zh-CN"/>
        </w:rPr>
        <w:t>利用</w:t>
      </w:r>
      <w:r>
        <w:rPr>
          <w:rFonts w:hint="eastAsia" w:ascii="Times New Roman" w:hAnsi="Times New Roman"/>
          <w:b w:val="0"/>
          <w:bCs w:val="0"/>
          <w:snapToGrid/>
          <w:lang w:eastAsia="zh-CN"/>
        </w:rPr>
        <w:t>率均达9</w:t>
      </w:r>
      <w:r>
        <w:rPr>
          <w:rFonts w:hint="eastAsia" w:ascii="Times New Roman" w:hAnsi="Times New Roman"/>
          <w:b w:val="0"/>
          <w:bCs w:val="0"/>
          <w:snapToGrid/>
          <w:lang w:val="en-US" w:eastAsia="zh-CN"/>
        </w:rPr>
        <w:t>1</w:t>
      </w:r>
      <w:r>
        <w:rPr>
          <w:rFonts w:hint="eastAsia" w:ascii="Times New Roman" w:hAnsi="Times New Roman"/>
          <w:b w:val="0"/>
          <w:bCs w:val="0"/>
          <w:snapToGrid/>
          <w:lang w:eastAsia="zh-CN"/>
        </w:rPr>
        <w:t>％以上。</w:t>
      </w:r>
    </w:p>
    <w:p w14:paraId="6A0CD65C">
      <w:pPr>
        <w:pStyle w:val="3"/>
        <w:keepNext w:val="0"/>
        <w:pageBreakBefore w:val="0"/>
        <w:widowControl w:val="0"/>
        <w:numPr>
          <w:ilvl w:val="0"/>
          <w:numId w:val="0"/>
        </w:numPr>
        <w:kinsoku/>
        <w:wordWrap/>
        <w:overflowPunct/>
        <w:topLinePunct w:val="0"/>
        <w:autoSpaceDE/>
        <w:autoSpaceDN/>
        <w:bidi w:val="0"/>
        <w:adjustRightInd w:val="0"/>
        <w:snapToGrid w:val="0"/>
        <w:textAlignment w:val="auto"/>
        <w:rPr>
          <w:rFonts w:hint="eastAsia" w:ascii="Times New Roman" w:hAnsi="Times New Roman" w:cs="Times New Roman"/>
          <w:snapToGrid/>
          <w:lang w:val="en-US" w:eastAsia="zh-CN"/>
        </w:rPr>
      </w:pPr>
      <w:bookmarkStart w:id="154" w:name="_Toc15222"/>
      <w:r>
        <w:rPr>
          <w:rFonts w:hint="eastAsia" w:ascii="Times New Roman" w:hAnsi="Times New Roman" w:cs="Times New Roman"/>
          <w:snapToGrid/>
          <w:lang w:val="en-US" w:eastAsia="zh-CN"/>
        </w:rPr>
        <w:t>四、品牌体系打造工程</w:t>
      </w:r>
      <w:bookmarkEnd w:id="154"/>
    </w:p>
    <w:p w14:paraId="0BA5AEE1">
      <w:pPr>
        <w:pStyle w:val="183"/>
        <w:keepNext w:val="0"/>
        <w:pageBreakBefore w:val="0"/>
        <w:widowControl w:val="0"/>
        <w:kinsoku/>
        <w:wordWrap/>
        <w:overflowPunct/>
        <w:topLinePunct w:val="0"/>
        <w:autoSpaceDE/>
        <w:autoSpaceDN/>
        <w:bidi w:val="0"/>
        <w:adjustRightInd w:val="0"/>
        <w:snapToGrid w:val="0"/>
        <w:textAlignment w:val="auto"/>
        <w:rPr>
          <w:rFonts w:hint="eastAsia"/>
          <w:lang w:val="en-US" w:eastAsia="zh-CN"/>
        </w:rPr>
      </w:pPr>
      <w:bookmarkStart w:id="155" w:name="_Toc26139"/>
      <w:bookmarkStart w:id="156" w:name="_Toc28392"/>
      <w:bookmarkStart w:id="157" w:name="_Toc11491"/>
      <w:bookmarkStart w:id="158" w:name="_Toc18194"/>
      <w:bookmarkStart w:id="159" w:name="_Toc17235"/>
      <w:r>
        <w:rPr>
          <w:rFonts w:ascii="Times New Roman" w:hAnsi="Times New Roman"/>
          <w:snapToGrid/>
        </w:rPr>
        <w:t>（</w:t>
      </w:r>
      <w:r>
        <w:rPr>
          <w:rFonts w:hint="eastAsia"/>
          <w:snapToGrid/>
          <w:lang w:val="en-US" w:eastAsia="zh-CN"/>
        </w:rPr>
        <w:t>一</w:t>
      </w:r>
      <w:r>
        <w:rPr>
          <w:rFonts w:ascii="Times New Roman" w:hAnsi="Times New Roman"/>
          <w:snapToGrid/>
        </w:rPr>
        <w:t>）</w:t>
      </w:r>
      <w:r>
        <w:rPr>
          <w:rFonts w:hint="eastAsia"/>
          <w:lang w:val="en-US" w:eastAsia="zh-CN"/>
        </w:rPr>
        <w:t>强化产品品牌塑造</w:t>
      </w:r>
      <w:bookmarkEnd w:id="155"/>
      <w:bookmarkEnd w:id="156"/>
    </w:p>
    <w:p w14:paraId="4E042EE8">
      <w:pPr>
        <w:keepNext w:val="0"/>
        <w:pageBreakBefore w:val="0"/>
        <w:widowControl w:val="0"/>
        <w:numPr>
          <w:ilvl w:val="0"/>
          <w:numId w:val="0"/>
        </w:numPr>
        <w:kinsoku/>
        <w:wordWrap/>
        <w:overflowPunct/>
        <w:topLinePunct w:val="0"/>
        <w:autoSpaceDE/>
        <w:autoSpaceDN/>
        <w:bidi w:val="0"/>
        <w:adjustRightInd w:val="0"/>
        <w:snapToGrid w:val="0"/>
        <w:spacing w:line="600" w:lineRule="exact"/>
        <w:ind w:firstLine="600" w:firstLineChars="200"/>
        <w:jc w:val="both"/>
        <w:textAlignment w:val="auto"/>
        <w:rPr>
          <w:rFonts w:hint="default"/>
          <w:lang w:val="en-US" w:eastAsia="zh-CN"/>
        </w:rPr>
      </w:pPr>
      <w:r>
        <w:rPr>
          <w:rFonts w:hint="default"/>
          <w:lang w:val="en-US" w:eastAsia="zh-CN"/>
        </w:rPr>
        <w:t>持续抓好</w:t>
      </w:r>
      <w:r>
        <w:rPr>
          <w:rFonts w:hint="eastAsia" w:ascii="仿宋" w:hAnsi="仿宋" w:eastAsia="仿宋" w:cs="仿宋"/>
          <w:lang w:val="en-US" w:eastAsia="zh-CN"/>
        </w:rPr>
        <w:t>“二品一标”</w:t>
      </w:r>
      <w:r>
        <w:rPr>
          <w:rFonts w:hint="default"/>
          <w:lang w:val="en-US" w:eastAsia="zh-CN"/>
        </w:rPr>
        <w:t>认证工作，深入各个生产规模企业摸底调研，建立绿色食品产品认证联系群，对有认证意向的企业、合作社、家庭农场进行技术指导</w:t>
      </w:r>
      <w:r>
        <w:rPr>
          <w:rFonts w:hint="eastAsia"/>
          <w:lang w:val="en-US" w:eastAsia="zh-CN"/>
        </w:rPr>
        <w:t>，</w:t>
      </w:r>
      <w:r>
        <w:rPr>
          <w:rFonts w:hint="default"/>
          <w:lang w:val="en-US" w:eastAsia="zh-CN"/>
        </w:rPr>
        <w:t>提升产品认证率。</w:t>
      </w:r>
      <w:r>
        <w:rPr>
          <w:rFonts w:hint="eastAsia"/>
          <w:lang w:val="en-US" w:eastAsia="zh-CN"/>
        </w:rPr>
        <w:t>力</w:t>
      </w:r>
      <w:r>
        <w:rPr>
          <w:rFonts w:hint="default" w:ascii="Times New Roman" w:hAnsi="Times New Roman" w:cs="Times New Roman"/>
          <w:lang w:val="en-US" w:eastAsia="zh-CN"/>
        </w:rPr>
        <w:t>争到2030年，全县</w:t>
      </w:r>
      <w:r>
        <w:rPr>
          <w:rFonts w:hint="eastAsia" w:ascii="仿宋" w:hAnsi="仿宋" w:eastAsia="仿宋" w:cs="仿宋"/>
          <w:lang w:val="en-US" w:eastAsia="zh-CN"/>
        </w:rPr>
        <w:t>“绿色食品”</w:t>
      </w:r>
      <w:r>
        <w:rPr>
          <w:rFonts w:hint="default" w:ascii="Times New Roman" w:hAnsi="Times New Roman" w:cs="Times New Roman"/>
          <w:lang w:val="en-US" w:eastAsia="zh-CN"/>
        </w:rPr>
        <w:t>认证企业超过50家，认证产品超过</w:t>
      </w:r>
      <w:r>
        <w:rPr>
          <w:rFonts w:hint="eastAsia" w:ascii="Times New Roman" w:hAnsi="Times New Roman" w:cs="Times New Roman"/>
          <w:lang w:val="en-US" w:eastAsia="zh-CN"/>
        </w:rPr>
        <w:t>120</w:t>
      </w:r>
      <w:r>
        <w:rPr>
          <w:rFonts w:hint="default" w:ascii="Times New Roman" w:hAnsi="Times New Roman" w:cs="Times New Roman"/>
          <w:lang w:val="en-US" w:eastAsia="zh-CN"/>
        </w:rPr>
        <w:t>个。</w:t>
      </w:r>
      <w:r>
        <w:rPr>
          <w:rFonts w:hint="default"/>
          <w:lang w:val="en-US" w:eastAsia="zh-CN"/>
        </w:rPr>
        <w:t>支持农业经营主体培育特色优势产品，通过农产品种植养殖生产技术标准化、全程质量安全监督标准化、成品验收标准化与品牌运营标准化，推动</w:t>
      </w:r>
      <w:r>
        <w:rPr>
          <w:rFonts w:hint="eastAsia"/>
          <w:lang w:val="en-US" w:eastAsia="zh-CN"/>
        </w:rPr>
        <w:t>桃江竹笋、桃江竹叶、修山面、</w:t>
      </w:r>
      <w:r>
        <w:rPr>
          <w:rFonts w:hint="eastAsia" w:ascii="Times New Roman" w:hAnsi="Times New Roman"/>
          <w:snapToGrid/>
          <w:lang w:val="en-US" w:eastAsia="zh-CN"/>
        </w:rPr>
        <w:t>鲊埠牛肉</w:t>
      </w:r>
      <w:r>
        <w:rPr>
          <w:rFonts w:hint="eastAsia"/>
          <w:lang w:val="en-US" w:eastAsia="zh-CN"/>
        </w:rPr>
        <w:t>等</w:t>
      </w:r>
      <w:r>
        <w:rPr>
          <w:rFonts w:hint="default"/>
          <w:lang w:val="en-US" w:eastAsia="zh-CN"/>
        </w:rPr>
        <w:t>农产品区域品牌建设，提升区域品牌影响力。引导企业树立以质量为核心的品牌理念，打造一批</w:t>
      </w:r>
      <w:r>
        <w:rPr>
          <w:rFonts w:hint="eastAsia" w:ascii="仿宋" w:hAnsi="仿宋" w:eastAsia="仿宋" w:cs="仿宋"/>
          <w:lang w:val="en-US" w:eastAsia="zh-CN"/>
        </w:rPr>
        <w:t>“小而美、少而精、</w:t>
      </w:r>
      <w:r>
        <w:rPr>
          <w:rFonts w:hint="eastAsia" w:ascii="仿宋" w:hAnsi="仿宋" w:cs="仿宋"/>
          <w:lang w:val="en-US" w:eastAsia="zh-CN"/>
        </w:rPr>
        <w:t>人无我有、</w:t>
      </w:r>
      <w:r>
        <w:rPr>
          <w:rFonts w:hint="eastAsia" w:ascii="仿宋" w:hAnsi="仿宋" w:eastAsia="仿宋" w:cs="仿宋"/>
          <w:lang w:val="en-US" w:eastAsia="zh-CN"/>
        </w:rPr>
        <w:t>人有我特”</w:t>
      </w:r>
      <w:r>
        <w:rPr>
          <w:rFonts w:hint="default"/>
          <w:lang w:val="en-US" w:eastAsia="zh-CN"/>
        </w:rPr>
        <w:t>的加工产品品牌</w:t>
      </w:r>
      <w:r>
        <w:rPr>
          <w:rFonts w:hint="eastAsia"/>
          <w:lang w:val="en-US" w:eastAsia="zh-CN"/>
        </w:rPr>
        <w:t>，实现差异化竞争</w:t>
      </w:r>
      <w:r>
        <w:rPr>
          <w:rFonts w:hint="default"/>
          <w:lang w:val="en-US" w:eastAsia="zh-CN"/>
        </w:rPr>
        <w:t>。鼓励龙头企业引入现代要素改造提升传统名优品牌，实施自有品牌整合，重点打造核心品牌，提升品牌集中度和市场竞争力。</w:t>
      </w:r>
    </w:p>
    <w:p w14:paraId="1071E167">
      <w:pPr>
        <w:pStyle w:val="183"/>
        <w:rPr>
          <w:rFonts w:hint="default"/>
          <w:lang w:val="en-US" w:eastAsia="zh-CN"/>
        </w:rPr>
      </w:pPr>
      <w:bookmarkStart w:id="160" w:name="_Toc9562"/>
      <w:bookmarkStart w:id="161" w:name="_Toc23409"/>
      <w:r>
        <w:rPr>
          <w:rFonts w:ascii="Times New Roman" w:hAnsi="Times New Roman"/>
          <w:snapToGrid/>
        </w:rPr>
        <w:t>（</w:t>
      </w:r>
      <w:r>
        <w:rPr>
          <w:rFonts w:hint="eastAsia"/>
          <w:snapToGrid/>
          <w:lang w:val="en-US" w:eastAsia="zh-CN"/>
        </w:rPr>
        <w:t>二</w:t>
      </w:r>
      <w:r>
        <w:rPr>
          <w:rFonts w:ascii="Times New Roman" w:hAnsi="Times New Roman"/>
          <w:snapToGrid/>
        </w:rPr>
        <w:t>）</w:t>
      </w:r>
      <w:r>
        <w:rPr>
          <w:rFonts w:hint="eastAsia"/>
          <w:lang w:val="en-US" w:eastAsia="zh-CN"/>
        </w:rPr>
        <w:t>加强质量安全监管</w:t>
      </w:r>
      <w:bookmarkEnd w:id="160"/>
      <w:bookmarkEnd w:id="161"/>
    </w:p>
    <w:p w14:paraId="296B242E">
      <w:pPr>
        <w:widowControl w:val="0"/>
        <w:numPr>
          <w:ilvl w:val="0"/>
          <w:numId w:val="0"/>
        </w:numPr>
        <w:adjustRightInd w:val="0"/>
        <w:snapToGrid w:val="0"/>
        <w:spacing w:line="600" w:lineRule="exact"/>
        <w:ind w:firstLine="600" w:firstLineChars="200"/>
        <w:jc w:val="both"/>
        <w:rPr>
          <w:rFonts w:hint="eastAsia"/>
          <w:lang w:val="en-US" w:eastAsia="zh-CN"/>
        </w:rPr>
      </w:pPr>
      <w:r>
        <w:rPr>
          <w:rFonts w:hint="eastAsia"/>
          <w:lang w:val="en-US" w:eastAsia="zh-CN"/>
        </w:rPr>
        <w:t>按照绿色食品生产要求，加强对产地环境、投入品管控、农兽药残留、产品加工、储运保险等关键环节的监管，确保从田间到餐桌的每一个环节都符合高标准的质量要求。鼓励和支持企业积极参与</w:t>
      </w:r>
      <w:r>
        <w:rPr>
          <w:rFonts w:hint="default" w:ascii="Times New Roman" w:hAnsi="Times New Roman" w:cs="Times New Roman"/>
          <w:lang w:val="en-US" w:eastAsia="zh-CN"/>
        </w:rPr>
        <w:t>HACCP、ISO22000等</w:t>
      </w:r>
      <w:r>
        <w:rPr>
          <w:rFonts w:hint="eastAsia"/>
          <w:lang w:val="en-US" w:eastAsia="zh-CN"/>
        </w:rPr>
        <w:t>国际先进的质量管理、食品安全控制体系认证，提升全程质量控制能力，接轨国际标准，增强产品在国内外市场的竞争力。引导竹笋加工、蔬菜加工、茶叶加工、</w:t>
      </w:r>
    </w:p>
    <w:p w14:paraId="42FAF7FF">
      <w:pPr>
        <w:widowControl w:val="0"/>
        <w:numPr>
          <w:ilvl w:val="0"/>
          <w:numId w:val="0"/>
        </w:numPr>
        <w:adjustRightInd w:val="0"/>
        <w:snapToGrid w:val="0"/>
        <w:spacing w:line="600" w:lineRule="exact"/>
        <w:jc w:val="both"/>
        <w:rPr>
          <w:rFonts w:hint="default"/>
          <w:lang w:val="en-US" w:eastAsia="zh-CN"/>
        </w:rPr>
      </w:pPr>
      <w:r>
        <w:rPr>
          <w:rFonts w:hint="eastAsia"/>
          <w:lang w:val="en-US" w:eastAsia="zh-CN"/>
        </w:rPr>
        <w:t>休闲食品加工等重点领域企业建立健全原料检测、生产过程动态检测、产品出厂检测等制度，实现从原料生产到食品加工、储运、销售的全过程监控，确保产品质量安全。建立企业诚信管理体系，实行企业“黑名单”制度和市场退出机制，严厉打击质量违法行为，提升整个行业的诚信水平，营造公平竞争的市场环境。</w:t>
      </w:r>
    </w:p>
    <w:p w14:paraId="533CCC5A">
      <w:pPr>
        <w:pStyle w:val="183"/>
        <w:rPr>
          <w:rFonts w:hint="default"/>
          <w:lang w:val="en-US" w:eastAsia="zh-CN"/>
        </w:rPr>
      </w:pPr>
      <w:bookmarkStart w:id="162" w:name="_Toc3016"/>
      <w:bookmarkStart w:id="163" w:name="_Toc17278"/>
      <w:r>
        <w:rPr>
          <w:rFonts w:ascii="Times New Roman" w:hAnsi="Times New Roman"/>
          <w:snapToGrid/>
        </w:rPr>
        <w:t>（</w:t>
      </w:r>
      <w:r>
        <w:rPr>
          <w:rFonts w:hint="eastAsia"/>
          <w:snapToGrid/>
          <w:lang w:val="en-US" w:eastAsia="zh-CN"/>
        </w:rPr>
        <w:t>三</w:t>
      </w:r>
      <w:r>
        <w:rPr>
          <w:rFonts w:ascii="Times New Roman" w:hAnsi="Times New Roman"/>
          <w:snapToGrid/>
        </w:rPr>
        <w:t>）</w:t>
      </w:r>
      <w:r>
        <w:rPr>
          <w:rFonts w:hint="eastAsia"/>
          <w:lang w:val="en-US" w:eastAsia="zh-CN"/>
        </w:rPr>
        <w:t>加大标准集成应用</w:t>
      </w:r>
      <w:bookmarkEnd w:id="162"/>
      <w:bookmarkEnd w:id="163"/>
    </w:p>
    <w:p w14:paraId="53E3C3D1">
      <w:pPr>
        <w:widowControl w:val="0"/>
        <w:numPr>
          <w:ilvl w:val="0"/>
          <w:numId w:val="0"/>
        </w:numPr>
        <w:adjustRightInd w:val="0"/>
        <w:snapToGrid w:val="0"/>
        <w:spacing w:line="600" w:lineRule="exact"/>
        <w:ind w:firstLine="600" w:firstLineChars="200"/>
        <w:jc w:val="both"/>
        <w:rPr>
          <w:rFonts w:hint="eastAsia"/>
          <w:lang w:val="en-US" w:eastAsia="zh-CN"/>
        </w:rPr>
      </w:pPr>
      <w:r>
        <w:rPr>
          <w:rFonts w:hint="eastAsia"/>
          <w:lang w:val="en-US" w:eastAsia="zh-CN"/>
        </w:rPr>
        <w:t>突出优质、安全、绿色导向，加强农业绿色发展标准体系建设，推行市场准入和质量追溯制度，以市场机制倒逼农业标准化生产水平和农产品质量提高，切实增强农产品市场竞争力。加大农业标准技术推广应用力度，大力宣传农药、兽药、肥料、饲料和饲料添加剂使用规范和间隔期休药期规定。全面建立和推行种养业关键环节负面清单制度，加快推进规模经营主体按标生产。按照绿色发展、增产增效、资源节约、生态环保、质量安全等要求，遴选推介发布全县农业生产技术操作规程，推进绿色食品全产业链标准化建设。按照“有标采标、无标创标、全程贯标”的要求，开展品种选育、种植养殖、农兽药残留、产品加工、储运保鲜等环节标准的制修订。</w:t>
      </w:r>
      <w:r>
        <w:rPr>
          <w:rFonts w:hint="default" w:ascii="Times New Roman" w:hAnsi="Times New Roman" w:cs="Times New Roman"/>
          <w:lang w:val="en-US" w:eastAsia="zh-CN"/>
        </w:rPr>
        <w:t>到2030年，制定（参加）省级以上地方标准10项以上。</w:t>
      </w:r>
    </w:p>
    <w:bookmarkEnd w:id="157"/>
    <w:bookmarkEnd w:id="158"/>
    <w:bookmarkEnd w:id="159"/>
    <w:p w14:paraId="70C933E7">
      <w:pPr>
        <w:pStyle w:val="3"/>
        <w:rPr>
          <w:rFonts w:hint="default" w:ascii="Times New Roman" w:hAnsi="Times New Roman" w:cs="Times New Roman"/>
          <w:snapToGrid/>
          <w:lang w:val="en-US" w:eastAsia="zh-CN"/>
        </w:rPr>
      </w:pPr>
      <w:bookmarkStart w:id="164" w:name="_Toc1776"/>
      <w:r>
        <w:rPr>
          <w:rFonts w:hint="eastAsia" w:ascii="Times New Roman" w:hAnsi="Times New Roman" w:cs="Times New Roman"/>
          <w:snapToGrid/>
          <w:lang w:val="en-US" w:eastAsia="zh-CN"/>
        </w:rPr>
        <w:t>五、</w:t>
      </w:r>
      <w:r>
        <w:rPr>
          <w:rFonts w:hint="eastAsia" w:ascii="Times New Roman" w:hAnsi="Times New Roman" w:cs="Times New Roman"/>
          <w:snapToGrid/>
        </w:rPr>
        <w:t>市场</w:t>
      </w:r>
      <w:r>
        <w:rPr>
          <w:rFonts w:hint="eastAsia" w:ascii="Times New Roman" w:hAnsi="Times New Roman" w:cs="Times New Roman"/>
          <w:snapToGrid/>
          <w:lang w:val="en-US" w:eastAsia="zh-CN"/>
        </w:rPr>
        <w:t>渠道</w:t>
      </w:r>
      <w:r>
        <w:rPr>
          <w:rFonts w:hint="eastAsia" w:ascii="Times New Roman" w:hAnsi="Times New Roman" w:cs="Times New Roman"/>
          <w:snapToGrid/>
        </w:rPr>
        <w:t>拓展</w:t>
      </w:r>
      <w:r>
        <w:rPr>
          <w:rFonts w:hint="eastAsia" w:ascii="Times New Roman" w:hAnsi="Times New Roman" w:cs="Times New Roman"/>
          <w:snapToGrid/>
          <w:lang w:val="en-US" w:eastAsia="zh-CN"/>
        </w:rPr>
        <w:t>工程</w:t>
      </w:r>
      <w:bookmarkEnd w:id="164"/>
    </w:p>
    <w:p w14:paraId="236E9457">
      <w:pPr>
        <w:pStyle w:val="183"/>
        <w:rPr>
          <w:rFonts w:hint="default" w:ascii="Times New Roman" w:hAnsi="Times New Roman" w:eastAsia="黑体"/>
          <w:snapToGrid/>
          <w:lang w:val="en-US" w:eastAsia="zh-CN"/>
        </w:rPr>
      </w:pPr>
      <w:bookmarkStart w:id="165" w:name="_Toc14142"/>
      <w:bookmarkStart w:id="166" w:name="_Toc31058"/>
      <w:bookmarkStart w:id="167" w:name="_Toc1998"/>
      <w:bookmarkStart w:id="168" w:name="_Toc21523"/>
      <w:bookmarkStart w:id="169" w:name="_Toc5058"/>
      <w:r>
        <w:rPr>
          <w:rFonts w:ascii="Times New Roman" w:hAnsi="Times New Roman"/>
          <w:snapToGrid/>
        </w:rPr>
        <w:t>（一）</w:t>
      </w:r>
      <w:r>
        <w:rPr>
          <w:rFonts w:hint="eastAsia"/>
          <w:snapToGrid/>
          <w:lang w:val="en-US" w:eastAsia="zh-CN"/>
        </w:rPr>
        <w:t>加强线上线下联动</w:t>
      </w:r>
      <w:bookmarkEnd w:id="165"/>
      <w:bookmarkEnd w:id="166"/>
    </w:p>
    <w:p w14:paraId="6006E040">
      <w:pPr>
        <w:rPr>
          <w:rFonts w:ascii="Times New Roman" w:hAnsi="Times New Roman"/>
          <w:snapToGrid/>
        </w:rPr>
      </w:pPr>
      <w:r>
        <w:rPr>
          <w:rFonts w:hint="eastAsia" w:ascii="仿宋" w:hAnsi="仿宋" w:cs="仿宋"/>
          <w:lang w:val="en-US" w:eastAsia="zh-CN"/>
        </w:rPr>
        <w:t>支持发展个性化绿色食品，鼓励发展定制包装食品、营养团餐，提升中高端市场供应水平。加大互联网、区块链、大数据、人工智能与食品工业的深度融合，积极引导企业通过线上线下营销等多种方式，畅通市场销售通道，引导企业大力发展“互联网+零售”“设计+用户”“制造+电商”“营销+社交”等创新模式，发展“生鲜电商+冷链宅配”“中央厨房+食材冷链配送”等“宅消费”模式，形成多层次、广覆盖、高效率的营销体系。</w:t>
      </w:r>
      <w:r>
        <w:rPr>
          <w:rFonts w:hint="default"/>
          <w:lang w:val="en-US" w:eastAsia="zh-CN"/>
        </w:rPr>
        <w:t>充分利用电商平台、社交媒体等新兴渠道，积极开展农产品网红直播、绿色食品短视频主题宣传等活动，提升桃江竹笋、</w:t>
      </w:r>
      <w:r>
        <w:rPr>
          <w:rFonts w:hint="eastAsia"/>
          <w:lang w:val="en-US" w:eastAsia="zh-CN"/>
        </w:rPr>
        <w:t>桃江竹叶、</w:t>
      </w:r>
      <w:r>
        <w:rPr>
          <w:rFonts w:hint="default"/>
          <w:lang w:val="en-US" w:eastAsia="zh-CN"/>
        </w:rPr>
        <w:t>修山面</w:t>
      </w:r>
      <w:r>
        <w:rPr>
          <w:rFonts w:hint="eastAsia"/>
          <w:lang w:val="en-US" w:eastAsia="zh-CN"/>
        </w:rPr>
        <w:t>产品</w:t>
      </w:r>
      <w:r>
        <w:rPr>
          <w:rFonts w:hint="default"/>
          <w:lang w:val="en-US" w:eastAsia="zh-CN"/>
        </w:rPr>
        <w:t>品牌知名度，拓宽市场渠道。</w:t>
      </w:r>
    </w:p>
    <w:p w14:paraId="26E5485F">
      <w:pPr>
        <w:pStyle w:val="183"/>
        <w:rPr>
          <w:rFonts w:hint="default" w:ascii="Times New Roman" w:hAnsi="Times New Roman" w:eastAsia="黑体"/>
          <w:snapToGrid/>
          <w:lang w:val="en-US" w:eastAsia="zh-CN"/>
        </w:rPr>
      </w:pPr>
      <w:bookmarkStart w:id="170" w:name="_Toc21328"/>
      <w:bookmarkStart w:id="171" w:name="_Toc26895"/>
      <w:r>
        <w:rPr>
          <w:rFonts w:ascii="Times New Roman" w:hAnsi="Times New Roman"/>
          <w:snapToGrid/>
        </w:rPr>
        <w:t>（</w:t>
      </w:r>
      <w:r>
        <w:rPr>
          <w:rFonts w:hint="eastAsia" w:ascii="Times New Roman" w:hAnsi="Times New Roman"/>
          <w:snapToGrid/>
          <w:lang w:val="en-US" w:eastAsia="zh-CN"/>
        </w:rPr>
        <w:t>二</w:t>
      </w:r>
      <w:r>
        <w:rPr>
          <w:rFonts w:ascii="Times New Roman" w:hAnsi="Times New Roman"/>
          <w:snapToGrid/>
        </w:rPr>
        <w:t>）</w:t>
      </w:r>
      <w:r>
        <w:rPr>
          <w:rFonts w:hint="eastAsia"/>
          <w:snapToGrid/>
          <w:lang w:val="en-US" w:eastAsia="zh-CN"/>
        </w:rPr>
        <w:t>加强高端市场供应</w:t>
      </w:r>
      <w:bookmarkEnd w:id="170"/>
      <w:bookmarkEnd w:id="171"/>
    </w:p>
    <w:p w14:paraId="30BB70F5">
      <w:pPr>
        <w:rPr>
          <w:rFonts w:hint="eastAsia" w:ascii="仿宋" w:hAnsi="仿宋" w:cs="仿宋"/>
          <w:lang w:val="en-US" w:eastAsia="zh-CN"/>
        </w:rPr>
      </w:pPr>
      <w:r>
        <w:rPr>
          <w:rFonts w:hint="eastAsia" w:ascii="仿宋" w:hAnsi="仿宋" w:cs="仿宋"/>
          <w:lang w:val="en-US" w:eastAsia="zh-CN"/>
        </w:rPr>
        <w:t>鼓励引导龙头企业在长三角、京津冀、粤港澳大湾区等高端市场，开设各类旗舰店、体验店、形象店，提升市场认知度。鼓励在高速公路服务区、机场、高铁站、港口等流动人口密集场所，设立“桃江农品”展销专柜（区、店），拓宽产品销售渠道。开拓国际高端市场，加强市场调查研究，根据当地需求和法规调整产品属性，建立安全可靠的“海外仓”等供应链体系。组织开展桃江食品“海外行”行动。</w:t>
      </w:r>
    </w:p>
    <w:p w14:paraId="03C59A04">
      <w:pPr>
        <w:pStyle w:val="183"/>
        <w:rPr>
          <w:rFonts w:hint="default" w:ascii="Times New Roman" w:hAnsi="Times New Roman" w:eastAsia="黑体"/>
          <w:snapToGrid/>
          <w:lang w:val="en-US" w:eastAsia="zh-CN"/>
        </w:rPr>
      </w:pPr>
      <w:bookmarkStart w:id="172" w:name="_Toc11743"/>
      <w:bookmarkStart w:id="173" w:name="_Toc24959"/>
      <w:r>
        <w:rPr>
          <w:rFonts w:ascii="Times New Roman" w:hAnsi="Times New Roman"/>
          <w:snapToGrid/>
        </w:rPr>
        <w:t>（</w:t>
      </w:r>
      <w:r>
        <w:rPr>
          <w:rFonts w:hint="eastAsia" w:ascii="Times New Roman" w:hAnsi="Times New Roman"/>
          <w:snapToGrid/>
          <w:lang w:val="en-US" w:eastAsia="zh-CN"/>
        </w:rPr>
        <w:t>三</w:t>
      </w:r>
      <w:r>
        <w:rPr>
          <w:rFonts w:ascii="Times New Roman" w:hAnsi="Times New Roman"/>
          <w:snapToGrid/>
        </w:rPr>
        <w:t>）</w:t>
      </w:r>
      <w:r>
        <w:rPr>
          <w:rFonts w:hint="eastAsia"/>
          <w:snapToGrid/>
          <w:lang w:val="en-US" w:eastAsia="zh-CN"/>
        </w:rPr>
        <w:t>完善配套设施建设</w:t>
      </w:r>
      <w:bookmarkEnd w:id="172"/>
      <w:bookmarkEnd w:id="173"/>
    </w:p>
    <w:p w14:paraId="5BA36F0B">
      <w:pPr>
        <w:pStyle w:val="17"/>
      </w:pPr>
      <w:r>
        <w:rPr>
          <w:rFonts w:hint="eastAsia"/>
          <w:lang w:val="en-US" w:eastAsia="zh-CN"/>
        </w:rPr>
        <w:t>以竹笋、蔬菜、小龙虾、牛肉等鲜活农产品为重点，加大推进农产品产地冷藏保鲜设施建设。重点加快桃江农产品仓储保鲜冷链物流中心建设项目，新建冷链仓储系统（保鲜库、速冻库、冷藏库、加工包装车间）、配发货物流系统（交易中心、箱式冷藏车及箱式货柜车），信息化系统及食品安全可追溯系统等，建设集农产品采购、初加工包装、冷链仓储、电子商务、物流配送为一体的专业化、市场化、现代化农产品冷链仓储物流配送中心。实行农副产品“冷链物流仓储、干货物流仓储及配套服务”分功能区域布局，打造农产品仓储、冷藏、运输的综合物流基地。进一步拓宽销售渠道，提升农产品的市场竞争力，推动农村电商高质量发展。</w:t>
      </w:r>
    </w:p>
    <w:bookmarkEnd w:id="167"/>
    <w:bookmarkEnd w:id="168"/>
    <w:bookmarkEnd w:id="169"/>
    <w:p w14:paraId="721433BF">
      <w:pPr>
        <w:pStyle w:val="3"/>
        <w:rPr>
          <w:rFonts w:hint="default" w:ascii="Times New Roman" w:hAnsi="Times New Roman" w:eastAsia="黑体" w:cs="Times New Roman"/>
          <w:snapToGrid/>
          <w:lang w:val="en-US" w:eastAsia="zh-CN"/>
        </w:rPr>
      </w:pPr>
      <w:bookmarkStart w:id="174" w:name="_Toc1986"/>
      <w:r>
        <w:rPr>
          <w:rFonts w:hint="eastAsia" w:ascii="Times New Roman" w:hAnsi="Times New Roman" w:cs="Times New Roman"/>
          <w:snapToGrid/>
          <w:lang w:val="en-US" w:eastAsia="zh-CN"/>
        </w:rPr>
        <w:t>六、科技创新赋能工程</w:t>
      </w:r>
      <w:bookmarkEnd w:id="174"/>
    </w:p>
    <w:p w14:paraId="6CDD24BB">
      <w:pPr>
        <w:pStyle w:val="183"/>
        <w:rPr>
          <w:rFonts w:hint="default" w:eastAsia="黑体"/>
          <w:lang w:val="en-US" w:eastAsia="zh-CN"/>
        </w:rPr>
      </w:pPr>
      <w:bookmarkStart w:id="175" w:name="_Toc19550"/>
      <w:bookmarkStart w:id="176" w:name="_Toc7149"/>
      <w:bookmarkStart w:id="177" w:name="_Toc15880"/>
      <w:bookmarkStart w:id="178" w:name="_Toc22797"/>
      <w:bookmarkStart w:id="179" w:name="_Toc12206"/>
      <w:r>
        <w:rPr>
          <w:rFonts w:ascii="Times New Roman" w:hAnsi="Times New Roman"/>
          <w:snapToGrid/>
        </w:rPr>
        <w:t>（一）</w:t>
      </w:r>
      <w:bookmarkEnd w:id="175"/>
      <w:bookmarkEnd w:id="176"/>
      <w:bookmarkEnd w:id="177"/>
      <w:r>
        <w:rPr>
          <w:rFonts w:hint="eastAsia"/>
          <w:snapToGrid/>
          <w:lang w:val="en-US" w:eastAsia="zh-CN"/>
        </w:rPr>
        <w:t>强化创新载体建设</w:t>
      </w:r>
      <w:bookmarkEnd w:id="178"/>
      <w:bookmarkEnd w:id="179"/>
    </w:p>
    <w:p w14:paraId="3FBBA62E">
      <w:pPr>
        <w:ind w:left="0" w:leftChars="0" w:firstLine="600" w:firstLineChars="200"/>
        <w:rPr>
          <w:rFonts w:hint="eastAsia" w:ascii="Times New Roman" w:hAnsi="Times New Roman"/>
          <w:snapToGrid/>
          <w:lang w:eastAsia="zh-CN"/>
        </w:rPr>
      </w:pPr>
      <w:bookmarkStart w:id="180" w:name="_Toc19152"/>
      <w:bookmarkStart w:id="181" w:name="_Toc25201"/>
      <w:bookmarkStart w:id="182" w:name="_Toc30343"/>
      <w:r>
        <w:rPr>
          <w:rFonts w:hint="eastAsia" w:ascii="Times New Roman" w:hAnsi="Times New Roman"/>
          <w:b w:val="0"/>
          <w:bCs w:val="0"/>
          <w:snapToGrid/>
          <w:lang w:eastAsia="zh-CN"/>
        </w:rPr>
        <w:t>深化校企合作，共建研发平台。</w:t>
      </w:r>
      <w:r>
        <w:rPr>
          <w:rFonts w:hint="eastAsia" w:ascii="Times New Roman" w:hAnsi="Times New Roman"/>
          <w:snapToGrid/>
          <w:lang w:eastAsia="zh-CN"/>
        </w:rPr>
        <w:t>依托湖南农业大学、湖南农科院等高等院校和科研机构的科研优势，与绿色食品加工企业紧密合作，共建竹笋技术研究中心、食品产业共性技术研发平台、休闲食品协同创新中心、</w:t>
      </w:r>
      <w:r>
        <w:rPr>
          <w:rFonts w:hint="eastAsia" w:ascii="Times New Roman" w:hAnsi="Times New Roman"/>
          <w:snapToGrid/>
          <w:lang w:val="en-US" w:eastAsia="zh-CN"/>
        </w:rPr>
        <w:t>企业技术中心</w:t>
      </w:r>
      <w:r>
        <w:rPr>
          <w:rFonts w:hint="eastAsia" w:ascii="Times New Roman" w:hAnsi="Times New Roman"/>
          <w:snapToGrid/>
          <w:lang w:eastAsia="zh-CN"/>
        </w:rPr>
        <w:t>等</w:t>
      </w:r>
      <w:r>
        <w:rPr>
          <w:rFonts w:hint="eastAsia" w:ascii="Times New Roman" w:hAnsi="Times New Roman"/>
          <w:snapToGrid/>
          <w:lang w:val="en-US" w:eastAsia="zh-CN"/>
        </w:rPr>
        <w:t>创新</w:t>
      </w:r>
      <w:r>
        <w:rPr>
          <w:rFonts w:hint="eastAsia" w:ascii="Times New Roman" w:hAnsi="Times New Roman"/>
          <w:snapToGrid/>
          <w:lang w:eastAsia="zh-CN"/>
        </w:rPr>
        <w:t>平台。</w:t>
      </w:r>
      <w:r>
        <w:rPr>
          <w:rFonts w:hint="eastAsia" w:ascii="Times New Roman" w:hAnsi="Times New Roman"/>
          <w:snapToGrid/>
          <w:lang w:val="en-US" w:eastAsia="zh-CN"/>
        </w:rPr>
        <w:t>力争到2030年，绿色食品产业创新平台10个以上。</w:t>
      </w:r>
      <w:r>
        <w:rPr>
          <w:rFonts w:hint="eastAsia" w:ascii="Times New Roman" w:hAnsi="Times New Roman"/>
          <w:snapToGrid/>
          <w:lang w:eastAsia="zh-CN"/>
        </w:rPr>
        <w:t>通过自建、联建或县校共建共购共享科研装备模式，整合资源，形成产学研用一体化的创新体系，加速科技成果的转化与应用。</w:t>
      </w:r>
    </w:p>
    <w:p w14:paraId="178077DC">
      <w:pPr>
        <w:ind w:left="0" w:leftChars="0" w:firstLine="600" w:firstLineChars="200"/>
        <w:rPr>
          <w:rFonts w:hint="eastAsia"/>
          <w:lang w:eastAsia="zh-CN"/>
        </w:rPr>
      </w:pPr>
      <w:r>
        <w:rPr>
          <w:rFonts w:hint="eastAsia" w:ascii="Times New Roman" w:hAnsi="Times New Roman"/>
          <w:b w:val="0"/>
          <w:bCs w:val="0"/>
          <w:snapToGrid/>
          <w:lang w:val="en-US" w:eastAsia="zh-CN"/>
        </w:rPr>
        <w:t>依托桃江高新区，打造</w:t>
      </w:r>
      <w:r>
        <w:rPr>
          <w:rFonts w:hint="eastAsia" w:ascii="Times New Roman" w:hAnsi="Times New Roman"/>
          <w:b w:val="0"/>
          <w:bCs w:val="0"/>
          <w:snapToGrid/>
          <w:lang w:eastAsia="zh-CN"/>
        </w:rPr>
        <w:t>绿色食品精深加工产业聚集区。</w:t>
      </w:r>
      <w:r>
        <w:rPr>
          <w:rFonts w:hint="eastAsia" w:ascii="Times New Roman" w:hAnsi="Times New Roman"/>
          <w:snapToGrid/>
          <w:lang w:eastAsia="zh-CN"/>
        </w:rPr>
        <w:t>加快推进</w:t>
      </w:r>
      <w:r>
        <w:rPr>
          <w:rFonts w:hint="eastAsia" w:ascii="Times New Roman" w:hAnsi="Times New Roman"/>
          <w:snapToGrid/>
          <w:lang w:val="en-US" w:eastAsia="zh-CN"/>
        </w:rPr>
        <w:t>生态</w:t>
      </w:r>
      <w:r>
        <w:rPr>
          <w:rFonts w:hint="eastAsia" w:ascii="Times New Roman" w:hAnsi="Times New Roman"/>
          <w:snapToGrid/>
          <w:lang w:eastAsia="zh-CN"/>
        </w:rPr>
        <w:t>绿色食品孵化器建设，设立休闲食品研发、创新资源链接、融资、示范和展示等功能区，吸引绿色食品加工企业、科研机构、投资机构等入驻，形成产业集聚效应，为生态绿色食品领域的创新创业、科技成果转化和科技人才培养提供全方位的平台支撑。</w:t>
      </w:r>
    </w:p>
    <w:bookmarkEnd w:id="180"/>
    <w:bookmarkEnd w:id="181"/>
    <w:bookmarkEnd w:id="182"/>
    <w:p w14:paraId="3EB58758">
      <w:pPr>
        <w:pStyle w:val="183"/>
        <w:rPr>
          <w:rFonts w:hint="default"/>
          <w:lang w:val="en-US" w:eastAsia="zh-CN"/>
        </w:rPr>
      </w:pPr>
      <w:bookmarkStart w:id="183" w:name="_Toc20061"/>
      <w:bookmarkStart w:id="184" w:name="_Toc6233"/>
      <w:bookmarkStart w:id="185" w:name="_Toc16017"/>
      <w:bookmarkStart w:id="186" w:name="_Toc18969"/>
      <w:bookmarkStart w:id="187" w:name="_Toc3437"/>
      <w:r>
        <w:rPr>
          <w:rFonts w:ascii="Times New Roman" w:hAnsi="Times New Roman"/>
          <w:snapToGrid/>
        </w:rPr>
        <w:t>（</w:t>
      </w:r>
      <w:r>
        <w:rPr>
          <w:rFonts w:hint="eastAsia"/>
          <w:snapToGrid/>
          <w:lang w:val="en-US" w:eastAsia="zh-CN"/>
        </w:rPr>
        <w:t>二</w:t>
      </w:r>
      <w:r>
        <w:rPr>
          <w:rFonts w:ascii="Times New Roman" w:hAnsi="Times New Roman"/>
          <w:snapToGrid/>
        </w:rPr>
        <w:t>）</w:t>
      </w:r>
      <w:r>
        <w:rPr>
          <w:rFonts w:hint="eastAsia"/>
          <w:lang w:val="en-US" w:eastAsia="zh-CN"/>
        </w:rPr>
        <w:t>优化产品质量溯源</w:t>
      </w:r>
      <w:bookmarkEnd w:id="183"/>
      <w:bookmarkEnd w:id="184"/>
      <w:bookmarkEnd w:id="185"/>
      <w:r>
        <w:rPr>
          <w:rFonts w:hint="eastAsia"/>
          <w:lang w:val="en-US" w:eastAsia="zh-CN"/>
        </w:rPr>
        <w:t>体系</w:t>
      </w:r>
      <w:bookmarkEnd w:id="186"/>
      <w:bookmarkEnd w:id="187"/>
    </w:p>
    <w:p w14:paraId="52FA7440">
      <w:pPr>
        <w:widowControl w:val="0"/>
        <w:numPr>
          <w:ilvl w:val="0"/>
          <w:numId w:val="0"/>
        </w:numPr>
        <w:adjustRightInd w:val="0"/>
        <w:snapToGrid w:val="0"/>
        <w:spacing w:line="600" w:lineRule="exact"/>
        <w:ind w:firstLine="600" w:firstLineChars="200"/>
        <w:jc w:val="both"/>
        <w:rPr>
          <w:rFonts w:hint="eastAsia" w:ascii="仿宋" w:hAnsi="仿宋" w:eastAsia="仿宋" w:cs="仿宋"/>
          <w:lang w:val="en-US" w:eastAsia="zh-CN"/>
        </w:rPr>
      </w:pPr>
      <w:r>
        <w:rPr>
          <w:rFonts w:hint="eastAsia" w:ascii="仿宋" w:hAnsi="仿宋" w:eastAsia="仿宋" w:cs="仿宋"/>
          <w:lang w:val="en-US" w:eastAsia="zh-CN"/>
        </w:rPr>
        <w:t>加快构建覆盖</w:t>
      </w:r>
      <w:r>
        <w:rPr>
          <w:rFonts w:hint="eastAsia" w:ascii="仿宋" w:hAnsi="仿宋" w:cs="仿宋"/>
          <w:lang w:val="en-US" w:eastAsia="zh-CN"/>
        </w:rPr>
        <w:t>桃江</w:t>
      </w:r>
      <w:r>
        <w:rPr>
          <w:rFonts w:hint="eastAsia" w:ascii="仿宋" w:hAnsi="仿宋" w:eastAsia="仿宋" w:cs="仿宋"/>
          <w:lang w:val="en-US" w:eastAsia="zh-CN"/>
        </w:rPr>
        <w:t>全县的绿色食品信息化追溯平台，整合绿色食品加工数据库等资源，实现对绿色食品从原料采购、生产加工到市场流通的全链条追溯。通过二维码、RFID等技术，为每一批次的产品赋予唯一的身份标识，消费者只需扫描即可获取产品信息，提高绿色食品的品牌公信力。完善主体管理、包装标识、追溯赋码、信息采集、市场准入等食品安全追溯管理制度，促进和规范绿色食品企业实施追溯行为。要求企业对生产过程中的关键环节进行记录，确保数据的真实性、完整性和时效性。</w:t>
      </w:r>
      <w:r>
        <w:rPr>
          <w:rFonts w:hint="eastAsia" w:ascii="仿宋" w:hAnsi="仿宋" w:cs="仿宋"/>
          <w:lang w:val="en-US" w:eastAsia="zh-CN"/>
        </w:rPr>
        <w:t>同时，</w:t>
      </w:r>
      <w:r>
        <w:rPr>
          <w:rFonts w:hint="eastAsia" w:ascii="仿宋" w:hAnsi="仿宋" w:eastAsia="仿宋" w:cs="仿宋"/>
          <w:lang w:val="en-US" w:eastAsia="zh-CN"/>
        </w:rPr>
        <w:t>引导有实力的绿色食品生产加工企业建立全过程产品质量安全追溯体系，鼓励已建立追溯系统的生产经营主体实施农产品包装上市、加施追溯标识，实现获证产品源头可追溯、信息可查询。通过区块链技术保证追溯信息的不可篡改性，增强消费者信任。</w:t>
      </w:r>
    </w:p>
    <w:p w14:paraId="3952509E">
      <w:pPr>
        <w:pStyle w:val="183"/>
        <w:rPr>
          <w:rFonts w:hint="default"/>
          <w:lang w:val="en-US" w:eastAsia="zh-CN"/>
        </w:rPr>
      </w:pPr>
      <w:bookmarkStart w:id="188" w:name="_Toc29889"/>
      <w:bookmarkStart w:id="189" w:name="_Toc21654"/>
      <w:r>
        <w:rPr>
          <w:rFonts w:ascii="Times New Roman" w:hAnsi="Times New Roman"/>
          <w:snapToGrid/>
        </w:rPr>
        <w:t>（</w:t>
      </w:r>
      <w:r>
        <w:rPr>
          <w:rFonts w:hint="eastAsia"/>
          <w:snapToGrid/>
          <w:lang w:val="en-US" w:eastAsia="zh-CN"/>
        </w:rPr>
        <w:t>三</w:t>
      </w:r>
      <w:r>
        <w:rPr>
          <w:rFonts w:ascii="Times New Roman" w:hAnsi="Times New Roman"/>
          <w:snapToGrid/>
        </w:rPr>
        <w:t>）</w:t>
      </w:r>
      <w:r>
        <w:rPr>
          <w:rFonts w:hint="eastAsia"/>
          <w:lang w:val="en-US" w:eastAsia="zh-CN"/>
        </w:rPr>
        <w:t>提升产业数字化水平</w:t>
      </w:r>
      <w:bookmarkEnd w:id="188"/>
      <w:bookmarkEnd w:id="189"/>
    </w:p>
    <w:p w14:paraId="17A7E72F">
      <w:pPr>
        <w:pStyle w:val="17"/>
        <w:rPr>
          <w:rFonts w:hint="eastAsia"/>
          <w:lang w:val="en-US" w:eastAsia="zh-CN"/>
        </w:rPr>
      </w:pPr>
      <w:r>
        <w:rPr>
          <w:rFonts w:hint="eastAsia" w:ascii="仿宋" w:hAnsi="仿宋" w:eastAsia="仿宋" w:cs="仿宋"/>
          <w:lang w:val="en-US" w:eastAsia="zh-CN"/>
        </w:rPr>
        <w:t>紧抓</w:t>
      </w:r>
      <w:r>
        <w:rPr>
          <w:rFonts w:hint="eastAsia" w:ascii="仿宋" w:hAnsi="仿宋" w:cs="仿宋"/>
          <w:lang w:val="en-US" w:eastAsia="zh-CN"/>
        </w:rPr>
        <w:t>桃江</w:t>
      </w:r>
      <w:r>
        <w:rPr>
          <w:rFonts w:hint="eastAsia" w:ascii="仿宋" w:hAnsi="仿宋" w:eastAsia="仿宋" w:cs="仿宋"/>
          <w:lang w:val="en-US" w:eastAsia="zh-CN"/>
        </w:rPr>
        <w:t>数字农业建设机遇，推进绿色食品全产业链与互联网、物联网、大数据、区块链等新一代信息技术融合，支持重点企业建立土壤数据分析系统、环境数据分析、病虫害智能监测预警、畜禽产业管理信息化等平台，实现对竹</w:t>
      </w:r>
      <w:r>
        <w:rPr>
          <w:rFonts w:hint="eastAsia" w:ascii="仿宋" w:hAnsi="仿宋" w:cs="仿宋"/>
          <w:lang w:val="en-US" w:eastAsia="zh-CN"/>
        </w:rPr>
        <w:t>林</w:t>
      </w:r>
      <w:r>
        <w:rPr>
          <w:rFonts w:hint="eastAsia" w:ascii="仿宋" w:hAnsi="仿宋" w:eastAsia="仿宋" w:cs="仿宋"/>
          <w:lang w:val="en-US" w:eastAsia="zh-CN"/>
        </w:rPr>
        <w:t>、</w:t>
      </w:r>
      <w:r>
        <w:rPr>
          <w:rFonts w:hint="eastAsia" w:ascii="仿宋" w:hAnsi="仿宋" w:cs="仿宋"/>
          <w:lang w:val="en-US" w:eastAsia="zh-CN"/>
        </w:rPr>
        <w:t>茶叶</w:t>
      </w:r>
      <w:r>
        <w:rPr>
          <w:rFonts w:hint="eastAsia" w:ascii="仿宋" w:hAnsi="仿宋" w:eastAsia="仿宋" w:cs="仿宋"/>
          <w:lang w:val="en-US" w:eastAsia="zh-CN"/>
        </w:rPr>
        <w:t>、蔬菜种植及畜禽养殖的“一网”管理。通过物联网传感器实时采集土壤湿度、温度、养分等数据，利用大数据分析预测病虫害发生趋势，指导精准施肥和病虫害防控，提高农业生产效率和资源利用率。鼓励绿色食品加工企业引进智能净菜机、多功能切菜机、智能分割设备、智能分装和灌装设备等自动化生产系统及设备，实现从原料处理到成品包装的高效化、绿色化生产。通过机器人技术、智能物流系统等，提升生产过程的自动化水平，减少人工干预，降低生产成本，提高产品质量和稳定性。建立集快递物流配送系统、智慧冷链综合管理系统和冷链数据采集于一体的数字化冷链管理平台，实现冷链产品从产地到餐桌的全程温湿度自动化调控、智能统计管理等功能。通过物联网技术实时监控冷链物流过程中的温度、湿度等关键参数，确保绿色食品的品质和安全。</w:t>
      </w:r>
    </w:p>
    <w:p w14:paraId="42620AAA">
      <w:pPr>
        <w:pStyle w:val="2"/>
        <w:keepNext/>
        <w:keepLines/>
        <w:pageBreakBefore/>
        <w:widowControl w:val="0"/>
        <w:kinsoku/>
        <w:wordWrap/>
        <w:overflowPunct/>
        <w:topLinePunct w:val="0"/>
        <w:autoSpaceDE/>
        <w:autoSpaceDN/>
        <w:bidi w:val="0"/>
        <w:adjustRightInd/>
        <w:snapToGrid/>
        <w:jc w:val="center"/>
        <w:textAlignment w:val="auto"/>
        <w:rPr>
          <w:rFonts w:hint="default"/>
          <w:lang w:val="en-US" w:eastAsia="zh-CN"/>
        </w:rPr>
      </w:pPr>
      <w:bookmarkStart w:id="190" w:name="_Toc31515"/>
      <w:r>
        <w:rPr>
          <w:rFonts w:ascii="Times New Roman" w:hAnsi="Times New Roman"/>
        </w:rPr>
        <w:t>第</w:t>
      </w:r>
      <w:r>
        <w:rPr>
          <w:rFonts w:hint="eastAsia" w:ascii="Times New Roman" w:hAnsi="Times New Roman"/>
          <w:lang w:val="en-US" w:eastAsia="zh-CN"/>
        </w:rPr>
        <w:t>六</w:t>
      </w:r>
      <w:r>
        <w:rPr>
          <w:rFonts w:ascii="Times New Roman" w:hAnsi="Times New Roman"/>
        </w:rPr>
        <w:t xml:space="preserve">章 </w:t>
      </w:r>
      <w:r>
        <w:rPr>
          <w:rFonts w:hint="eastAsia" w:ascii="Times New Roman" w:hAnsi="Times New Roman"/>
          <w:lang w:val="en-US" w:eastAsia="zh-CN"/>
        </w:rPr>
        <w:t>保障措施</w:t>
      </w:r>
      <w:bookmarkEnd w:id="190"/>
    </w:p>
    <w:p w14:paraId="092F37FB">
      <w:pPr>
        <w:pStyle w:val="3"/>
        <w:rPr>
          <w:rFonts w:hint="default" w:ascii="Times New Roman" w:hAnsi="Times New Roman" w:eastAsia="黑体"/>
          <w:snapToGrid/>
          <w:lang w:val="en-US" w:eastAsia="zh-CN"/>
        </w:rPr>
      </w:pPr>
      <w:bookmarkStart w:id="191" w:name="_Toc31743"/>
      <w:r>
        <w:rPr>
          <w:rFonts w:ascii="Times New Roman" w:hAnsi="Times New Roman"/>
          <w:snapToGrid/>
        </w:rPr>
        <w:t>一、</w:t>
      </w:r>
      <w:r>
        <w:rPr>
          <w:rFonts w:hint="eastAsia" w:ascii="Times New Roman" w:hAnsi="Times New Roman"/>
          <w:snapToGrid/>
          <w:lang w:val="en-US" w:eastAsia="zh-CN"/>
        </w:rPr>
        <w:t>强化组织领导</w:t>
      </w:r>
      <w:bookmarkEnd w:id="191"/>
    </w:p>
    <w:p w14:paraId="2588BA31">
      <w:pPr>
        <w:ind w:firstLine="600"/>
        <w:rPr>
          <w:rFonts w:hint="eastAsia" w:ascii="Times New Roman" w:hAnsi="Times New Roman"/>
          <w:snapToGrid/>
          <w:lang w:val="en-US" w:eastAsia="zh-CN"/>
        </w:rPr>
      </w:pPr>
      <w:r>
        <w:rPr>
          <w:rFonts w:hint="eastAsia" w:ascii="Times New Roman" w:hAnsi="Times New Roman"/>
          <w:snapToGrid/>
          <w:lang w:eastAsia="zh-CN"/>
        </w:rPr>
        <w:t>加快成立</w:t>
      </w:r>
      <w:r>
        <w:rPr>
          <w:rFonts w:hint="eastAsia" w:ascii="Times New Roman" w:hAnsi="Times New Roman"/>
          <w:snapToGrid/>
          <w:lang w:val="en-US" w:eastAsia="zh-CN"/>
        </w:rPr>
        <w:t>桃江生态</w:t>
      </w:r>
      <w:r>
        <w:rPr>
          <w:rFonts w:hint="eastAsia" w:ascii="Times New Roman" w:hAnsi="Times New Roman"/>
          <w:snapToGrid/>
          <w:lang w:eastAsia="zh-CN"/>
        </w:rPr>
        <w:t>绿色食品产业</w:t>
      </w:r>
      <w:r>
        <w:rPr>
          <w:rFonts w:hint="eastAsia" w:ascii="Times New Roman" w:hAnsi="Times New Roman"/>
          <w:snapToGrid/>
          <w:lang w:val="en-US" w:eastAsia="zh-CN"/>
        </w:rPr>
        <w:t>链</w:t>
      </w:r>
      <w:r>
        <w:rPr>
          <w:rFonts w:hint="eastAsia" w:ascii="Times New Roman" w:hAnsi="Times New Roman"/>
          <w:snapToGrid/>
          <w:lang w:eastAsia="zh-CN"/>
        </w:rPr>
        <w:t>专项推进小组，实行</w:t>
      </w:r>
      <w:r>
        <w:rPr>
          <w:rFonts w:hint="eastAsia" w:ascii="Times New Roman" w:hAnsi="Times New Roman"/>
          <w:snapToGrid/>
          <w:lang w:val="en-US" w:eastAsia="zh-CN"/>
        </w:rPr>
        <w:t>绿色食品</w:t>
      </w:r>
      <w:r>
        <w:rPr>
          <w:rFonts w:hint="eastAsia" w:ascii="Times New Roman" w:hAnsi="Times New Roman"/>
          <w:snapToGrid/>
          <w:lang w:eastAsia="zh-CN"/>
        </w:rPr>
        <w:t>产业链链长制，加强产业发展重大政策制定、资金投入、重点项目招引等关键任务的统筹布局。强化县发改</w:t>
      </w:r>
      <w:r>
        <w:rPr>
          <w:rFonts w:hint="eastAsia" w:ascii="Times New Roman" w:hAnsi="Times New Roman"/>
          <w:snapToGrid/>
          <w:lang w:val="en-US" w:eastAsia="zh-CN"/>
        </w:rPr>
        <w:t>局</w:t>
      </w:r>
      <w:r>
        <w:rPr>
          <w:rFonts w:hint="eastAsia" w:ascii="Times New Roman" w:hAnsi="Times New Roman"/>
          <w:snapToGrid/>
          <w:lang w:eastAsia="zh-CN"/>
        </w:rPr>
        <w:t>、</w:t>
      </w:r>
      <w:r>
        <w:rPr>
          <w:rFonts w:hint="eastAsia" w:ascii="Times New Roman" w:hAnsi="Times New Roman"/>
          <w:snapToGrid/>
          <w:lang w:val="en-US" w:eastAsia="zh-CN"/>
        </w:rPr>
        <w:t>县</w:t>
      </w:r>
      <w:r>
        <w:rPr>
          <w:rFonts w:hint="eastAsia" w:ascii="Times New Roman" w:hAnsi="Times New Roman"/>
          <w:snapToGrid/>
          <w:lang w:eastAsia="zh-CN"/>
        </w:rPr>
        <w:t>农业农村局、县财政局、</w:t>
      </w:r>
      <w:r>
        <w:rPr>
          <w:rFonts w:hint="eastAsia" w:ascii="Times New Roman" w:hAnsi="Times New Roman"/>
          <w:snapToGrid/>
          <w:lang w:val="en-US" w:eastAsia="zh-CN"/>
        </w:rPr>
        <w:t>县</w:t>
      </w:r>
      <w:r>
        <w:rPr>
          <w:rFonts w:ascii="Times New Roman" w:hAnsi="Times New Roman" w:cs="Times New Roman"/>
        </w:rPr>
        <w:t>科工</w:t>
      </w:r>
      <w:r>
        <w:rPr>
          <w:rFonts w:hint="eastAsia" w:ascii="Times New Roman" w:hAnsi="Times New Roman" w:cs="Times New Roman"/>
          <w:lang w:val="en-US" w:eastAsia="zh-CN"/>
        </w:rPr>
        <w:t>局</w:t>
      </w:r>
      <w:r>
        <w:rPr>
          <w:rFonts w:hint="eastAsia" w:ascii="Times New Roman" w:hAnsi="Times New Roman"/>
          <w:snapToGrid/>
          <w:lang w:eastAsia="zh-CN"/>
        </w:rPr>
        <w:t>等相关职能部门间协调配合，形成工作合力。加强对乡镇及各集聚区的统筹、指导、协调、服务，建立上下联动、齐抓共推的工作机制，定期开展检查监督，确保各项任务的组织、跟踪、落实。加大向</w:t>
      </w:r>
      <w:r>
        <w:rPr>
          <w:rFonts w:hint="eastAsia" w:ascii="Times New Roman" w:hAnsi="Times New Roman"/>
          <w:snapToGrid/>
          <w:lang w:val="en-US" w:eastAsia="zh-CN"/>
        </w:rPr>
        <w:t>省、市的</w:t>
      </w:r>
      <w:r>
        <w:rPr>
          <w:rFonts w:hint="eastAsia" w:ascii="Times New Roman" w:hAnsi="Times New Roman"/>
          <w:snapToGrid/>
          <w:lang w:eastAsia="zh-CN"/>
        </w:rPr>
        <w:t>对接力度，争取重大政策、更多资金、重点企业、科技项目等优势资源向</w:t>
      </w:r>
      <w:r>
        <w:rPr>
          <w:rFonts w:hint="eastAsia" w:ascii="Times New Roman" w:hAnsi="Times New Roman"/>
          <w:snapToGrid/>
          <w:lang w:val="en-US" w:eastAsia="zh-CN"/>
        </w:rPr>
        <w:t>桃江</w:t>
      </w:r>
      <w:r>
        <w:rPr>
          <w:rFonts w:hint="eastAsia" w:ascii="Times New Roman" w:hAnsi="Times New Roman"/>
          <w:snapToGrid/>
          <w:lang w:eastAsia="zh-CN"/>
        </w:rPr>
        <w:t>倾斜。</w:t>
      </w:r>
    </w:p>
    <w:p w14:paraId="47F7182B">
      <w:pPr>
        <w:pStyle w:val="3"/>
        <w:rPr>
          <w:rFonts w:hint="default" w:ascii="Times New Roman" w:hAnsi="Times New Roman" w:eastAsia="黑体"/>
          <w:snapToGrid/>
          <w:lang w:val="en-US" w:eastAsia="zh-CN"/>
        </w:rPr>
      </w:pPr>
      <w:bookmarkStart w:id="192" w:name="_Toc8878"/>
      <w:r>
        <w:rPr>
          <w:rFonts w:hint="eastAsia" w:ascii="Times New Roman" w:hAnsi="Times New Roman"/>
          <w:snapToGrid/>
          <w:lang w:val="en-US" w:eastAsia="zh-CN"/>
        </w:rPr>
        <w:t>二</w:t>
      </w:r>
      <w:r>
        <w:rPr>
          <w:rFonts w:ascii="Times New Roman" w:hAnsi="Times New Roman"/>
          <w:snapToGrid/>
        </w:rPr>
        <w:t>、</w:t>
      </w:r>
      <w:r>
        <w:rPr>
          <w:rFonts w:hint="eastAsia" w:ascii="Times New Roman" w:hAnsi="Times New Roman"/>
          <w:snapToGrid/>
          <w:lang w:val="en-US" w:eastAsia="zh-CN"/>
        </w:rPr>
        <w:t>强化要素保障</w:t>
      </w:r>
      <w:bookmarkEnd w:id="192"/>
    </w:p>
    <w:p w14:paraId="1325F931">
      <w:pPr>
        <w:ind w:firstLine="600"/>
        <w:rPr>
          <w:rFonts w:hint="eastAsia" w:ascii="Times New Roman" w:hAnsi="Times New Roman"/>
          <w:snapToGrid/>
          <w:lang w:eastAsia="zh-CN"/>
        </w:rPr>
      </w:pPr>
      <w:r>
        <w:rPr>
          <w:rFonts w:hint="eastAsia" w:ascii="Times New Roman" w:hAnsi="Times New Roman"/>
          <w:b/>
          <w:bCs/>
          <w:snapToGrid/>
          <w:lang w:val="en-US" w:eastAsia="zh-CN"/>
        </w:rPr>
        <w:t>加强政策保障。</w:t>
      </w:r>
      <w:r>
        <w:rPr>
          <w:rFonts w:hint="eastAsia" w:ascii="Times New Roman" w:hAnsi="Times New Roman"/>
          <w:snapToGrid/>
          <w:lang w:eastAsia="zh-CN"/>
        </w:rPr>
        <w:t>对标先发地区产业政策，围绕</w:t>
      </w:r>
      <w:r>
        <w:rPr>
          <w:rFonts w:hint="eastAsia" w:ascii="Times New Roman" w:hAnsi="Times New Roman"/>
          <w:snapToGrid/>
          <w:lang w:val="en-US" w:eastAsia="zh-CN"/>
        </w:rPr>
        <w:t>生态</w:t>
      </w:r>
      <w:r>
        <w:rPr>
          <w:rFonts w:hint="eastAsia" w:ascii="Times New Roman" w:hAnsi="Times New Roman"/>
          <w:snapToGrid/>
          <w:lang w:eastAsia="zh-CN"/>
        </w:rPr>
        <w:t>绿色食品新产品研发、科技创新、品牌创建等关键环节，制定出台促进</w:t>
      </w:r>
      <w:r>
        <w:rPr>
          <w:rFonts w:hint="eastAsia" w:ascii="Times New Roman" w:hAnsi="Times New Roman"/>
          <w:snapToGrid/>
          <w:lang w:val="en-US" w:eastAsia="zh-CN"/>
        </w:rPr>
        <w:t>生态</w:t>
      </w:r>
      <w:r>
        <w:rPr>
          <w:rFonts w:hint="eastAsia" w:ascii="Times New Roman" w:hAnsi="Times New Roman"/>
          <w:snapToGrid/>
          <w:lang w:eastAsia="zh-CN"/>
        </w:rPr>
        <w:t>绿色食品产业</w:t>
      </w:r>
      <w:r>
        <w:rPr>
          <w:rFonts w:hint="eastAsia" w:ascii="Times New Roman" w:hAnsi="Times New Roman"/>
          <w:snapToGrid/>
          <w:lang w:val="en-US" w:eastAsia="zh-CN"/>
        </w:rPr>
        <w:t>链</w:t>
      </w:r>
      <w:r>
        <w:rPr>
          <w:rFonts w:hint="eastAsia" w:ascii="Times New Roman" w:hAnsi="Times New Roman"/>
          <w:snapToGrid/>
          <w:lang w:eastAsia="zh-CN"/>
        </w:rPr>
        <w:t>发展专项政策。完善产业招商政策，围绕</w:t>
      </w:r>
      <w:r>
        <w:rPr>
          <w:rFonts w:hint="eastAsia" w:ascii="Times New Roman" w:hAnsi="Times New Roman"/>
          <w:snapToGrid/>
          <w:lang w:val="en-US" w:eastAsia="zh-CN"/>
        </w:rPr>
        <w:t>竹笋、茶叶、蔬菜、修山面</w:t>
      </w:r>
      <w:r>
        <w:rPr>
          <w:rFonts w:hint="eastAsia" w:ascii="Times New Roman" w:hAnsi="Times New Roman"/>
          <w:snapToGrid/>
          <w:lang w:eastAsia="zh-CN"/>
        </w:rPr>
        <w:t>、</w:t>
      </w:r>
      <w:r>
        <w:rPr>
          <w:rFonts w:hint="eastAsia" w:ascii="Times New Roman" w:hAnsi="Times New Roman"/>
          <w:snapToGrid/>
          <w:lang w:val="en-US" w:eastAsia="zh-CN"/>
        </w:rPr>
        <w:t>休闲食品</w:t>
      </w:r>
      <w:r>
        <w:rPr>
          <w:rFonts w:hint="eastAsia" w:ascii="Times New Roman" w:hAnsi="Times New Roman"/>
          <w:snapToGrid/>
          <w:lang w:eastAsia="zh-CN"/>
        </w:rPr>
        <w:t>等重点领域，分类制定招商政策，提高政策扶持的精准性。加强食品加工产业用地保障，对投资大、科技含量高、带动性大的食品加工类项目，在符合政策条件下优先满足用地需求。制定</w:t>
      </w:r>
      <w:r>
        <w:rPr>
          <w:rFonts w:hint="eastAsia" w:ascii="Times New Roman" w:hAnsi="Times New Roman"/>
          <w:snapToGrid/>
          <w:lang w:val="en-US" w:eastAsia="zh-CN"/>
        </w:rPr>
        <w:t>桃江</w:t>
      </w:r>
      <w:r>
        <w:rPr>
          <w:rFonts w:hint="eastAsia" w:ascii="Times New Roman" w:hAnsi="Times New Roman"/>
          <w:snapToGrid/>
          <w:lang w:eastAsia="zh-CN"/>
        </w:rPr>
        <w:t>人</w:t>
      </w:r>
      <w:r>
        <w:rPr>
          <w:rFonts w:hint="eastAsia" w:ascii="Times New Roman" w:hAnsi="Times New Roman"/>
          <w:snapToGrid/>
          <w:lang w:val="en-US" w:eastAsia="zh-CN"/>
        </w:rPr>
        <w:t>才</w:t>
      </w:r>
      <w:r>
        <w:rPr>
          <w:rFonts w:hint="eastAsia" w:ascii="Times New Roman" w:hAnsi="Times New Roman"/>
          <w:snapToGrid/>
          <w:lang w:eastAsia="zh-CN"/>
        </w:rPr>
        <w:t>返乡创新创业政策，在信贷投放、贷款展期、</w:t>
      </w:r>
      <w:r>
        <w:rPr>
          <w:rFonts w:hint="eastAsia" w:ascii="Times New Roman" w:hAnsi="Times New Roman"/>
          <w:snapToGrid/>
          <w:lang w:val="en-US" w:eastAsia="zh-CN"/>
        </w:rPr>
        <w:t>专项奖励</w:t>
      </w:r>
      <w:r>
        <w:rPr>
          <w:rFonts w:hint="eastAsia" w:ascii="Times New Roman" w:hAnsi="Times New Roman"/>
          <w:snapToGrid/>
          <w:lang w:eastAsia="zh-CN"/>
        </w:rPr>
        <w:t>等方面向返乡入乡创业企业倾斜。</w:t>
      </w:r>
    </w:p>
    <w:p w14:paraId="412D3345">
      <w:pPr>
        <w:ind w:firstLine="602"/>
        <w:rPr>
          <w:rFonts w:hint="eastAsia" w:ascii="Times New Roman" w:hAnsi="Times New Roman" w:cs="Times New Roman"/>
          <w:b/>
          <w:bCs/>
          <w:lang w:val="en-US" w:eastAsia="zh-CN"/>
        </w:rPr>
      </w:pPr>
      <w:r>
        <w:rPr>
          <w:rFonts w:hint="eastAsia" w:ascii="Times New Roman" w:hAnsi="Times New Roman" w:cs="Times New Roman"/>
          <w:b/>
          <w:bCs/>
          <w:lang w:val="en-US" w:eastAsia="zh-CN"/>
        </w:rPr>
        <w:t>加强用地保障。</w:t>
      </w:r>
      <w:r>
        <w:rPr>
          <w:rFonts w:hint="eastAsia" w:ascii="Times New Roman" w:hAnsi="Times New Roman" w:cs="Times New Roman"/>
          <w:b w:val="0"/>
          <w:bCs w:val="0"/>
          <w:lang w:val="en-US" w:eastAsia="zh-CN"/>
        </w:rPr>
        <w:t>盘活土地存量，鼓励利用农村“四荒”地及闲置建设用地发展绿色食品产业。同时，每年安排新增建设用地计划指标，重点支持竹笋、茶叶、蔬菜、畜产品、水产品、休闲食品等精深加工项目落地。充分考虑设施农业用地合理需求，依法依规保障农业生产设施用地。对规划实施的绿色食品产业重点项目供地优先保障。</w:t>
      </w:r>
    </w:p>
    <w:p w14:paraId="2E5F7E22">
      <w:pPr>
        <w:ind w:firstLine="602"/>
        <w:rPr>
          <w:rFonts w:hint="eastAsia" w:ascii="Times New Roman" w:hAnsi="Times New Roman" w:cs="Times New Roman"/>
        </w:rPr>
      </w:pPr>
      <w:r>
        <w:rPr>
          <w:rFonts w:hint="eastAsia" w:ascii="Times New Roman" w:hAnsi="Times New Roman" w:cs="Times New Roman"/>
          <w:b/>
          <w:bCs/>
          <w:lang w:val="en-US" w:eastAsia="zh-CN"/>
        </w:rPr>
        <w:t>加强资金保障</w:t>
      </w:r>
      <w:r>
        <w:rPr>
          <w:rFonts w:ascii="Times New Roman" w:hAnsi="Times New Roman" w:cs="Times New Roman"/>
          <w:b/>
          <w:bCs/>
        </w:rPr>
        <w:t>。</w:t>
      </w:r>
      <w:r>
        <w:rPr>
          <w:rFonts w:hint="eastAsia" w:ascii="Times New Roman" w:hAnsi="Times New Roman" w:cs="Times New Roman"/>
        </w:rPr>
        <w:t>整合财政资金向绿色食品产业发展项目倾斜，按照以奖代补、先建后补等方式，重点在绿色食品产业基础设施建设、全产业链培育等方面加大扶持力度，县财政每年统筹安排1000万元专项资金，重点支持绿色食品精深加工发展。充分利用省市县政策性担保基金、产业发展基金、贷款贴息政策等，助力</w:t>
      </w:r>
      <w:r>
        <w:rPr>
          <w:rFonts w:hint="eastAsia" w:ascii="Times New Roman" w:hAnsi="Times New Roman" w:cs="Times New Roman"/>
          <w:lang w:val="en-US" w:eastAsia="zh-CN"/>
        </w:rPr>
        <w:t>生态</w:t>
      </w:r>
      <w:r>
        <w:rPr>
          <w:rFonts w:hint="eastAsia" w:ascii="Times New Roman" w:hAnsi="Times New Roman" w:cs="Times New Roman"/>
        </w:rPr>
        <w:t>绿色食品产业发展。积极引导金融机构及各类社会资本积极参与</w:t>
      </w:r>
      <w:r>
        <w:rPr>
          <w:rFonts w:hint="eastAsia" w:ascii="Times New Roman" w:hAnsi="Times New Roman" w:cs="Times New Roman"/>
          <w:lang w:val="en-US" w:eastAsia="zh-CN"/>
        </w:rPr>
        <w:t>生态</w:t>
      </w:r>
      <w:r>
        <w:rPr>
          <w:rFonts w:hint="eastAsia" w:ascii="Times New Roman" w:hAnsi="Times New Roman" w:cs="Times New Roman"/>
        </w:rPr>
        <w:t>绿色食品加工产业发展。创新“信贷+保险”合作模式，建立银行与保险公司之间的信息共享机制，对已投保的绿色食品产业项目提供更优惠的信贷条件，如增加信贷额度、降低利率、延长贷款期限等，同时开发专门针对绿色食品产业的风险管理产品，如自然灾害保险、价格波动保险等，为绿色食品产业链各环节提供全面保障。</w:t>
      </w:r>
    </w:p>
    <w:p w14:paraId="5548FA96">
      <w:pPr>
        <w:pStyle w:val="3"/>
        <w:rPr>
          <w:rFonts w:hint="default" w:ascii="Times New Roman" w:hAnsi="Times New Roman" w:eastAsia="黑体"/>
          <w:snapToGrid/>
          <w:lang w:val="en-US" w:eastAsia="zh-CN"/>
        </w:rPr>
      </w:pPr>
      <w:bookmarkStart w:id="193" w:name="_Toc24194"/>
      <w:r>
        <w:rPr>
          <w:rFonts w:hint="eastAsia" w:ascii="Times New Roman" w:hAnsi="Times New Roman"/>
          <w:snapToGrid/>
          <w:lang w:val="en-US" w:eastAsia="zh-CN"/>
        </w:rPr>
        <w:t>三</w:t>
      </w:r>
      <w:r>
        <w:rPr>
          <w:rFonts w:ascii="Times New Roman" w:hAnsi="Times New Roman"/>
          <w:snapToGrid/>
        </w:rPr>
        <w:t>、</w:t>
      </w:r>
      <w:r>
        <w:rPr>
          <w:rFonts w:hint="eastAsia" w:ascii="Times New Roman" w:hAnsi="Times New Roman"/>
          <w:snapToGrid/>
          <w:lang w:val="en-US" w:eastAsia="zh-CN"/>
        </w:rPr>
        <w:t>强化项目管理</w:t>
      </w:r>
      <w:bookmarkEnd w:id="193"/>
    </w:p>
    <w:p w14:paraId="4188F618">
      <w:pPr>
        <w:ind w:firstLine="602"/>
        <w:rPr>
          <w:rFonts w:hint="eastAsia" w:ascii="Times New Roman" w:hAnsi="Times New Roman" w:eastAsia="仿宋" w:cs="Times New Roman"/>
          <w:lang w:eastAsia="zh-CN"/>
        </w:rPr>
      </w:pPr>
      <w:r>
        <w:rPr>
          <w:rFonts w:ascii="Times New Roman" w:hAnsi="Times New Roman" w:cs="Times New Roman"/>
          <w:b/>
          <w:bCs/>
        </w:rPr>
        <w:t>建立重大项目储备库。</w:t>
      </w:r>
      <w:r>
        <w:rPr>
          <w:rFonts w:ascii="Times New Roman" w:hAnsi="Times New Roman" w:cs="Times New Roman"/>
        </w:rPr>
        <w:t>项目建设单位和各级职能部门根据国家</w:t>
      </w:r>
      <w:r>
        <w:rPr>
          <w:rFonts w:hint="eastAsia" w:ascii="Times New Roman" w:hAnsi="Times New Roman" w:cs="Times New Roman"/>
          <w:lang w:eastAsia="zh-CN"/>
        </w:rPr>
        <w:t>、</w:t>
      </w:r>
      <w:r>
        <w:rPr>
          <w:rFonts w:hint="eastAsia" w:ascii="Times New Roman" w:hAnsi="Times New Roman" w:cs="Times New Roman"/>
          <w:lang w:val="en-US" w:eastAsia="zh-CN"/>
        </w:rPr>
        <w:t>省市专项</w:t>
      </w:r>
      <w:r>
        <w:rPr>
          <w:rFonts w:ascii="Times New Roman" w:hAnsi="Times New Roman" w:cs="Times New Roman"/>
        </w:rPr>
        <w:t>政策和县委县政府相关工作报告、规划等要求，</w:t>
      </w:r>
      <w:r>
        <w:rPr>
          <w:rFonts w:hint="eastAsia" w:ascii="Times New Roman" w:hAnsi="Times New Roman" w:cs="Times New Roman"/>
          <w:lang w:val="en-US" w:eastAsia="zh-CN"/>
        </w:rPr>
        <w:t>结合乡村振兴的发展方向和战略目标，</w:t>
      </w:r>
      <w:r>
        <w:rPr>
          <w:rFonts w:ascii="Times New Roman" w:hAnsi="Times New Roman" w:cs="Times New Roman"/>
        </w:rPr>
        <w:t>谋划、论证、上报可行的重大项目，建立信息互通、资料完备、产业相融的重大项目储备库</w:t>
      </w:r>
      <w:r>
        <w:rPr>
          <w:rFonts w:hint="eastAsia" w:ascii="Times New Roman" w:hAnsi="Times New Roman" w:cs="Times New Roman"/>
          <w:lang w:eastAsia="zh-CN"/>
        </w:rPr>
        <w:t>，</w:t>
      </w:r>
      <w:r>
        <w:rPr>
          <w:rFonts w:hint="eastAsia" w:ascii="Times New Roman" w:hAnsi="Times New Roman" w:cs="Times New Roman"/>
          <w:lang w:val="en-US" w:eastAsia="zh-CN"/>
        </w:rPr>
        <w:t>确</w:t>
      </w:r>
      <w:r>
        <w:rPr>
          <w:rFonts w:hint="eastAsia" w:ascii="Times New Roman" w:hAnsi="Times New Roman" w:cs="Times New Roman"/>
          <w:lang w:eastAsia="zh-CN"/>
        </w:rPr>
        <w:t>保每个项目的信息资料完整、准确，包括项目背景、投资规模、预期效益等内容，便于后续管理和决策。</w:t>
      </w:r>
    </w:p>
    <w:p w14:paraId="2AE304BF">
      <w:pPr>
        <w:ind w:firstLine="602"/>
        <w:rPr>
          <w:rFonts w:hint="eastAsia" w:ascii="Times New Roman" w:hAnsi="Times New Roman" w:cs="Times New Roman"/>
          <w:lang w:val="en-US" w:eastAsia="zh-CN"/>
        </w:rPr>
      </w:pPr>
      <w:r>
        <w:rPr>
          <w:rFonts w:ascii="Times New Roman" w:hAnsi="Times New Roman" w:cs="Times New Roman"/>
          <w:b/>
          <w:bCs/>
        </w:rPr>
        <w:t>加强项目建设调度。</w:t>
      </w:r>
      <w:r>
        <w:rPr>
          <w:rFonts w:ascii="Times New Roman" w:hAnsi="Times New Roman" w:cs="Times New Roman"/>
        </w:rPr>
        <w:t>聚焦</w:t>
      </w:r>
      <w:r>
        <w:rPr>
          <w:rFonts w:hint="eastAsia" w:ascii="Times New Roman" w:hAnsi="Times New Roman" w:cs="Times New Roman"/>
          <w:lang w:val="en-US" w:eastAsia="zh-CN"/>
        </w:rPr>
        <w:t>绿色食品</w:t>
      </w:r>
      <w:r>
        <w:rPr>
          <w:rFonts w:ascii="Times New Roman" w:hAnsi="Times New Roman" w:cs="Times New Roman"/>
        </w:rPr>
        <w:t>重大项目，完善产业管理机制，</w:t>
      </w:r>
      <w:r>
        <w:rPr>
          <w:rFonts w:hint="eastAsia" w:ascii="Times New Roman" w:hAnsi="Times New Roman" w:cs="Times New Roman"/>
          <w:lang w:val="en-US" w:eastAsia="zh-CN"/>
        </w:rPr>
        <w:t>依托县重点项目建设事务中心，建立专门的项目管理团队，负责项目的协调和推进。建立多部门协同工作机制，制定详细的项目推进计划，明确任务目标和时间节点，定期对项目进展情况进行跟踪检查，确保各项任务按时完成，针对项目推进中遇到的问题，及时研究解决方案，确保项目顺利实施，</w:t>
      </w:r>
    </w:p>
    <w:p w14:paraId="17B34B62">
      <w:pPr>
        <w:pStyle w:val="3"/>
        <w:rPr>
          <w:rFonts w:hint="default" w:ascii="Times New Roman" w:hAnsi="Times New Roman" w:eastAsia="黑体"/>
          <w:snapToGrid/>
          <w:lang w:val="en-US" w:eastAsia="zh-CN"/>
        </w:rPr>
      </w:pPr>
      <w:bookmarkStart w:id="194" w:name="_Toc22418"/>
      <w:r>
        <w:rPr>
          <w:rFonts w:hint="eastAsia" w:ascii="Times New Roman" w:hAnsi="Times New Roman"/>
          <w:snapToGrid/>
          <w:lang w:val="en-US" w:eastAsia="zh-CN"/>
        </w:rPr>
        <w:t>四</w:t>
      </w:r>
      <w:r>
        <w:rPr>
          <w:rFonts w:ascii="Times New Roman" w:hAnsi="Times New Roman"/>
          <w:snapToGrid/>
        </w:rPr>
        <w:t>、</w:t>
      </w:r>
      <w:r>
        <w:rPr>
          <w:rFonts w:hint="eastAsia" w:ascii="Times New Roman" w:hAnsi="Times New Roman"/>
          <w:snapToGrid/>
          <w:lang w:val="en-US" w:eastAsia="zh-CN"/>
        </w:rPr>
        <w:t>强化市场驱动</w:t>
      </w:r>
      <w:bookmarkEnd w:id="194"/>
    </w:p>
    <w:p w14:paraId="1CBDC363">
      <w:pPr>
        <w:tabs>
          <w:tab w:val="left" w:pos="391"/>
        </w:tabs>
        <w:bidi w:val="0"/>
        <w:ind w:left="0" w:leftChars="0" w:firstLine="600" w:firstLineChars="200"/>
        <w:jc w:val="left"/>
        <w:rPr>
          <w:rFonts w:ascii="宋体" w:hAnsi="宋体" w:eastAsia="仿宋" w:cs="Times New Roman"/>
          <w:snapToGrid w:val="0"/>
          <w:sz w:val="30"/>
          <w:lang w:val="en-GB" w:eastAsia="zh-CN" w:bidi="ar-SA"/>
        </w:rPr>
      </w:pPr>
      <w:r>
        <w:rPr>
          <w:rFonts w:hint="eastAsia" w:ascii="Times New Roman" w:hAnsi="Times New Roman" w:cs="Times New Roman"/>
        </w:rPr>
        <w:t>充分发挥</w:t>
      </w:r>
      <w:r>
        <w:rPr>
          <w:rFonts w:hint="eastAsia" w:ascii="Times New Roman" w:hAnsi="Times New Roman" w:cs="Times New Roman"/>
          <w:lang w:val="en-US" w:eastAsia="zh-CN"/>
        </w:rPr>
        <w:t>桃江竹</w:t>
      </w:r>
      <w:r>
        <w:rPr>
          <w:rFonts w:hint="eastAsia" w:ascii="Times New Roman" w:hAnsi="Times New Roman" w:cs="Times New Roman"/>
        </w:rPr>
        <w:t>产业协会、</w:t>
      </w:r>
      <w:r>
        <w:rPr>
          <w:rFonts w:hint="eastAsia" w:ascii="Times New Roman" w:hAnsi="Times New Roman" w:cs="Times New Roman"/>
          <w:lang w:val="en-US" w:eastAsia="zh-CN"/>
        </w:rPr>
        <w:t>桃江修山镇面业协会</w:t>
      </w:r>
      <w:r>
        <w:rPr>
          <w:rFonts w:hint="eastAsia" w:ascii="Times New Roman" w:hAnsi="Times New Roman" w:cs="Times New Roman"/>
        </w:rPr>
        <w:t>等行业协会作用，加强对</w:t>
      </w:r>
      <w:r>
        <w:rPr>
          <w:rFonts w:hint="eastAsia" w:ascii="Times New Roman" w:hAnsi="Times New Roman" w:cs="Times New Roman"/>
          <w:lang w:val="en-US" w:eastAsia="zh-CN"/>
        </w:rPr>
        <w:t>生态</w:t>
      </w:r>
      <w:r>
        <w:rPr>
          <w:rFonts w:hint="eastAsia" w:ascii="Times New Roman" w:hAnsi="Times New Roman" w:cs="Times New Roman"/>
        </w:rPr>
        <w:t>绿色食品产业指导和服务，为产业发展</w:t>
      </w:r>
      <w:r>
        <w:rPr>
          <w:rFonts w:hint="eastAsia" w:ascii="Times New Roman" w:hAnsi="Times New Roman" w:cs="Times New Roman"/>
          <w:lang w:val="en-US" w:eastAsia="zh-CN"/>
        </w:rPr>
        <w:t>建言献策</w:t>
      </w:r>
      <w:r>
        <w:rPr>
          <w:rFonts w:hint="eastAsia" w:ascii="Times New Roman" w:hAnsi="Times New Roman" w:cs="Times New Roman"/>
        </w:rPr>
        <w:t>，为企业链接技术、市场、人才等高端资源。借助相关研究院、联盟、行业协会等行业组织，定期召开政企座谈会，及时掌握</w:t>
      </w:r>
      <w:r>
        <w:rPr>
          <w:rFonts w:hint="eastAsia" w:ascii="Times New Roman" w:hAnsi="Times New Roman" w:cs="Times New Roman"/>
          <w:lang w:val="en-US" w:eastAsia="zh-CN"/>
        </w:rPr>
        <w:t>生态</w:t>
      </w:r>
      <w:r>
        <w:rPr>
          <w:rFonts w:hint="eastAsia" w:ascii="Times New Roman" w:hAnsi="Times New Roman" w:cs="Times New Roman"/>
        </w:rPr>
        <w:t>绿色食品产业动态和工作执行情况，提高政府服务工作的针对性和实效性，增进企业间了解与合作。积极对接市绿色食品产业协会，探索成立</w:t>
      </w:r>
      <w:r>
        <w:rPr>
          <w:rFonts w:hint="eastAsia" w:ascii="Times New Roman" w:hAnsi="Times New Roman" w:cs="Times New Roman"/>
          <w:lang w:val="en-US" w:eastAsia="zh-CN"/>
        </w:rPr>
        <w:t>桃江生态</w:t>
      </w:r>
      <w:r>
        <w:rPr>
          <w:rFonts w:hint="eastAsia" w:ascii="Times New Roman" w:hAnsi="Times New Roman" w:cs="Times New Roman"/>
        </w:rPr>
        <w:t>绿色食品产业协会或产业联盟，争取</w:t>
      </w:r>
      <w:r>
        <w:rPr>
          <w:rFonts w:hint="eastAsia" w:ascii="Times New Roman" w:hAnsi="Times New Roman" w:cs="Times New Roman"/>
          <w:lang w:val="en-US" w:eastAsia="zh-CN"/>
        </w:rPr>
        <w:t>国家、省市</w:t>
      </w:r>
      <w:r>
        <w:rPr>
          <w:rFonts w:hint="eastAsia" w:ascii="Times New Roman" w:hAnsi="Times New Roman" w:cs="Times New Roman"/>
        </w:rPr>
        <w:t>优质项目、资金等向</w:t>
      </w:r>
      <w:r>
        <w:rPr>
          <w:rFonts w:hint="eastAsia" w:ascii="Times New Roman" w:hAnsi="Times New Roman" w:cs="Times New Roman"/>
          <w:lang w:val="en-US" w:eastAsia="zh-CN"/>
        </w:rPr>
        <w:t>桃江</w:t>
      </w:r>
      <w:r>
        <w:rPr>
          <w:rFonts w:hint="eastAsia" w:ascii="Times New Roman" w:hAnsi="Times New Roman" w:cs="Times New Roman"/>
        </w:rPr>
        <w:t>聚集。</w:t>
      </w:r>
    </w:p>
    <w:sectPr>
      <w:headerReference r:id="rId10" w:type="default"/>
      <w:pgSz w:w="11907" w:h="16839"/>
      <w:pgMar w:top="1440" w:right="1797" w:bottom="1440" w:left="1797" w:header="851" w:footer="992" w:gutter="0"/>
      <w:pgNumType w:fmt="decimal"/>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00"/>
      </w:pPr>
      <w:r>
        <w:separator/>
      </w:r>
    </w:p>
  </w:endnote>
  <w:endnote w:type="continuationSeparator" w:id="1">
    <w:p>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Playbill">
    <w:altName w:val="Gabriola"/>
    <w:panose1 w:val="040506030A0602020202"/>
    <w:charset w:val="00"/>
    <w:family w:val="decorative"/>
    <w:pitch w:val="default"/>
    <w:sig w:usb0="00000000" w:usb1="00000000" w:usb2="00000000" w:usb3="00000000" w:csb0="20000001" w:csb1="00000000"/>
  </w:font>
  <w:font w:name="Gabriola">
    <w:panose1 w:val="04040605051002020D02"/>
    <w:charset w:val="00"/>
    <w:family w:val="auto"/>
    <w:pitch w:val="default"/>
    <w:sig w:usb0="E00002EF" w:usb1="5000204B" w:usb2="00000000" w:usb3="00000000" w:csb0="2000009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24595F">
    <w:pPr>
      <w:pStyle w:val="21"/>
      <w:tabs>
        <w:tab w:val="left" w:pos="1237"/>
        <w:tab w:val="clear" w:pos="4153"/>
      </w:tabs>
      <w:ind w:firstLine="0" w:firstLineChars="0"/>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FEBFC">
    <w:pPr>
      <w:pStyle w:val="21"/>
      <w:tabs>
        <w:tab w:val="left" w:pos="1237"/>
        <w:tab w:val="clear" w:pos="4153"/>
      </w:tabs>
      <w:ind w:firstLine="0" w:firstLineChars="0"/>
      <w:rPr>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2540</wp:posOffset>
              </wp:positionV>
              <wp:extent cx="478790" cy="381635"/>
              <wp:effectExtent l="0" t="0" r="0" b="0"/>
              <wp:wrapNone/>
              <wp:docPr id="6" name="Text Box 12"/>
              <wp:cNvGraphicFramePr/>
              <a:graphic xmlns:a="http://schemas.openxmlformats.org/drawingml/2006/main">
                <a:graphicData uri="http://schemas.microsoft.com/office/word/2010/wordprocessingShape">
                  <wps:wsp>
                    <wps:cNvSpPr txBox="1">
                      <a:spLocks noChangeArrowheads="1"/>
                    </wps:cNvSpPr>
                    <wps:spPr bwMode="auto">
                      <a:xfrm>
                        <a:off x="0" y="0"/>
                        <a:ext cx="478800" cy="381600"/>
                      </a:xfrm>
                      <a:prstGeom prst="rect">
                        <a:avLst/>
                      </a:prstGeom>
                      <a:noFill/>
                      <a:ln>
                        <a:noFill/>
                      </a:ln>
                    </wps:spPr>
                    <wps:txbx>
                      <w:txbxContent>
                        <w:p w14:paraId="648CDC1D">
                          <w:pPr>
                            <w:pStyle w:val="21"/>
                            <w:ind w:firstLine="0" w:firstLineChars="0"/>
                            <w:jc w:val="cente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rPr>
                            <w:t>I</w:t>
                          </w:r>
                          <w:r>
                            <w:rPr>
                              <w:rFonts w:ascii="Times New Roman" w:hAnsi="Times New Roman"/>
                              <w:sz w:val="21"/>
                              <w:szCs w:val="21"/>
                            </w:rPr>
                            <w:fldChar w:fldCharType="end"/>
                          </w:r>
                        </w:p>
                      </w:txbxContent>
                    </wps:txbx>
                    <wps:bodyPr rot="0" vert="horz" wrap="square" lIns="0" tIns="0" rIns="0" bIns="0" anchor="t" anchorCtr="0" upright="1">
                      <a:spAutoFit/>
                    </wps:bodyPr>
                  </wps:wsp>
                </a:graphicData>
              </a:graphic>
            </wp:anchor>
          </w:drawing>
        </mc:Choice>
        <mc:Fallback>
          <w:pict>
            <v:shape id="Text Box 12" o:spid="_x0000_s1026" o:spt="202" type="#_x0000_t202" style="position:absolute;left:0pt;margin-top:0.2pt;height:30.05pt;width:37.7pt;mso-position-horizontal:center;mso-position-horizontal-relative:margin;z-index:251660288;mso-width-relative:page;mso-height-relative:page;" filled="f" stroked="f" coordsize="21600,21600" o:gfxdata="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HDK+f9IAAAADAQAADwAAAAAAAAABACAAAAAiAAAAZHJzL2Rvd25yZXYueG1sUEsB&#10;AhQAFAAAAAgAh07iQJcIlHL7AQAABAQAAA4AAAAAAAAAAQAgAAAAIQEAAGRycy9lMm9Eb2MueG1s&#10;UEsFBgAAAAAGAAYAWQEAAI4FAAAAAA==&#10;">
              <v:fill on="f" focussize="0,0"/>
              <v:stroke on="f"/>
              <v:imagedata o:title=""/>
              <o:lock v:ext="edit" aspectratio="f"/>
              <v:textbox inset="0mm,0mm,0mm,0mm" style="mso-fit-shape-to-text:t;">
                <w:txbxContent>
                  <w:p w14:paraId="648CDC1D">
                    <w:pPr>
                      <w:pStyle w:val="21"/>
                      <w:ind w:firstLine="0" w:firstLineChars="0"/>
                      <w:jc w:val="cente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rPr>
                      <w:t>I</w:t>
                    </w:r>
                    <w:r>
                      <w:rPr>
                        <w:rFonts w:ascii="Times New Roman" w:hAnsi="Times New Roman"/>
                        <w:sz w:val="21"/>
                        <w:szCs w:val="21"/>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98905">
    <w:pPr>
      <w:pBdr>
        <w:top w:val="thinThickSmallGap" w:color="auto" w:sz="18" w:space="1"/>
      </w:pBdr>
      <w:tabs>
        <w:tab w:val="left" w:pos="254"/>
        <w:tab w:val="center" w:pos="4153"/>
      </w:tabs>
      <w:spacing w:line="240" w:lineRule="auto"/>
      <w:ind w:firstLine="0" w:firstLineChars="0"/>
      <w:rPr>
        <w:rFonts w:eastAsia="宋体" w:cs="宋体"/>
        <w:sz w:val="21"/>
        <w:szCs w:val="21"/>
      </w:rPr>
    </w:pPr>
    <w:r>
      <w:rPr>
        <w:sz w:val="21"/>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ragraph">
                <wp:posOffset>-82550</wp:posOffset>
              </wp:positionV>
              <wp:extent cx="428625" cy="453390"/>
              <wp:effectExtent l="0" t="0" r="10160" b="3810"/>
              <wp:wrapNone/>
              <wp:docPr id="793475828" name="Text Box 9"/>
              <wp:cNvGraphicFramePr/>
              <a:graphic xmlns:a="http://schemas.openxmlformats.org/drawingml/2006/main">
                <a:graphicData uri="http://schemas.microsoft.com/office/word/2010/wordprocessingShape">
                  <wps:wsp>
                    <wps:cNvSpPr txBox="1">
                      <a:spLocks noChangeArrowheads="1"/>
                    </wps:cNvSpPr>
                    <wps:spPr bwMode="auto">
                      <a:xfrm>
                        <a:off x="0" y="0"/>
                        <a:ext cx="428400" cy="453600"/>
                      </a:xfrm>
                      <a:prstGeom prst="rect">
                        <a:avLst/>
                      </a:prstGeom>
                      <a:noFill/>
                      <a:ln>
                        <a:noFill/>
                      </a:ln>
                    </wps:spPr>
                    <wps:txbx>
                      <w:txbxContent>
                        <w:p w14:paraId="68A6439C">
                          <w:pPr>
                            <w:pStyle w:val="21"/>
                            <w:ind w:firstLine="0" w:firstLineChars="0"/>
                            <w:jc w:val="cente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rPr>
                            <w:t>I</w:t>
                          </w:r>
                          <w:r>
                            <w:rPr>
                              <w:rFonts w:ascii="Times New Roman" w:hAnsi="Times New Roman"/>
                              <w:sz w:val="21"/>
                              <w:szCs w:val="21"/>
                            </w:rPr>
                            <w:fldChar w:fldCharType="end"/>
                          </w:r>
                        </w:p>
                      </w:txbxContent>
                    </wps:txbx>
                    <wps:bodyPr rot="0" vert="horz" wrap="square" lIns="0" tIns="0" rIns="0" bIns="0" anchor="t" anchorCtr="0" upright="1">
                      <a:noAutofit/>
                    </wps:bodyPr>
                  </wps:wsp>
                </a:graphicData>
              </a:graphic>
            </wp:anchor>
          </w:drawing>
        </mc:Choice>
        <mc:Fallback>
          <w:pict>
            <v:shape id="Text Box 9" o:spid="_x0000_s1026" o:spt="202" type="#_x0000_t202" style="position:absolute;left:0pt;margin-top:-6.5pt;height:35.7pt;width:33.75pt;mso-position-horizontal:center;mso-position-horizontal-relative:page;z-index:251659264;mso-width-relative:page;mso-height-relative:page;" filled="f" stroked="f" coordsize="21600,21600" o:gfxdata="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K/3HvXAAAABgEAAA8AAAAAAAAAAQAgAAAAIgAAAGRycy9k&#10;b3ducmV2LnhtbFBLAQIUABQAAAAIAIdO4kACg6fDAwIAAAsEAAAOAAAAAAAAAAEAIAAAACYBAABk&#10;cnMvZTJvRG9jLnhtbFBLBQYAAAAABgAGAFkBAACbBQAAAAA=&#10;">
              <v:fill on="f" focussize="0,0"/>
              <v:stroke on="f"/>
              <v:imagedata o:title=""/>
              <o:lock v:ext="edit" aspectratio="f"/>
              <v:textbox inset="0mm,0mm,0mm,0mm">
                <w:txbxContent>
                  <w:p w14:paraId="68A6439C">
                    <w:pPr>
                      <w:pStyle w:val="21"/>
                      <w:ind w:firstLine="0" w:firstLineChars="0"/>
                      <w:jc w:val="cente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rPr>
                      <w:t>I</w:t>
                    </w:r>
                    <w:r>
                      <w:rPr>
                        <w:rFonts w:ascii="Times New Roman" w:hAnsi="Times New Roman"/>
                        <w:sz w:val="21"/>
                        <w:szCs w:val="21"/>
                      </w:rPr>
                      <w:fldChar w:fldCharType="end"/>
                    </w:r>
                  </w:p>
                </w:txbxContent>
              </v:textbox>
            </v:shape>
          </w:pict>
        </mc:Fallback>
      </mc:AlternateContent>
    </w:r>
    <w:r>
      <w:rPr>
        <w:rFonts w:eastAsia="宋体" w:cs="宋体"/>
        <w:sz w:val="21"/>
        <w:szCs w:val="21"/>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00"/>
      </w:pPr>
      <w:r>
        <w:separator/>
      </w:r>
    </w:p>
  </w:footnote>
  <w:footnote w:type="continuationSeparator" w:id="1">
    <w:p>
      <w:pPr>
        <w:spacing w:line="240" w:lineRule="auto"/>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89DE7">
    <w:pPr>
      <w:pStyle w:val="22"/>
      <w:pBdr>
        <w:bottom w:val="none" w:color="auto" w:sz="0" w:space="0"/>
      </w:pBdr>
      <w:ind w:firstLine="198" w:firstLineChars="66"/>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4F3DC">
    <w:pPr>
      <w:pBdr>
        <w:bottom w:val="thickThinSmallGap" w:color="auto" w:sz="18" w:space="4"/>
      </w:pBdr>
      <w:spacing w:line="240" w:lineRule="auto"/>
      <w:ind w:firstLine="0" w:firstLineChars="0"/>
      <w:jc w:val="left"/>
      <w:rPr>
        <w:rFonts w:hint="eastAsia" w:ascii="仿宋" w:hAnsi="仿宋" w:eastAsia="仿宋"/>
        <w:sz w:val="21"/>
        <w:szCs w:val="21"/>
        <w:lang w:val="en-US" w:eastAsia="zh-CN"/>
      </w:rPr>
    </w:pPr>
    <w:r>
      <w:rPr>
        <w:rFonts w:hint="eastAsia" w:ascii="仿宋" w:hAnsi="仿宋"/>
        <w:sz w:val="21"/>
        <w:szCs w:val="21"/>
        <w:lang w:val="en-US" w:eastAsia="zh-CN"/>
      </w:rPr>
      <w:t>桃江县生态绿色食品产业链</w:t>
    </w:r>
    <w:r>
      <w:rPr>
        <w:rFonts w:ascii="仿宋" w:hAnsi="仿宋"/>
        <w:sz w:val="21"/>
        <w:szCs w:val="21"/>
      </w:rPr>
      <w:t xml:space="preserve">         </w:t>
    </w:r>
    <w:r>
      <w:rPr>
        <w:rFonts w:hint="eastAsia" w:ascii="仿宋" w:hAnsi="仿宋"/>
        <w:sz w:val="21"/>
        <w:szCs w:val="21"/>
      </w:rPr>
      <w:t xml:space="preserve"> </w:t>
    </w:r>
    <w:r>
      <w:rPr>
        <w:rFonts w:ascii="仿宋" w:hAnsi="仿宋"/>
        <w:sz w:val="21"/>
        <w:szCs w:val="21"/>
      </w:rPr>
      <w:t xml:space="preserve">                  </w:t>
    </w:r>
    <w:r>
      <w:rPr>
        <w:rFonts w:hint="eastAsia" w:ascii="仿宋" w:hAnsi="仿宋"/>
        <w:sz w:val="21"/>
        <w:szCs w:val="21"/>
      </w:rPr>
      <w:t xml:space="preserve"> </w:t>
    </w:r>
    <w:r>
      <w:rPr>
        <w:rFonts w:ascii="仿宋" w:hAnsi="仿宋"/>
        <w:sz w:val="21"/>
        <w:szCs w:val="21"/>
      </w:rPr>
      <w:t xml:space="preserve">     </w:t>
    </w:r>
    <w:r>
      <w:rPr>
        <w:rFonts w:hint="eastAsia" w:ascii="仿宋" w:hAnsi="仿宋"/>
        <w:sz w:val="21"/>
        <w:szCs w:val="21"/>
      </w:rPr>
      <w:t xml:space="preserve"> </w:t>
    </w:r>
    <w:r>
      <w:rPr>
        <w:rFonts w:ascii="仿宋" w:hAnsi="仿宋"/>
        <w:sz w:val="21"/>
        <w:szCs w:val="21"/>
      </w:rPr>
      <w:t xml:space="preserve">   </w:t>
    </w:r>
    <w:r>
      <w:rPr>
        <w:rFonts w:hint="eastAsia" w:ascii="仿宋" w:hAnsi="仿宋"/>
        <w:sz w:val="21"/>
        <w:szCs w:val="21"/>
        <w:lang w:val="en-US" w:eastAsia="zh-CN"/>
      </w:rPr>
      <w:t xml:space="preserve">   中长期发展规划</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0EBA4">
    <w:pPr>
      <w:pBdr>
        <w:bottom w:val="thickThinSmallGap" w:color="auto" w:sz="18" w:space="4"/>
      </w:pBdr>
      <w:spacing w:line="240" w:lineRule="auto"/>
      <w:ind w:firstLine="0" w:firstLineChars="0"/>
      <w:jc w:val="left"/>
      <w:rPr>
        <w:rFonts w:ascii="仿宋" w:hAnsi="仿宋"/>
        <w:sz w:val="21"/>
        <w:szCs w:val="21"/>
      </w:rPr>
    </w:pPr>
    <w:r>
      <w:rPr>
        <w:rFonts w:hint="eastAsia" w:ascii="仿宋" w:hAnsi="仿宋"/>
        <w:sz w:val="21"/>
        <w:szCs w:val="21"/>
        <w:lang w:val="en-US" w:eastAsia="zh-CN"/>
      </w:rPr>
      <w:t>桃江县生态绿色食品产业链</w:t>
    </w:r>
    <w:r>
      <w:rPr>
        <w:rFonts w:ascii="仿宋" w:hAnsi="仿宋"/>
        <w:sz w:val="21"/>
        <w:szCs w:val="21"/>
      </w:rPr>
      <w:t xml:space="preserve">         </w:t>
    </w:r>
    <w:r>
      <w:rPr>
        <w:rFonts w:hint="eastAsia" w:ascii="仿宋" w:hAnsi="仿宋"/>
        <w:sz w:val="21"/>
        <w:szCs w:val="21"/>
      </w:rPr>
      <w:t xml:space="preserve"> </w:t>
    </w:r>
    <w:r>
      <w:rPr>
        <w:rFonts w:ascii="仿宋" w:hAnsi="仿宋"/>
        <w:sz w:val="21"/>
        <w:szCs w:val="21"/>
      </w:rPr>
      <w:t xml:space="preserve">                  </w:t>
    </w:r>
    <w:r>
      <w:rPr>
        <w:rFonts w:hint="eastAsia" w:ascii="仿宋" w:hAnsi="仿宋"/>
        <w:sz w:val="21"/>
        <w:szCs w:val="21"/>
      </w:rPr>
      <w:t xml:space="preserve"> </w:t>
    </w:r>
    <w:r>
      <w:rPr>
        <w:rFonts w:ascii="仿宋" w:hAnsi="仿宋"/>
        <w:sz w:val="21"/>
        <w:szCs w:val="21"/>
      </w:rPr>
      <w:t xml:space="preserve">     </w:t>
    </w:r>
    <w:r>
      <w:rPr>
        <w:rFonts w:hint="eastAsia" w:ascii="仿宋" w:hAnsi="仿宋"/>
        <w:sz w:val="21"/>
        <w:szCs w:val="21"/>
      </w:rPr>
      <w:t xml:space="preserve"> </w:t>
    </w:r>
    <w:r>
      <w:rPr>
        <w:rFonts w:ascii="仿宋" w:hAnsi="仿宋"/>
        <w:sz w:val="21"/>
        <w:szCs w:val="21"/>
      </w:rPr>
      <w:t xml:space="preserve">     </w:t>
    </w:r>
    <w:r>
      <w:rPr>
        <w:rFonts w:hint="eastAsia" w:ascii="仿宋" w:hAnsi="仿宋"/>
        <w:sz w:val="21"/>
        <w:szCs w:val="21"/>
        <w:lang w:val="en-US" w:eastAsia="zh-CN"/>
      </w:rPr>
      <w:t>中长期发展规划</w:t>
    </w:r>
    <w:r>
      <w:rPr>
        <w:rFonts w:ascii="仿宋" w:hAnsi="仿宋"/>
        <w:sz w:val="21"/>
        <w:szCs w:val="21"/>
      </w:rPr>
      <w:t xml:space="preserve">       </w:t>
    </w:r>
    <w:r>
      <w:rPr>
        <w:rFonts w:hint="eastAsia" w:ascii="仿宋" w:hAnsi="仿宋"/>
        <w:sz w:val="21"/>
        <w:szCs w:val="21"/>
        <w:lang w:val="en-US" w:eastAsia="zh-CN"/>
      </w:rPr>
      <w:t xml:space="preserve">                                             </w:t>
    </w:r>
    <w:r>
      <w:rPr>
        <w:rFonts w:ascii="仿宋" w:hAnsi="仿宋"/>
        <w:sz w:val="21"/>
        <w:szCs w:val="21"/>
      </w:rPr>
      <w:t xml:space="preserve">                                         </w:t>
    </w:r>
    <w:r>
      <w:rPr>
        <w:rFonts w:hint="eastAsia" w:ascii="仿宋" w:hAnsi="仿宋"/>
        <w:sz w:val="21"/>
        <w:szCs w:val="21"/>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6048F4"/>
    <w:multiLevelType w:val="singleLevel"/>
    <w:tmpl w:val="B16048F4"/>
    <w:lvl w:ilvl="0" w:tentative="0">
      <w:start w:val="2"/>
      <w:numFmt w:val="chineseCounting"/>
      <w:suff w:val="nothing"/>
      <w:lvlText w:val="%1、"/>
      <w:lvlJc w:val="left"/>
      <w:rPr>
        <w:rFonts w:hint="eastAsia"/>
      </w:rPr>
    </w:lvl>
  </w:abstractNum>
  <w:abstractNum w:abstractNumId="1">
    <w:nsid w:val="E8BD7F44"/>
    <w:multiLevelType w:val="singleLevel"/>
    <w:tmpl w:val="E8BD7F44"/>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566"/>
  <w:drawingGridHorizontalSpacing w:val="150"/>
  <w:drawingGridVerticalSpacing w:val="204"/>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gwZDg0MmU3NTJiNDI2YWZjZmY1ZWJlNzM4YzVlOWQifQ=="/>
    <w:docVar w:name="KSO_WPS_MARK_KEY" w:val="0a6c74ed-df04-43c1-a17c-161d45c03321"/>
  </w:docVars>
  <w:rsids>
    <w:rsidRoot w:val="00172A27"/>
    <w:rsid w:val="000003AF"/>
    <w:rsid w:val="00000488"/>
    <w:rsid w:val="000016B6"/>
    <w:rsid w:val="00001A2B"/>
    <w:rsid w:val="00001C4B"/>
    <w:rsid w:val="000020D3"/>
    <w:rsid w:val="000022B6"/>
    <w:rsid w:val="0000267E"/>
    <w:rsid w:val="00002A73"/>
    <w:rsid w:val="0000306B"/>
    <w:rsid w:val="0000361C"/>
    <w:rsid w:val="0000405B"/>
    <w:rsid w:val="00004DFD"/>
    <w:rsid w:val="000059AC"/>
    <w:rsid w:val="0000691F"/>
    <w:rsid w:val="00006AA0"/>
    <w:rsid w:val="00006D37"/>
    <w:rsid w:val="00010BEE"/>
    <w:rsid w:val="000111E2"/>
    <w:rsid w:val="00011D45"/>
    <w:rsid w:val="000130D2"/>
    <w:rsid w:val="00013D6B"/>
    <w:rsid w:val="0001456C"/>
    <w:rsid w:val="00015100"/>
    <w:rsid w:val="000152CF"/>
    <w:rsid w:val="000154BD"/>
    <w:rsid w:val="0001572B"/>
    <w:rsid w:val="000157F3"/>
    <w:rsid w:val="0001610A"/>
    <w:rsid w:val="0001649D"/>
    <w:rsid w:val="00016554"/>
    <w:rsid w:val="000169D7"/>
    <w:rsid w:val="000204D4"/>
    <w:rsid w:val="000210A3"/>
    <w:rsid w:val="000210CF"/>
    <w:rsid w:val="000217FA"/>
    <w:rsid w:val="0002191E"/>
    <w:rsid w:val="00021B9B"/>
    <w:rsid w:val="00022A96"/>
    <w:rsid w:val="00024901"/>
    <w:rsid w:val="00024A1F"/>
    <w:rsid w:val="00024ED1"/>
    <w:rsid w:val="00024F52"/>
    <w:rsid w:val="00025012"/>
    <w:rsid w:val="00025039"/>
    <w:rsid w:val="00025AD9"/>
    <w:rsid w:val="00025B1F"/>
    <w:rsid w:val="00026120"/>
    <w:rsid w:val="000267CA"/>
    <w:rsid w:val="000270D7"/>
    <w:rsid w:val="000272C8"/>
    <w:rsid w:val="000274CA"/>
    <w:rsid w:val="00027745"/>
    <w:rsid w:val="00027801"/>
    <w:rsid w:val="00030FF6"/>
    <w:rsid w:val="00031068"/>
    <w:rsid w:val="000314AA"/>
    <w:rsid w:val="0003396F"/>
    <w:rsid w:val="00033DE6"/>
    <w:rsid w:val="00033E1C"/>
    <w:rsid w:val="00037AE4"/>
    <w:rsid w:val="0004065C"/>
    <w:rsid w:val="000407EB"/>
    <w:rsid w:val="00042D85"/>
    <w:rsid w:val="00042E54"/>
    <w:rsid w:val="00043CE2"/>
    <w:rsid w:val="0004419F"/>
    <w:rsid w:val="0004470C"/>
    <w:rsid w:val="00044DD3"/>
    <w:rsid w:val="000461A3"/>
    <w:rsid w:val="000464BD"/>
    <w:rsid w:val="00046EE4"/>
    <w:rsid w:val="00050BF1"/>
    <w:rsid w:val="000518AE"/>
    <w:rsid w:val="00052E3E"/>
    <w:rsid w:val="00054730"/>
    <w:rsid w:val="000549DF"/>
    <w:rsid w:val="00054C1D"/>
    <w:rsid w:val="00056174"/>
    <w:rsid w:val="00056ACD"/>
    <w:rsid w:val="00056C64"/>
    <w:rsid w:val="0005758A"/>
    <w:rsid w:val="00057A1E"/>
    <w:rsid w:val="00057EEF"/>
    <w:rsid w:val="00060418"/>
    <w:rsid w:val="00061675"/>
    <w:rsid w:val="0006260D"/>
    <w:rsid w:val="0006301A"/>
    <w:rsid w:val="000637D1"/>
    <w:rsid w:val="00063999"/>
    <w:rsid w:val="00063DB6"/>
    <w:rsid w:val="000662F8"/>
    <w:rsid w:val="00066DAC"/>
    <w:rsid w:val="000674F8"/>
    <w:rsid w:val="000677B9"/>
    <w:rsid w:val="000677C1"/>
    <w:rsid w:val="00067A2C"/>
    <w:rsid w:val="00070677"/>
    <w:rsid w:val="000718EB"/>
    <w:rsid w:val="000723BD"/>
    <w:rsid w:val="00072791"/>
    <w:rsid w:val="00073FFD"/>
    <w:rsid w:val="00075A11"/>
    <w:rsid w:val="0007702B"/>
    <w:rsid w:val="00077B86"/>
    <w:rsid w:val="00080684"/>
    <w:rsid w:val="00081BCC"/>
    <w:rsid w:val="00081EC5"/>
    <w:rsid w:val="00082359"/>
    <w:rsid w:val="0008263D"/>
    <w:rsid w:val="00082E37"/>
    <w:rsid w:val="0008304C"/>
    <w:rsid w:val="00083062"/>
    <w:rsid w:val="00084CF9"/>
    <w:rsid w:val="00085797"/>
    <w:rsid w:val="000862A0"/>
    <w:rsid w:val="0008722C"/>
    <w:rsid w:val="000877A0"/>
    <w:rsid w:val="00087E1E"/>
    <w:rsid w:val="00090B88"/>
    <w:rsid w:val="00091787"/>
    <w:rsid w:val="0009252E"/>
    <w:rsid w:val="0009270E"/>
    <w:rsid w:val="000936E3"/>
    <w:rsid w:val="00093EB8"/>
    <w:rsid w:val="00095189"/>
    <w:rsid w:val="00095232"/>
    <w:rsid w:val="000966FA"/>
    <w:rsid w:val="000975EE"/>
    <w:rsid w:val="0009796B"/>
    <w:rsid w:val="000A12BA"/>
    <w:rsid w:val="000A1F80"/>
    <w:rsid w:val="000A24F4"/>
    <w:rsid w:val="000A2E37"/>
    <w:rsid w:val="000A390E"/>
    <w:rsid w:val="000A3DFE"/>
    <w:rsid w:val="000A3EAB"/>
    <w:rsid w:val="000A41C2"/>
    <w:rsid w:val="000A483A"/>
    <w:rsid w:val="000A5925"/>
    <w:rsid w:val="000A6EC0"/>
    <w:rsid w:val="000A74B4"/>
    <w:rsid w:val="000A7B53"/>
    <w:rsid w:val="000A7C1D"/>
    <w:rsid w:val="000B0006"/>
    <w:rsid w:val="000B08B6"/>
    <w:rsid w:val="000B11FB"/>
    <w:rsid w:val="000B1F54"/>
    <w:rsid w:val="000B21DA"/>
    <w:rsid w:val="000B25F2"/>
    <w:rsid w:val="000B3A19"/>
    <w:rsid w:val="000B48A4"/>
    <w:rsid w:val="000B4C74"/>
    <w:rsid w:val="000B58DA"/>
    <w:rsid w:val="000B5EE3"/>
    <w:rsid w:val="000B5FC2"/>
    <w:rsid w:val="000B60B7"/>
    <w:rsid w:val="000B610F"/>
    <w:rsid w:val="000B7C19"/>
    <w:rsid w:val="000B7CC2"/>
    <w:rsid w:val="000B7DCC"/>
    <w:rsid w:val="000C18AC"/>
    <w:rsid w:val="000C1AAE"/>
    <w:rsid w:val="000C2BB8"/>
    <w:rsid w:val="000C3783"/>
    <w:rsid w:val="000C3CA5"/>
    <w:rsid w:val="000C4519"/>
    <w:rsid w:val="000C6F56"/>
    <w:rsid w:val="000C724B"/>
    <w:rsid w:val="000C7429"/>
    <w:rsid w:val="000C7DD6"/>
    <w:rsid w:val="000D214C"/>
    <w:rsid w:val="000D3DD3"/>
    <w:rsid w:val="000D432C"/>
    <w:rsid w:val="000D5658"/>
    <w:rsid w:val="000D5F8A"/>
    <w:rsid w:val="000D6AEF"/>
    <w:rsid w:val="000D6D3B"/>
    <w:rsid w:val="000D7A54"/>
    <w:rsid w:val="000E0710"/>
    <w:rsid w:val="000E0A4C"/>
    <w:rsid w:val="000E0B3D"/>
    <w:rsid w:val="000E0F56"/>
    <w:rsid w:val="000E19A4"/>
    <w:rsid w:val="000E22FF"/>
    <w:rsid w:val="000E25B6"/>
    <w:rsid w:val="000E2977"/>
    <w:rsid w:val="000E3768"/>
    <w:rsid w:val="000E45E4"/>
    <w:rsid w:val="000E4FF8"/>
    <w:rsid w:val="000E56F7"/>
    <w:rsid w:val="000E640D"/>
    <w:rsid w:val="000E661C"/>
    <w:rsid w:val="000E79BA"/>
    <w:rsid w:val="000F00F0"/>
    <w:rsid w:val="000F11E7"/>
    <w:rsid w:val="000F2403"/>
    <w:rsid w:val="000F3DBD"/>
    <w:rsid w:val="000F3F32"/>
    <w:rsid w:val="000F40A5"/>
    <w:rsid w:val="000F41BD"/>
    <w:rsid w:val="000F5BCE"/>
    <w:rsid w:val="000F612B"/>
    <w:rsid w:val="000F7855"/>
    <w:rsid w:val="001000EE"/>
    <w:rsid w:val="00100C04"/>
    <w:rsid w:val="00101248"/>
    <w:rsid w:val="00101A20"/>
    <w:rsid w:val="00103E94"/>
    <w:rsid w:val="00104C23"/>
    <w:rsid w:val="00106945"/>
    <w:rsid w:val="00106D29"/>
    <w:rsid w:val="00110C5F"/>
    <w:rsid w:val="00111944"/>
    <w:rsid w:val="001123AE"/>
    <w:rsid w:val="0011413D"/>
    <w:rsid w:val="001143ED"/>
    <w:rsid w:val="00114582"/>
    <w:rsid w:val="00114B21"/>
    <w:rsid w:val="00114F1E"/>
    <w:rsid w:val="00115EBA"/>
    <w:rsid w:val="00116A9A"/>
    <w:rsid w:val="001171E3"/>
    <w:rsid w:val="00117253"/>
    <w:rsid w:val="00117E6C"/>
    <w:rsid w:val="001201A4"/>
    <w:rsid w:val="00120398"/>
    <w:rsid w:val="0012101D"/>
    <w:rsid w:val="00121852"/>
    <w:rsid w:val="0012227F"/>
    <w:rsid w:val="001232A1"/>
    <w:rsid w:val="001234AD"/>
    <w:rsid w:val="001234BC"/>
    <w:rsid w:val="0012350A"/>
    <w:rsid w:val="00123AD1"/>
    <w:rsid w:val="001240C0"/>
    <w:rsid w:val="00124B6D"/>
    <w:rsid w:val="00124D0C"/>
    <w:rsid w:val="00126308"/>
    <w:rsid w:val="00126779"/>
    <w:rsid w:val="001270F6"/>
    <w:rsid w:val="00127E64"/>
    <w:rsid w:val="001300CF"/>
    <w:rsid w:val="001300FD"/>
    <w:rsid w:val="001314EF"/>
    <w:rsid w:val="0013451D"/>
    <w:rsid w:val="001345DA"/>
    <w:rsid w:val="00134A5C"/>
    <w:rsid w:val="00135321"/>
    <w:rsid w:val="0013659E"/>
    <w:rsid w:val="00136657"/>
    <w:rsid w:val="001367B1"/>
    <w:rsid w:val="00136828"/>
    <w:rsid w:val="00136BC2"/>
    <w:rsid w:val="00136F6E"/>
    <w:rsid w:val="0013730D"/>
    <w:rsid w:val="00137409"/>
    <w:rsid w:val="001375AF"/>
    <w:rsid w:val="00140E97"/>
    <w:rsid w:val="001424D8"/>
    <w:rsid w:val="00142EA2"/>
    <w:rsid w:val="0014321F"/>
    <w:rsid w:val="00143316"/>
    <w:rsid w:val="00143511"/>
    <w:rsid w:val="00143569"/>
    <w:rsid w:val="00143598"/>
    <w:rsid w:val="00144966"/>
    <w:rsid w:val="00145058"/>
    <w:rsid w:val="00145699"/>
    <w:rsid w:val="00145C58"/>
    <w:rsid w:val="00145D79"/>
    <w:rsid w:val="00145FF4"/>
    <w:rsid w:val="00146132"/>
    <w:rsid w:val="00147145"/>
    <w:rsid w:val="00147276"/>
    <w:rsid w:val="0014738C"/>
    <w:rsid w:val="00147A54"/>
    <w:rsid w:val="00151282"/>
    <w:rsid w:val="00151717"/>
    <w:rsid w:val="001517BA"/>
    <w:rsid w:val="00151833"/>
    <w:rsid w:val="001521FD"/>
    <w:rsid w:val="00152715"/>
    <w:rsid w:val="001530DA"/>
    <w:rsid w:val="001533FC"/>
    <w:rsid w:val="0015386E"/>
    <w:rsid w:val="00153B6E"/>
    <w:rsid w:val="001557D8"/>
    <w:rsid w:val="00155B1E"/>
    <w:rsid w:val="0015712F"/>
    <w:rsid w:val="00157141"/>
    <w:rsid w:val="00160485"/>
    <w:rsid w:val="00161512"/>
    <w:rsid w:val="00161661"/>
    <w:rsid w:val="00161F10"/>
    <w:rsid w:val="00162635"/>
    <w:rsid w:val="00163541"/>
    <w:rsid w:val="001635F7"/>
    <w:rsid w:val="00163794"/>
    <w:rsid w:val="00163915"/>
    <w:rsid w:val="00165260"/>
    <w:rsid w:val="00165CCF"/>
    <w:rsid w:val="0016656E"/>
    <w:rsid w:val="0016685A"/>
    <w:rsid w:val="00166A3C"/>
    <w:rsid w:val="00167184"/>
    <w:rsid w:val="001704D7"/>
    <w:rsid w:val="00170611"/>
    <w:rsid w:val="00170966"/>
    <w:rsid w:val="001718FB"/>
    <w:rsid w:val="00172331"/>
    <w:rsid w:val="0017263A"/>
    <w:rsid w:val="00172886"/>
    <w:rsid w:val="00172A27"/>
    <w:rsid w:val="00172C58"/>
    <w:rsid w:val="00176F3F"/>
    <w:rsid w:val="00177C8A"/>
    <w:rsid w:val="001804FF"/>
    <w:rsid w:val="00180545"/>
    <w:rsid w:val="0018105F"/>
    <w:rsid w:val="0018129E"/>
    <w:rsid w:val="00181DBF"/>
    <w:rsid w:val="00182113"/>
    <w:rsid w:val="00182E2E"/>
    <w:rsid w:val="001838C5"/>
    <w:rsid w:val="00184035"/>
    <w:rsid w:val="001854F2"/>
    <w:rsid w:val="00185BD8"/>
    <w:rsid w:val="001866D5"/>
    <w:rsid w:val="00186B12"/>
    <w:rsid w:val="00186E6C"/>
    <w:rsid w:val="00187434"/>
    <w:rsid w:val="001876E1"/>
    <w:rsid w:val="00190F5E"/>
    <w:rsid w:val="00193966"/>
    <w:rsid w:val="00193D68"/>
    <w:rsid w:val="001945B6"/>
    <w:rsid w:val="001948EE"/>
    <w:rsid w:val="00194D60"/>
    <w:rsid w:val="00195756"/>
    <w:rsid w:val="001959EA"/>
    <w:rsid w:val="00196499"/>
    <w:rsid w:val="001974F9"/>
    <w:rsid w:val="001A06DE"/>
    <w:rsid w:val="001A0796"/>
    <w:rsid w:val="001A0AEA"/>
    <w:rsid w:val="001A1A50"/>
    <w:rsid w:val="001A244C"/>
    <w:rsid w:val="001A3C89"/>
    <w:rsid w:val="001A40F1"/>
    <w:rsid w:val="001A4A71"/>
    <w:rsid w:val="001A4C57"/>
    <w:rsid w:val="001A634E"/>
    <w:rsid w:val="001A679F"/>
    <w:rsid w:val="001A6A9E"/>
    <w:rsid w:val="001A6C8B"/>
    <w:rsid w:val="001A746F"/>
    <w:rsid w:val="001B0908"/>
    <w:rsid w:val="001B0E9F"/>
    <w:rsid w:val="001B1F63"/>
    <w:rsid w:val="001B213E"/>
    <w:rsid w:val="001B26D5"/>
    <w:rsid w:val="001B3760"/>
    <w:rsid w:val="001B3E09"/>
    <w:rsid w:val="001B46BA"/>
    <w:rsid w:val="001B639C"/>
    <w:rsid w:val="001B660E"/>
    <w:rsid w:val="001B70A4"/>
    <w:rsid w:val="001B78DF"/>
    <w:rsid w:val="001B7EC9"/>
    <w:rsid w:val="001C015B"/>
    <w:rsid w:val="001C0B90"/>
    <w:rsid w:val="001C27AA"/>
    <w:rsid w:val="001C373C"/>
    <w:rsid w:val="001C45C0"/>
    <w:rsid w:val="001C4901"/>
    <w:rsid w:val="001C4BD5"/>
    <w:rsid w:val="001C4C75"/>
    <w:rsid w:val="001C57F3"/>
    <w:rsid w:val="001C6F56"/>
    <w:rsid w:val="001C789A"/>
    <w:rsid w:val="001D1076"/>
    <w:rsid w:val="001D1169"/>
    <w:rsid w:val="001D1C38"/>
    <w:rsid w:val="001D222A"/>
    <w:rsid w:val="001D49EC"/>
    <w:rsid w:val="001D7029"/>
    <w:rsid w:val="001E0561"/>
    <w:rsid w:val="001E0B4B"/>
    <w:rsid w:val="001E1018"/>
    <w:rsid w:val="001E10FB"/>
    <w:rsid w:val="001E1180"/>
    <w:rsid w:val="001E1407"/>
    <w:rsid w:val="001E30FC"/>
    <w:rsid w:val="001E34C1"/>
    <w:rsid w:val="001E36BE"/>
    <w:rsid w:val="001E3996"/>
    <w:rsid w:val="001E4E82"/>
    <w:rsid w:val="001E5A1E"/>
    <w:rsid w:val="001E636A"/>
    <w:rsid w:val="001E64AC"/>
    <w:rsid w:val="001E6518"/>
    <w:rsid w:val="001E6FAD"/>
    <w:rsid w:val="001E71B4"/>
    <w:rsid w:val="001F0DEB"/>
    <w:rsid w:val="001F1E69"/>
    <w:rsid w:val="001F307C"/>
    <w:rsid w:val="001F3BF6"/>
    <w:rsid w:val="001F3C24"/>
    <w:rsid w:val="001F5479"/>
    <w:rsid w:val="001F5638"/>
    <w:rsid w:val="001F59F1"/>
    <w:rsid w:val="00200008"/>
    <w:rsid w:val="0020010C"/>
    <w:rsid w:val="00202CA2"/>
    <w:rsid w:val="002040F5"/>
    <w:rsid w:val="002042A1"/>
    <w:rsid w:val="002050D1"/>
    <w:rsid w:val="00205169"/>
    <w:rsid w:val="00205327"/>
    <w:rsid w:val="002055D0"/>
    <w:rsid w:val="00205E05"/>
    <w:rsid w:val="00205EF5"/>
    <w:rsid w:val="0020606C"/>
    <w:rsid w:val="00206333"/>
    <w:rsid w:val="00206434"/>
    <w:rsid w:val="00206D1A"/>
    <w:rsid w:val="00207308"/>
    <w:rsid w:val="00210636"/>
    <w:rsid w:val="00210EE0"/>
    <w:rsid w:val="0021106F"/>
    <w:rsid w:val="002110BA"/>
    <w:rsid w:val="00212C15"/>
    <w:rsid w:val="00213103"/>
    <w:rsid w:val="002141A0"/>
    <w:rsid w:val="00214C1C"/>
    <w:rsid w:val="00214CCE"/>
    <w:rsid w:val="00215CE9"/>
    <w:rsid w:val="00216499"/>
    <w:rsid w:val="00216B09"/>
    <w:rsid w:val="002170EC"/>
    <w:rsid w:val="0022080F"/>
    <w:rsid w:val="00220DF6"/>
    <w:rsid w:val="002210F4"/>
    <w:rsid w:val="0022171B"/>
    <w:rsid w:val="00221A60"/>
    <w:rsid w:val="00221D62"/>
    <w:rsid w:val="00222674"/>
    <w:rsid w:val="00224F4C"/>
    <w:rsid w:val="00224FEF"/>
    <w:rsid w:val="0022605E"/>
    <w:rsid w:val="00226154"/>
    <w:rsid w:val="00226CD8"/>
    <w:rsid w:val="00226DDA"/>
    <w:rsid w:val="00227DF2"/>
    <w:rsid w:val="00227E1E"/>
    <w:rsid w:val="0023027F"/>
    <w:rsid w:val="002303B3"/>
    <w:rsid w:val="00230AD2"/>
    <w:rsid w:val="00230E19"/>
    <w:rsid w:val="0023276C"/>
    <w:rsid w:val="00232950"/>
    <w:rsid w:val="0023309B"/>
    <w:rsid w:val="0023374E"/>
    <w:rsid w:val="002337DC"/>
    <w:rsid w:val="00234DA0"/>
    <w:rsid w:val="00234F1C"/>
    <w:rsid w:val="002356E8"/>
    <w:rsid w:val="00235C78"/>
    <w:rsid w:val="0023629C"/>
    <w:rsid w:val="002367BC"/>
    <w:rsid w:val="00236DFD"/>
    <w:rsid w:val="00237C16"/>
    <w:rsid w:val="00237DC0"/>
    <w:rsid w:val="00237EDB"/>
    <w:rsid w:val="00240F0A"/>
    <w:rsid w:val="00242F84"/>
    <w:rsid w:val="00243771"/>
    <w:rsid w:val="00243B63"/>
    <w:rsid w:val="00243D0F"/>
    <w:rsid w:val="002440DB"/>
    <w:rsid w:val="002466DA"/>
    <w:rsid w:val="00246EA5"/>
    <w:rsid w:val="002474D2"/>
    <w:rsid w:val="00247E0E"/>
    <w:rsid w:val="00250D5D"/>
    <w:rsid w:val="0025173F"/>
    <w:rsid w:val="002522D8"/>
    <w:rsid w:val="0025236E"/>
    <w:rsid w:val="002529CE"/>
    <w:rsid w:val="00252E32"/>
    <w:rsid w:val="00254BBD"/>
    <w:rsid w:val="00255DB7"/>
    <w:rsid w:val="00255FC3"/>
    <w:rsid w:val="002565BE"/>
    <w:rsid w:val="0025685F"/>
    <w:rsid w:val="00257C77"/>
    <w:rsid w:val="00257D9F"/>
    <w:rsid w:val="0026031C"/>
    <w:rsid w:val="00261075"/>
    <w:rsid w:val="00261E8C"/>
    <w:rsid w:val="00262112"/>
    <w:rsid w:val="0026299A"/>
    <w:rsid w:val="00262A92"/>
    <w:rsid w:val="00262EFE"/>
    <w:rsid w:val="00263D8C"/>
    <w:rsid w:val="00265034"/>
    <w:rsid w:val="0026509F"/>
    <w:rsid w:val="00265206"/>
    <w:rsid w:val="00265724"/>
    <w:rsid w:val="00265F8E"/>
    <w:rsid w:val="00266443"/>
    <w:rsid w:val="00266B67"/>
    <w:rsid w:val="002671B0"/>
    <w:rsid w:val="00267EEF"/>
    <w:rsid w:val="00267F81"/>
    <w:rsid w:val="00270283"/>
    <w:rsid w:val="00272105"/>
    <w:rsid w:val="00272366"/>
    <w:rsid w:val="00273E98"/>
    <w:rsid w:val="002744E5"/>
    <w:rsid w:val="0027538B"/>
    <w:rsid w:val="00276197"/>
    <w:rsid w:val="0027777F"/>
    <w:rsid w:val="00280C59"/>
    <w:rsid w:val="00280DB0"/>
    <w:rsid w:val="0028106F"/>
    <w:rsid w:val="00282B37"/>
    <w:rsid w:val="00282BC5"/>
    <w:rsid w:val="00282C1A"/>
    <w:rsid w:val="002830E7"/>
    <w:rsid w:val="00285AEB"/>
    <w:rsid w:val="00286418"/>
    <w:rsid w:val="00286BD3"/>
    <w:rsid w:val="00287067"/>
    <w:rsid w:val="002872C6"/>
    <w:rsid w:val="00287DB2"/>
    <w:rsid w:val="00287DBA"/>
    <w:rsid w:val="0029008B"/>
    <w:rsid w:val="002903A5"/>
    <w:rsid w:val="002905CE"/>
    <w:rsid w:val="00291502"/>
    <w:rsid w:val="00291ED1"/>
    <w:rsid w:val="002938F6"/>
    <w:rsid w:val="00293992"/>
    <w:rsid w:val="00293FA3"/>
    <w:rsid w:val="00294EC9"/>
    <w:rsid w:val="002962D3"/>
    <w:rsid w:val="002965FC"/>
    <w:rsid w:val="00296B74"/>
    <w:rsid w:val="00296EEF"/>
    <w:rsid w:val="00297440"/>
    <w:rsid w:val="002A05B9"/>
    <w:rsid w:val="002A0CD7"/>
    <w:rsid w:val="002A0FB4"/>
    <w:rsid w:val="002A193F"/>
    <w:rsid w:val="002A313F"/>
    <w:rsid w:val="002A3E79"/>
    <w:rsid w:val="002A3F73"/>
    <w:rsid w:val="002A4AB9"/>
    <w:rsid w:val="002A4E82"/>
    <w:rsid w:val="002A50A9"/>
    <w:rsid w:val="002A72CE"/>
    <w:rsid w:val="002B166C"/>
    <w:rsid w:val="002B2070"/>
    <w:rsid w:val="002B2BAD"/>
    <w:rsid w:val="002B3396"/>
    <w:rsid w:val="002B4337"/>
    <w:rsid w:val="002B44DB"/>
    <w:rsid w:val="002B4806"/>
    <w:rsid w:val="002B4812"/>
    <w:rsid w:val="002B4F9C"/>
    <w:rsid w:val="002B5ADA"/>
    <w:rsid w:val="002B6163"/>
    <w:rsid w:val="002B6299"/>
    <w:rsid w:val="002B734A"/>
    <w:rsid w:val="002B7CE4"/>
    <w:rsid w:val="002C0290"/>
    <w:rsid w:val="002C0639"/>
    <w:rsid w:val="002C06B5"/>
    <w:rsid w:val="002C0E06"/>
    <w:rsid w:val="002C1DEF"/>
    <w:rsid w:val="002C34BA"/>
    <w:rsid w:val="002C5054"/>
    <w:rsid w:val="002C5C05"/>
    <w:rsid w:val="002C6B88"/>
    <w:rsid w:val="002C6C6D"/>
    <w:rsid w:val="002C79CD"/>
    <w:rsid w:val="002D028D"/>
    <w:rsid w:val="002D05AD"/>
    <w:rsid w:val="002D0828"/>
    <w:rsid w:val="002D100F"/>
    <w:rsid w:val="002D1C6D"/>
    <w:rsid w:val="002D2C8A"/>
    <w:rsid w:val="002D3349"/>
    <w:rsid w:val="002D38A2"/>
    <w:rsid w:val="002D390D"/>
    <w:rsid w:val="002D3AAC"/>
    <w:rsid w:val="002D4031"/>
    <w:rsid w:val="002D47D2"/>
    <w:rsid w:val="002D492E"/>
    <w:rsid w:val="002D4C67"/>
    <w:rsid w:val="002D5C2B"/>
    <w:rsid w:val="002D663F"/>
    <w:rsid w:val="002D7368"/>
    <w:rsid w:val="002D760B"/>
    <w:rsid w:val="002E0D22"/>
    <w:rsid w:val="002E232D"/>
    <w:rsid w:val="002E3E18"/>
    <w:rsid w:val="002E3FBA"/>
    <w:rsid w:val="002E409A"/>
    <w:rsid w:val="002E5224"/>
    <w:rsid w:val="002E532E"/>
    <w:rsid w:val="002E5335"/>
    <w:rsid w:val="002E6683"/>
    <w:rsid w:val="002E7312"/>
    <w:rsid w:val="002E7355"/>
    <w:rsid w:val="002E757B"/>
    <w:rsid w:val="002F0061"/>
    <w:rsid w:val="002F0492"/>
    <w:rsid w:val="002F05D4"/>
    <w:rsid w:val="002F222A"/>
    <w:rsid w:val="002F232E"/>
    <w:rsid w:val="002F31DF"/>
    <w:rsid w:val="002F3BE1"/>
    <w:rsid w:val="002F3EAE"/>
    <w:rsid w:val="002F43D6"/>
    <w:rsid w:val="002F4F02"/>
    <w:rsid w:val="002F5DCA"/>
    <w:rsid w:val="002F6A16"/>
    <w:rsid w:val="002F6BC1"/>
    <w:rsid w:val="002F75C5"/>
    <w:rsid w:val="0030021B"/>
    <w:rsid w:val="00301186"/>
    <w:rsid w:val="00301C78"/>
    <w:rsid w:val="00301DEC"/>
    <w:rsid w:val="00301F6B"/>
    <w:rsid w:val="00301F7D"/>
    <w:rsid w:val="003026D1"/>
    <w:rsid w:val="00302745"/>
    <w:rsid w:val="00304D8E"/>
    <w:rsid w:val="003051CE"/>
    <w:rsid w:val="0030677A"/>
    <w:rsid w:val="00310FA9"/>
    <w:rsid w:val="0031100D"/>
    <w:rsid w:val="00311022"/>
    <w:rsid w:val="003111B6"/>
    <w:rsid w:val="00311981"/>
    <w:rsid w:val="003133B5"/>
    <w:rsid w:val="00313470"/>
    <w:rsid w:val="003138F2"/>
    <w:rsid w:val="00313A4A"/>
    <w:rsid w:val="003146CA"/>
    <w:rsid w:val="00314C16"/>
    <w:rsid w:val="00315F0A"/>
    <w:rsid w:val="00316337"/>
    <w:rsid w:val="0031658F"/>
    <w:rsid w:val="00316715"/>
    <w:rsid w:val="00316781"/>
    <w:rsid w:val="003168EF"/>
    <w:rsid w:val="00317073"/>
    <w:rsid w:val="003177C3"/>
    <w:rsid w:val="00317C37"/>
    <w:rsid w:val="0032046F"/>
    <w:rsid w:val="00320BFE"/>
    <w:rsid w:val="00320C2B"/>
    <w:rsid w:val="00321CF0"/>
    <w:rsid w:val="0032565C"/>
    <w:rsid w:val="003257F1"/>
    <w:rsid w:val="00326A73"/>
    <w:rsid w:val="00326AD5"/>
    <w:rsid w:val="00326B64"/>
    <w:rsid w:val="00327ED4"/>
    <w:rsid w:val="003304E2"/>
    <w:rsid w:val="00330D5C"/>
    <w:rsid w:val="00331A0F"/>
    <w:rsid w:val="00332022"/>
    <w:rsid w:val="00332473"/>
    <w:rsid w:val="00334316"/>
    <w:rsid w:val="003345CB"/>
    <w:rsid w:val="0033467A"/>
    <w:rsid w:val="003353B7"/>
    <w:rsid w:val="0033621D"/>
    <w:rsid w:val="003365B8"/>
    <w:rsid w:val="003367EA"/>
    <w:rsid w:val="00336DF8"/>
    <w:rsid w:val="003407D5"/>
    <w:rsid w:val="003410AE"/>
    <w:rsid w:val="003413CD"/>
    <w:rsid w:val="00341E24"/>
    <w:rsid w:val="00342415"/>
    <w:rsid w:val="00342F29"/>
    <w:rsid w:val="00343410"/>
    <w:rsid w:val="003440C2"/>
    <w:rsid w:val="00344A3B"/>
    <w:rsid w:val="00344B97"/>
    <w:rsid w:val="00345311"/>
    <w:rsid w:val="00345715"/>
    <w:rsid w:val="00345C87"/>
    <w:rsid w:val="003476D4"/>
    <w:rsid w:val="00350C2C"/>
    <w:rsid w:val="003527B1"/>
    <w:rsid w:val="00354C08"/>
    <w:rsid w:val="0035564A"/>
    <w:rsid w:val="00356058"/>
    <w:rsid w:val="00356718"/>
    <w:rsid w:val="00356FE5"/>
    <w:rsid w:val="003604FB"/>
    <w:rsid w:val="0036143D"/>
    <w:rsid w:val="00361F2F"/>
    <w:rsid w:val="00362829"/>
    <w:rsid w:val="00363ABF"/>
    <w:rsid w:val="003658CC"/>
    <w:rsid w:val="003662C9"/>
    <w:rsid w:val="00366496"/>
    <w:rsid w:val="00367655"/>
    <w:rsid w:val="00370683"/>
    <w:rsid w:val="00370CD1"/>
    <w:rsid w:val="00371137"/>
    <w:rsid w:val="00371B6F"/>
    <w:rsid w:val="00371E9B"/>
    <w:rsid w:val="003740CB"/>
    <w:rsid w:val="003740D0"/>
    <w:rsid w:val="0037434C"/>
    <w:rsid w:val="003752F5"/>
    <w:rsid w:val="00376B95"/>
    <w:rsid w:val="0037753B"/>
    <w:rsid w:val="003777D4"/>
    <w:rsid w:val="00377DA7"/>
    <w:rsid w:val="00380E8F"/>
    <w:rsid w:val="0038128B"/>
    <w:rsid w:val="003814EA"/>
    <w:rsid w:val="00382861"/>
    <w:rsid w:val="00382FA9"/>
    <w:rsid w:val="003836D4"/>
    <w:rsid w:val="00384E94"/>
    <w:rsid w:val="003857EC"/>
    <w:rsid w:val="0038714D"/>
    <w:rsid w:val="0038735D"/>
    <w:rsid w:val="00387564"/>
    <w:rsid w:val="00387D14"/>
    <w:rsid w:val="003900BC"/>
    <w:rsid w:val="003909E4"/>
    <w:rsid w:val="00391BB3"/>
    <w:rsid w:val="00392051"/>
    <w:rsid w:val="003927E2"/>
    <w:rsid w:val="00392F6E"/>
    <w:rsid w:val="003930C0"/>
    <w:rsid w:val="003933A9"/>
    <w:rsid w:val="00393CA4"/>
    <w:rsid w:val="00393F93"/>
    <w:rsid w:val="00394FE0"/>
    <w:rsid w:val="0039555E"/>
    <w:rsid w:val="003963A8"/>
    <w:rsid w:val="003964F2"/>
    <w:rsid w:val="0039658C"/>
    <w:rsid w:val="00397272"/>
    <w:rsid w:val="00397EE5"/>
    <w:rsid w:val="003A08A3"/>
    <w:rsid w:val="003A1FDE"/>
    <w:rsid w:val="003A210E"/>
    <w:rsid w:val="003A3A00"/>
    <w:rsid w:val="003A489A"/>
    <w:rsid w:val="003A527D"/>
    <w:rsid w:val="003A6C87"/>
    <w:rsid w:val="003A7070"/>
    <w:rsid w:val="003A75D8"/>
    <w:rsid w:val="003A7BA2"/>
    <w:rsid w:val="003B0EC7"/>
    <w:rsid w:val="003B1F17"/>
    <w:rsid w:val="003B21C2"/>
    <w:rsid w:val="003B3060"/>
    <w:rsid w:val="003B30F2"/>
    <w:rsid w:val="003B4DCA"/>
    <w:rsid w:val="003B517F"/>
    <w:rsid w:val="003B5383"/>
    <w:rsid w:val="003B6E50"/>
    <w:rsid w:val="003B776F"/>
    <w:rsid w:val="003B7DE0"/>
    <w:rsid w:val="003C016F"/>
    <w:rsid w:val="003C0D2D"/>
    <w:rsid w:val="003C28E6"/>
    <w:rsid w:val="003C32B9"/>
    <w:rsid w:val="003C49FD"/>
    <w:rsid w:val="003C5860"/>
    <w:rsid w:val="003C58D0"/>
    <w:rsid w:val="003C61C7"/>
    <w:rsid w:val="003C6DBA"/>
    <w:rsid w:val="003C711F"/>
    <w:rsid w:val="003C7C52"/>
    <w:rsid w:val="003D0449"/>
    <w:rsid w:val="003D05CB"/>
    <w:rsid w:val="003D0836"/>
    <w:rsid w:val="003D0884"/>
    <w:rsid w:val="003D0F33"/>
    <w:rsid w:val="003D24B8"/>
    <w:rsid w:val="003D2F2F"/>
    <w:rsid w:val="003D365C"/>
    <w:rsid w:val="003D3768"/>
    <w:rsid w:val="003D3BD1"/>
    <w:rsid w:val="003D3CC6"/>
    <w:rsid w:val="003D3F33"/>
    <w:rsid w:val="003D51CA"/>
    <w:rsid w:val="003D5A61"/>
    <w:rsid w:val="003D5E07"/>
    <w:rsid w:val="003D5EDF"/>
    <w:rsid w:val="003D665E"/>
    <w:rsid w:val="003D6E3A"/>
    <w:rsid w:val="003D7004"/>
    <w:rsid w:val="003D7290"/>
    <w:rsid w:val="003D74F5"/>
    <w:rsid w:val="003D7F8E"/>
    <w:rsid w:val="003E156C"/>
    <w:rsid w:val="003E171F"/>
    <w:rsid w:val="003E3495"/>
    <w:rsid w:val="003E5220"/>
    <w:rsid w:val="003E5828"/>
    <w:rsid w:val="003E7500"/>
    <w:rsid w:val="003E78AE"/>
    <w:rsid w:val="003E7B9C"/>
    <w:rsid w:val="003E7C07"/>
    <w:rsid w:val="003F2AC7"/>
    <w:rsid w:val="003F3A2B"/>
    <w:rsid w:val="003F46C1"/>
    <w:rsid w:val="003F4A34"/>
    <w:rsid w:val="003F6CF5"/>
    <w:rsid w:val="003F7CC8"/>
    <w:rsid w:val="003F7D89"/>
    <w:rsid w:val="00400FF5"/>
    <w:rsid w:val="004021B9"/>
    <w:rsid w:val="004029A5"/>
    <w:rsid w:val="00402A03"/>
    <w:rsid w:val="00402B5D"/>
    <w:rsid w:val="00403CCA"/>
    <w:rsid w:val="004051E8"/>
    <w:rsid w:val="00405430"/>
    <w:rsid w:val="00405E31"/>
    <w:rsid w:val="00405FD6"/>
    <w:rsid w:val="0041069A"/>
    <w:rsid w:val="00412091"/>
    <w:rsid w:val="004124A4"/>
    <w:rsid w:val="00413393"/>
    <w:rsid w:val="0041363D"/>
    <w:rsid w:val="00413910"/>
    <w:rsid w:val="00414E1E"/>
    <w:rsid w:val="00414F2D"/>
    <w:rsid w:val="00415168"/>
    <w:rsid w:val="00416216"/>
    <w:rsid w:val="0041650F"/>
    <w:rsid w:val="00416C70"/>
    <w:rsid w:val="00416DAA"/>
    <w:rsid w:val="004171C7"/>
    <w:rsid w:val="004206AE"/>
    <w:rsid w:val="00420EA9"/>
    <w:rsid w:val="004216AE"/>
    <w:rsid w:val="00421892"/>
    <w:rsid w:val="00421D5B"/>
    <w:rsid w:val="0042205F"/>
    <w:rsid w:val="00422F0C"/>
    <w:rsid w:val="00422FDA"/>
    <w:rsid w:val="004250AC"/>
    <w:rsid w:val="0042513E"/>
    <w:rsid w:val="004257D8"/>
    <w:rsid w:val="00426624"/>
    <w:rsid w:val="004300EA"/>
    <w:rsid w:val="00430793"/>
    <w:rsid w:val="004307BC"/>
    <w:rsid w:val="00430EA5"/>
    <w:rsid w:val="00430F74"/>
    <w:rsid w:val="00431203"/>
    <w:rsid w:val="0043146B"/>
    <w:rsid w:val="00431D9E"/>
    <w:rsid w:val="0043344E"/>
    <w:rsid w:val="0043388F"/>
    <w:rsid w:val="00434EF2"/>
    <w:rsid w:val="00435A9D"/>
    <w:rsid w:val="004367E1"/>
    <w:rsid w:val="004431FF"/>
    <w:rsid w:val="004432B1"/>
    <w:rsid w:val="0044444B"/>
    <w:rsid w:val="0044583F"/>
    <w:rsid w:val="0044687B"/>
    <w:rsid w:val="00446D08"/>
    <w:rsid w:val="0044750C"/>
    <w:rsid w:val="00447D64"/>
    <w:rsid w:val="004516EC"/>
    <w:rsid w:val="004523FC"/>
    <w:rsid w:val="0045245C"/>
    <w:rsid w:val="00452D7B"/>
    <w:rsid w:val="0045381A"/>
    <w:rsid w:val="00453E5F"/>
    <w:rsid w:val="0045407E"/>
    <w:rsid w:val="0045426C"/>
    <w:rsid w:val="004547AA"/>
    <w:rsid w:val="00455B1A"/>
    <w:rsid w:val="0045649F"/>
    <w:rsid w:val="00460291"/>
    <w:rsid w:val="004613B9"/>
    <w:rsid w:val="004622E4"/>
    <w:rsid w:val="00463622"/>
    <w:rsid w:val="00463B97"/>
    <w:rsid w:val="00463E11"/>
    <w:rsid w:val="00464895"/>
    <w:rsid w:val="00464B06"/>
    <w:rsid w:val="004652A2"/>
    <w:rsid w:val="0046570E"/>
    <w:rsid w:val="00465F01"/>
    <w:rsid w:val="0046714E"/>
    <w:rsid w:val="00467720"/>
    <w:rsid w:val="00467F5E"/>
    <w:rsid w:val="00470CDA"/>
    <w:rsid w:val="00472A5A"/>
    <w:rsid w:val="00472EED"/>
    <w:rsid w:val="00474117"/>
    <w:rsid w:val="00474894"/>
    <w:rsid w:val="00474A53"/>
    <w:rsid w:val="004753E4"/>
    <w:rsid w:val="004756BA"/>
    <w:rsid w:val="00476EBD"/>
    <w:rsid w:val="004773AE"/>
    <w:rsid w:val="00477D10"/>
    <w:rsid w:val="004800B1"/>
    <w:rsid w:val="00480788"/>
    <w:rsid w:val="0048111F"/>
    <w:rsid w:val="00481283"/>
    <w:rsid w:val="00481AB0"/>
    <w:rsid w:val="00482316"/>
    <w:rsid w:val="00482B99"/>
    <w:rsid w:val="00482ECF"/>
    <w:rsid w:val="0048344F"/>
    <w:rsid w:val="004836B6"/>
    <w:rsid w:val="00483B95"/>
    <w:rsid w:val="00484405"/>
    <w:rsid w:val="004876D6"/>
    <w:rsid w:val="00487733"/>
    <w:rsid w:val="0049002E"/>
    <w:rsid w:val="00491917"/>
    <w:rsid w:val="00491A45"/>
    <w:rsid w:val="00491ED0"/>
    <w:rsid w:val="00491FC7"/>
    <w:rsid w:val="00492178"/>
    <w:rsid w:val="00492EBC"/>
    <w:rsid w:val="00493108"/>
    <w:rsid w:val="004933C2"/>
    <w:rsid w:val="004934A3"/>
    <w:rsid w:val="00493603"/>
    <w:rsid w:val="00493D61"/>
    <w:rsid w:val="0049444D"/>
    <w:rsid w:val="0049451F"/>
    <w:rsid w:val="00494D68"/>
    <w:rsid w:val="00495D58"/>
    <w:rsid w:val="0049613C"/>
    <w:rsid w:val="00497345"/>
    <w:rsid w:val="00497624"/>
    <w:rsid w:val="00497A51"/>
    <w:rsid w:val="00497C33"/>
    <w:rsid w:val="004A0BA7"/>
    <w:rsid w:val="004A1234"/>
    <w:rsid w:val="004A1805"/>
    <w:rsid w:val="004A188C"/>
    <w:rsid w:val="004A1BB5"/>
    <w:rsid w:val="004A22F0"/>
    <w:rsid w:val="004A2328"/>
    <w:rsid w:val="004A2BA3"/>
    <w:rsid w:val="004A3253"/>
    <w:rsid w:val="004A513F"/>
    <w:rsid w:val="004A5352"/>
    <w:rsid w:val="004A5A0C"/>
    <w:rsid w:val="004A6132"/>
    <w:rsid w:val="004A6A98"/>
    <w:rsid w:val="004A6E58"/>
    <w:rsid w:val="004A74E4"/>
    <w:rsid w:val="004A7EE5"/>
    <w:rsid w:val="004B01BB"/>
    <w:rsid w:val="004B3264"/>
    <w:rsid w:val="004B359E"/>
    <w:rsid w:val="004B37B5"/>
    <w:rsid w:val="004B397F"/>
    <w:rsid w:val="004B42DD"/>
    <w:rsid w:val="004B42E9"/>
    <w:rsid w:val="004B53DF"/>
    <w:rsid w:val="004B5D40"/>
    <w:rsid w:val="004B7D6D"/>
    <w:rsid w:val="004C0290"/>
    <w:rsid w:val="004C06A1"/>
    <w:rsid w:val="004C08EB"/>
    <w:rsid w:val="004C1359"/>
    <w:rsid w:val="004C1FA6"/>
    <w:rsid w:val="004C2D7A"/>
    <w:rsid w:val="004C33D3"/>
    <w:rsid w:val="004C341B"/>
    <w:rsid w:val="004C370B"/>
    <w:rsid w:val="004C38D4"/>
    <w:rsid w:val="004C40B7"/>
    <w:rsid w:val="004C421E"/>
    <w:rsid w:val="004C42F5"/>
    <w:rsid w:val="004C48AE"/>
    <w:rsid w:val="004C5838"/>
    <w:rsid w:val="004C64B0"/>
    <w:rsid w:val="004C675E"/>
    <w:rsid w:val="004D06E4"/>
    <w:rsid w:val="004D0D21"/>
    <w:rsid w:val="004D0F08"/>
    <w:rsid w:val="004D15BC"/>
    <w:rsid w:val="004D1634"/>
    <w:rsid w:val="004D1D77"/>
    <w:rsid w:val="004D3AA5"/>
    <w:rsid w:val="004D3EBC"/>
    <w:rsid w:val="004D4284"/>
    <w:rsid w:val="004D593A"/>
    <w:rsid w:val="004D6E0C"/>
    <w:rsid w:val="004D7962"/>
    <w:rsid w:val="004E0256"/>
    <w:rsid w:val="004E0428"/>
    <w:rsid w:val="004E0A55"/>
    <w:rsid w:val="004E149A"/>
    <w:rsid w:val="004E1D82"/>
    <w:rsid w:val="004E2C85"/>
    <w:rsid w:val="004E2F03"/>
    <w:rsid w:val="004E3A17"/>
    <w:rsid w:val="004E3D7B"/>
    <w:rsid w:val="004E401E"/>
    <w:rsid w:val="004E43B8"/>
    <w:rsid w:val="004E59BF"/>
    <w:rsid w:val="004E630E"/>
    <w:rsid w:val="004E7E63"/>
    <w:rsid w:val="004F1947"/>
    <w:rsid w:val="004F1D9B"/>
    <w:rsid w:val="004F294B"/>
    <w:rsid w:val="004F2FB5"/>
    <w:rsid w:val="004F4032"/>
    <w:rsid w:val="004F49B7"/>
    <w:rsid w:val="004F622C"/>
    <w:rsid w:val="004F7DB2"/>
    <w:rsid w:val="0050017E"/>
    <w:rsid w:val="005006B9"/>
    <w:rsid w:val="00500B57"/>
    <w:rsid w:val="005014A4"/>
    <w:rsid w:val="00502194"/>
    <w:rsid w:val="005022E0"/>
    <w:rsid w:val="00503307"/>
    <w:rsid w:val="00503373"/>
    <w:rsid w:val="005042F1"/>
    <w:rsid w:val="00504388"/>
    <w:rsid w:val="005043A2"/>
    <w:rsid w:val="00504C67"/>
    <w:rsid w:val="00505B9B"/>
    <w:rsid w:val="0050671C"/>
    <w:rsid w:val="00506F92"/>
    <w:rsid w:val="00507558"/>
    <w:rsid w:val="0050792B"/>
    <w:rsid w:val="00507A1D"/>
    <w:rsid w:val="00510402"/>
    <w:rsid w:val="00510F24"/>
    <w:rsid w:val="0051165A"/>
    <w:rsid w:val="00511F81"/>
    <w:rsid w:val="0051258B"/>
    <w:rsid w:val="005125BC"/>
    <w:rsid w:val="0051397F"/>
    <w:rsid w:val="005141FF"/>
    <w:rsid w:val="00514253"/>
    <w:rsid w:val="0051469E"/>
    <w:rsid w:val="0051481F"/>
    <w:rsid w:val="00515C7B"/>
    <w:rsid w:val="00516BA7"/>
    <w:rsid w:val="00516FE8"/>
    <w:rsid w:val="00521142"/>
    <w:rsid w:val="0052313A"/>
    <w:rsid w:val="00525072"/>
    <w:rsid w:val="00525DC1"/>
    <w:rsid w:val="00526278"/>
    <w:rsid w:val="00526440"/>
    <w:rsid w:val="00526960"/>
    <w:rsid w:val="00527EE6"/>
    <w:rsid w:val="005300C3"/>
    <w:rsid w:val="005304A8"/>
    <w:rsid w:val="005304F6"/>
    <w:rsid w:val="00530645"/>
    <w:rsid w:val="00530719"/>
    <w:rsid w:val="005307D8"/>
    <w:rsid w:val="00530998"/>
    <w:rsid w:val="00531209"/>
    <w:rsid w:val="00531ECB"/>
    <w:rsid w:val="00532939"/>
    <w:rsid w:val="00532D55"/>
    <w:rsid w:val="00532FCD"/>
    <w:rsid w:val="00534467"/>
    <w:rsid w:val="00534572"/>
    <w:rsid w:val="00534D3E"/>
    <w:rsid w:val="0053535E"/>
    <w:rsid w:val="00535C2A"/>
    <w:rsid w:val="00535E16"/>
    <w:rsid w:val="00536078"/>
    <w:rsid w:val="00536EEC"/>
    <w:rsid w:val="005407D0"/>
    <w:rsid w:val="005418F9"/>
    <w:rsid w:val="005426E5"/>
    <w:rsid w:val="00543DB3"/>
    <w:rsid w:val="005443F5"/>
    <w:rsid w:val="00544561"/>
    <w:rsid w:val="005449D4"/>
    <w:rsid w:val="00545F37"/>
    <w:rsid w:val="00546A8E"/>
    <w:rsid w:val="0054737E"/>
    <w:rsid w:val="005515F9"/>
    <w:rsid w:val="00551BEC"/>
    <w:rsid w:val="00552DB3"/>
    <w:rsid w:val="005530C6"/>
    <w:rsid w:val="00553D32"/>
    <w:rsid w:val="00554DEC"/>
    <w:rsid w:val="00555989"/>
    <w:rsid w:val="00556643"/>
    <w:rsid w:val="00557545"/>
    <w:rsid w:val="005579C6"/>
    <w:rsid w:val="00557A2D"/>
    <w:rsid w:val="00557E81"/>
    <w:rsid w:val="0056208B"/>
    <w:rsid w:val="00562423"/>
    <w:rsid w:val="005630B7"/>
    <w:rsid w:val="00563F06"/>
    <w:rsid w:val="00563FAC"/>
    <w:rsid w:val="00564232"/>
    <w:rsid w:val="00564BCD"/>
    <w:rsid w:val="00564DC8"/>
    <w:rsid w:val="00565052"/>
    <w:rsid w:val="00565231"/>
    <w:rsid w:val="005654EA"/>
    <w:rsid w:val="005658CA"/>
    <w:rsid w:val="00566390"/>
    <w:rsid w:val="005665D5"/>
    <w:rsid w:val="00567208"/>
    <w:rsid w:val="005701DF"/>
    <w:rsid w:val="00570C0C"/>
    <w:rsid w:val="00570D0B"/>
    <w:rsid w:val="00570EC0"/>
    <w:rsid w:val="00572A6C"/>
    <w:rsid w:val="00573949"/>
    <w:rsid w:val="005745F1"/>
    <w:rsid w:val="00574B74"/>
    <w:rsid w:val="00574DAF"/>
    <w:rsid w:val="00576D46"/>
    <w:rsid w:val="005773D3"/>
    <w:rsid w:val="00577EC4"/>
    <w:rsid w:val="005808B8"/>
    <w:rsid w:val="00580D7D"/>
    <w:rsid w:val="00581707"/>
    <w:rsid w:val="00581B23"/>
    <w:rsid w:val="00581E3A"/>
    <w:rsid w:val="00581EAB"/>
    <w:rsid w:val="0058235E"/>
    <w:rsid w:val="005823C2"/>
    <w:rsid w:val="00582AE9"/>
    <w:rsid w:val="00582CFB"/>
    <w:rsid w:val="00583893"/>
    <w:rsid w:val="00583EF6"/>
    <w:rsid w:val="005851D8"/>
    <w:rsid w:val="00585D20"/>
    <w:rsid w:val="005879BF"/>
    <w:rsid w:val="00587AF8"/>
    <w:rsid w:val="00587FE1"/>
    <w:rsid w:val="0059059C"/>
    <w:rsid w:val="005906AF"/>
    <w:rsid w:val="0059195D"/>
    <w:rsid w:val="00592091"/>
    <w:rsid w:val="005945A3"/>
    <w:rsid w:val="0059498A"/>
    <w:rsid w:val="00594C84"/>
    <w:rsid w:val="00594DE6"/>
    <w:rsid w:val="0059659A"/>
    <w:rsid w:val="00596790"/>
    <w:rsid w:val="00596A94"/>
    <w:rsid w:val="005A027B"/>
    <w:rsid w:val="005A0FA4"/>
    <w:rsid w:val="005A198A"/>
    <w:rsid w:val="005A2237"/>
    <w:rsid w:val="005A23BC"/>
    <w:rsid w:val="005A39DA"/>
    <w:rsid w:val="005A3F19"/>
    <w:rsid w:val="005A40D4"/>
    <w:rsid w:val="005A656F"/>
    <w:rsid w:val="005B04C2"/>
    <w:rsid w:val="005B0BBB"/>
    <w:rsid w:val="005B0DF3"/>
    <w:rsid w:val="005B1F20"/>
    <w:rsid w:val="005B249B"/>
    <w:rsid w:val="005B41EB"/>
    <w:rsid w:val="005B49E6"/>
    <w:rsid w:val="005B5403"/>
    <w:rsid w:val="005B58E0"/>
    <w:rsid w:val="005B6496"/>
    <w:rsid w:val="005B694C"/>
    <w:rsid w:val="005B6B9E"/>
    <w:rsid w:val="005B6E67"/>
    <w:rsid w:val="005B6E9D"/>
    <w:rsid w:val="005B751F"/>
    <w:rsid w:val="005B7BF8"/>
    <w:rsid w:val="005C07A8"/>
    <w:rsid w:val="005C1321"/>
    <w:rsid w:val="005C1816"/>
    <w:rsid w:val="005C1F2E"/>
    <w:rsid w:val="005C4D0A"/>
    <w:rsid w:val="005C5028"/>
    <w:rsid w:val="005C5A63"/>
    <w:rsid w:val="005D0FCF"/>
    <w:rsid w:val="005D3B57"/>
    <w:rsid w:val="005D4066"/>
    <w:rsid w:val="005D40DC"/>
    <w:rsid w:val="005D5554"/>
    <w:rsid w:val="005D5D5E"/>
    <w:rsid w:val="005D6326"/>
    <w:rsid w:val="005D71D8"/>
    <w:rsid w:val="005D72E8"/>
    <w:rsid w:val="005E06E5"/>
    <w:rsid w:val="005E2CB3"/>
    <w:rsid w:val="005E2CFE"/>
    <w:rsid w:val="005E34AD"/>
    <w:rsid w:val="005E3A6C"/>
    <w:rsid w:val="005E3CCF"/>
    <w:rsid w:val="005E4B16"/>
    <w:rsid w:val="005E4BBA"/>
    <w:rsid w:val="005E4BCE"/>
    <w:rsid w:val="005F1CFF"/>
    <w:rsid w:val="005F2050"/>
    <w:rsid w:val="005F20EE"/>
    <w:rsid w:val="005F2BBC"/>
    <w:rsid w:val="005F2C2A"/>
    <w:rsid w:val="005F2E6B"/>
    <w:rsid w:val="005F5421"/>
    <w:rsid w:val="005F5533"/>
    <w:rsid w:val="005F574C"/>
    <w:rsid w:val="005F6247"/>
    <w:rsid w:val="005F6817"/>
    <w:rsid w:val="00600E75"/>
    <w:rsid w:val="00601A71"/>
    <w:rsid w:val="00601A8D"/>
    <w:rsid w:val="00601F9F"/>
    <w:rsid w:val="00602ADA"/>
    <w:rsid w:val="00602EA6"/>
    <w:rsid w:val="00602EE5"/>
    <w:rsid w:val="00603278"/>
    <w:rsid w:val="006032D6"/>
    <w:rsid w:val="00604440"/>
    <w:rsid w:val="006045C3"/>
    <w:rsid w:val="00605251"/>
    <w:rsid w:val="006055CF"/>
    <w:rsid w:val="00605B5C"/>
    <w:rsid w:val="00605C29"/>
    <w:rsid w:val="00605C5A"/>
    <w:rsid w:val="00605FEF"/>
    <w:rsid w:val="00611504"/>
    <w:rsid w:val="00611BE7"/>
    <w:rsid w:val="00613509"/>
    <w:rsid w:val="00613E29"/>
    <w:rsid w:val="00614E6E"/>
    <w:rsid w:val="006159E5"/>
    <w:rsid w:val="00615F4C"/>
    <w:rsid w:val="006162D7"/>
    <w:rsid w:val="00616A88"/>
    <w:rsid w:val="00616CD1"/>
    <w:rsid w:val="00616D3C"/>
    <w:rsid w:val="0061737C"/>
    <w:rsid w:val="00621012"/>
    <w:rsid w:val="00621E44"/>
    <w:rsid w:val="006221B0"/>
    <w:rsid w:val="006230E9"/>
    <w:rsid w:val="006238FB"/>
    <w:rsid w:val="00623A22"/>
    <w:rsid w:val="00624B4E"/>
    <w:rsid w:val="00624B7C"/>
    <w:rsid w:val="00625041"/>
    <w:rsid w:val="006253C2"/>
    <w:rsid w:val="006255D1"/>
    <w:rsid w:val="00625816"/>
    <w:rsid w:val="00630009"/>
    <w:rsid w:val="0063145C"/>
    <w:rsid w:val="00632004"/>
    <w:rsid w:val="0063264D"/>
    <w:rsid w:val="0063275A"/>
    <w:rsid w:val="006333EC"/>
    <w:rsid w:val="00633CDE"/>
    <w:rsid w:val="00634D57"/>
    <w:rsid w:val="006359CB"/>
    <w:rsid w:val="00637B56"/>
    <w:rsid w:val="00637EE2"/>
    <w:rsid w:val="006404BF"/>
    <w:rsid w:val="006427E9"/>
    <w:rsid w:val="00642C56"/>
    <w:rsid w:val="0064316D"/>
    <w:rsid w:val="00644936"/>
    <w:rsid w:val="00644B26"/>
    <w:rsid w:val="00644BD0"/>
    <w:rsid w:val="006452BA"/>
    <w:rsid w:val="00645308"/>
    <w:rsid w:val="0064573A"/>
    <w:rsid w:val="0064589B"/>
    <w:rsid w:val="00646E49"/>
    <w:rsid w:val="00650822"/>
    <w:rsid w:val="0065123E"/>
    <w:rsid w:val="006512C1"/>
    <w:rsid w:val="00651972"/>
    <w:rsid w:val="00652AF1"/>
    <w:rsid w:val="00652B4E"/>
    <w:rsid w:val="00652C95"/>
    <w:rsid w:val="006538E7"/>
    <w:rsid w:val="00653A0E"/>
    <w:rsid w:val="00653C24"/>
    <w:rsid w:val="00655237"/>
    <w:rsid w:val="006557EE"/>
    <w:rsid w:val="006562F8"/>
    <w:rsid w:val="006564C8"/>
    <w:rsid w:val="006569F9"/>
    <w:rsid w:val="0066054D"/>
    <w:rsid w:val="00660F8F"/>
    <w:rsid w:val="00661133"/>
    <w:rsid w:val="00661510"/>
    <w:rsid w:val="006618B5"/>
    <w:rsid w:val="00661AB9"/>
    <w:rsid w:val="00661D88"/>
    <w:rsid w:val="00662713"/>
    <w:rsid w:val="00664C90"/>
    <w:rsid w:val="0066524E"/>
    <w:rsid w:val="00665713"/>
    <w:rsid w:val="00665793"/>
    <w:rsid w:val="00666E48"/>
    <w:rsid w:val="00667AB3"/>
    <w:rsid w:val="00667F4E"/>
    <w:rsid w:val="00670FB9"/>
    <w:rsid w:val="00672375"/>
    <w:rsid w:val="006723CB"/>
    <w:rsid w:val="00672AC5"/>
    <w:rsid w:val="00672E48"/>
    <w:rsid w:val="00673664"/>
    <w:rsid w:val="0067385F"/>
    <w:rsid w:val="0067428C"/>
    <w:rsid w:val="0067582E"/>
    <w:rsid w:val="0067638C"/>
    <w:rsid w:val="00676625"/>
    <w:rsid w:val="0067670E"/>
    <w:rsid w:val="00676910"/>
    <w:rsid w:val="00677AA0"/>
    <w:rsid w:val="00677C23"/>
    <w:rsid w:val="00677E78"/>
    <w:rsid w:val="00680402"/>
    <w:rsid w:val="00680B45"/>
    <w:rsid w:val="0068223D"/>
    <w:rsid w:val="006826D5"/>
    <w:rsid w:val="00682D01"/>
    <w:rsid w:val="00682DC8"/>
    <w:rsid w:val="00683286"/>
    <w:rsid w:val="00683FD3"/>
    <w:rsid w:val="006840A0"/>
    <w:rsid w:val="00684AF9"/>
    <w:rsid w:val="00684F6D"/>
    <w:rsid w:val="00685082"/>
    <w:rsid w:val="00685FD9"/>
    <w:rsid w:val="0068612D"/>
    <w:rsid w:val="00687E19"/>
    <w:rsid w:val="00690004"/>
    <w:rsid w:val="00692290"/>
    <w:rsid w:val="00693684"/>
    <w:rsid w:val="006936FC"/>
    <w:rsid w:val="00693EAD"/>
    <w:rsid w:val="006958F6"/>
    <w:rsid w:val="00696514"/>
    <w:rsid w:val="0069682A"/>
    <w:rsid w:val="00696E05"/>
    <w:rsid w:val="00697314"/>
    <w:rsid w:val="00697828"/>
    <w:rsid w:val="006A009D"/>
    <w:rsid w:val="006A0506"/>
    <w:rsid w:val="006A0794"/>
    <w:rsid w:val="006A0AFD"/>
    <w:rsid w:val="006A1766"/>
    <w:rsid w:val="006A494A"/>
    <w:rsid w:val="006A4DBA"/>
    <w:rsid w:val="006A57FC"/>
    <w:rsid w:val="006A5DA4"/>
    <w:rsid w:val="006A724B"/>
    <w:rsid w:val="006A74FC"/>
    <w:rsid w:val="006A7EB1"/>
    <w:rsid w:val="006B01CD"/>
    <w:rsid w:val="006B04D4"/>
    <w:rsid w:val="006B13DC"/>
    <w:rsid w:val="006B1E43"/>
    <w:rsid w:val="006B20DC"/>
    <w:rsid w:val="006B2147"/>
    <w:rsid w:val="006B2E98"/>
    <w:rsid w:val="006B3034"/>
    <w:rsid w:val="006B3EAA"/>
    <w:rsid w:val="006B4408"/>
    <w:rsid w:val="006B45C3"/>
    <w:rsid w:val="006B49AA"/>
    <w:rsid w:val="006B4E3D"/>
    <w:rsid w:val="006B6CD4"/>
    <w:rsid w:val="006C15C9"/>
    <w:rsid w:val="006C26CA"/>
    <w:rsid w:val="006C294C"/>
    <w:rsid w:val="006C2D8C"/>
    <w:rsid w:val="006C2D8F"/>
    <w:rsid w:val="006C32D1"/>
    <w:rsid w:val="006C3BF3"/>
    <w:rsid w:val="006C4C0B"/>
    <w:rsid w:val="006C4FB1"/>
    <w:rsid w:val="006C54C9"/>
    <w:rsid w:val="006C69C5"/>
    <w:rsid w:val="006C6D84"/>
    <w:rsid w:val="006C77DF"/>
    <w:rsid w:val="006D0042"/>
    <w:rsid w:val="006D0D2A"/>
    <w:rsid w:val="006D0DF8"/>
    <w:rsid w:val="006D0F68"/>
    <w:rsid w:val="006D1618"/>
    <w:rsid w:val="006D2675"/>
    <w:rsid w:val="006D2781"/>
    <w:rsid w:val="006D2A01"/>
    <w:rsid w:val="006D2C2C"/>
    <w:rsid w:val="006D38CA"/>
    <w:rsid w:val="006D38F0"/>
    <w:rsid w:val="006D3D52"/>
    <w:rsid w:val="006D3F17"/>
    <w:rsid w:val="006D4738"/>
    <w:rsid w:val="006D575A"/>
    <w:rsid w:val="006D5AF1"/>
    <w:rsid w:val="006D5EB4"/>
    <w:rsid w:val="006D6940"/>
    <w:rsid w:val="006D6AD8"/>
    <w:rsid w:val="006E0C78"/>
    <w:rsid w:val="006E1CB6"/>
    <w:rsid w:val="006E2209"/>
    <w:rsid w:val="006E3014"/>
    <w:rsid w:val="006E4D67"/>
    <w:rsid w:val="006E5122"/>
    <w:rsid w:val="006E573B"/>
    <w:rsid w:val="006E67B9"/>
    <w:rsid w:val="006E67D6"/>
    <w:rsid w:val="006E6B6E"/>
    <w:rsid w:val="006E6D51"/>
    <w:rsid w:val="006E7100"/>
    <w:rsid w:val="006E7FD3"/>
    <w:rsid w:val="006F14FB"/>
    <w:rsid w:val="006F20FC"/>
    <w:rsid w:val="006F3140"/>
    <w:rsid w:val="006F330D"/>
    <w:rsid w:val="006F3708"/>
    <w:rsid w:val="006F3965"/>
    <w:rsid w:val="006F3ED9"/>
    <w:rsid w:val="006F489E"/>
    <w:rsid w:val="006F68FF"/>
    <w:rsid w:val="006F69EB"/>
    <w:rsid w:val="006F72B2"/>
    <w:rsid w:val="006F761D"/>
    <w:rsid w:val="006F7B1E"/>
    <w:rsid w:val="00701EB8"/>
    <w:rsid w:val="007020E4"/>
    <w:rsid w:val="00703264"/>
    <w:rsid w:val="00703788"/>
    <w:rsid w:val="00705451"/>
    <w:rsid w:val="007066A2"/>
    <w:rsid w:val="007070BE"/>
    <w:rsid w:val="007074EC"/>
    <w:rsid w:val="00707768"/>
    <w:rsid w:val="00707A18"/>
    <w:rsid w:val="00707FD9"/>
    <w:rsid w:val="007113F6"/>
    <w:rsid w:val="0071275A"/>
    <w:rsid w:val="007136D2"/>
    <w:rsid w:val="00713DA3"/>
    <w:rsid w:val="007140EA"/>
    <w:rsid w:val="00714EB4"/>
    <w:rsid w:val="00715A1A"/>
    <w:rsid w:val="007171B6"/>
    <w:rsid w:val="00717742"/>
    <w:rsid w:val="00717EE5"/>
    <w:rsid w:val="00720445"/>
    <w:rsid w:val="00720498"/>
    <w:rsid w:val="00720D64"/>
    <w:rsid w:val="00721BA5"/>
    <w:rsid w:val="00721E2A"/>
    <w:rsid w:val="00721FD5"/>
    <w:rsid w:val="007221F5"/>
    <w:rsid w:val="0072223B"/>
    <w:rsid w:val="007229F4"/>
    <w:rsid w:val="007233BB"/>
    <w:rsid w:val="0072454C"/>
    <w:rsid w:val="00724D4B"/>
    <w:rsid w:val="007253E4"/>
    <w:rsid w:val="00725E35"/>
    <w:rsid w:val="007263D7"/>
    <w:rsid w:val="00726C1D"/>
    <w:rsid w:val="00726C41"/>
    <w:rsid w:val="00726CF9"/>
    <w:rsid w:val="00726E03"/>
    <w:rsid w:val="00727E43"/>
    <w:rsid w:val="00730667"/>
    <w:rsid w:val="00730F61"/>
    <w:rsid w:val="007327B9"/>
    <w:rsid w:val="00732E2A"/>
    <w:rsid w:val="00732F47"/>
    <w:rsid w:val="00733010"/>
    <w:rsid w:val="00733E7F"/>
    <w:rsid w:val="00734EDA"/>
    <w:rsid w:val="007350C2"/>
    <w:rsid w:val="0073594E"/>
    <w:rsid w:val="0073698A"/>
    <w:rsid w:val="00736D03"/>
    <w:rsid w:val="0073762E"/>
    <w:rsid w:val="00737654"/>
    <w:rsid w:val="00740B81"/>
    <w:rsid w:val="007416C9"/>
    <w:rsid w:val="00741B07"/>
    <w:rsid w:val="00742E4B"/>
    <w:rsid w:val="00743A80"/>
    <w:rsid w:val="007451F7"/>
    <w:rsid w:val="00745F16"/>
    <w:rsid w:val="007461D6"/>
    <w:rsid w:val="00746AC4"/>
    <w:rsid w:val="007474FA"/>
    <w:rsid w:val="00747E43"/>
    <w:rsid w:val="007507BE"/>
    <w:rsid w:val="00750F9D"/>
    <w:rsid w:val="00751406"/>
    <w:rsid w:val="007525B6"/>
    <w:rsid w:val="007532E9"/>
    <w:rsid w:val="0075510A"/>
    <w:rsid w:val="007554B1"/>
    <w:rsid w:val="00755AD3"/>
    <w:rsid w:val="00755B56"/>
    <w:rsid w:val="00755DE7"/>
    <w:rsid w:val="0075609B"/>
    <w:rsid w:val="00757ABC"/>
    <w:rsid w:val="007612CE"/>
    <w:rsid w:val="00762E2A"/>
    <w:rsid w:val="00762E7C"/>
    <w:rsid w:val="00763669"/>
    <w:rsid w:val="007640BE"/>
    <w:rsid w:val="00764E74"/>
    <w:rsid w:val="00764FF6"/>
    <w:rsid w:val="00766679"/>
    <w:rsid w:val="00767071"/>
    <w:rsid w:val="0076729B"/>
    <w:rsid w:val="00770851"/>
    <w:rsid w:val="00771BA4"/>
    <w:rsid w:val="007730AB"/>
    <w:rsid w:val="007730AE"/>
    <w:rsid w:val="0077437A"/>
    <w:rsid w:val="00775CB8"/>
    <w:rsid w:val="00776531"/>
    <w:rsid w:val="00776B28"/>
    <w:rsid w:val="00776EF5"/>
    <w:rsid w:val="007801F5"/>
    <w:rsid w:val="00781B72"/>
    <w:rsid w:val="00781E69"/>
    <w:rsid w:val="007820D1"/>
    <w:rsid w:val="0078217B"/>
    <w:rsid w:val="00782904"/>
    <w:rsid w:val="00782C7D"/>
    <w:rsid w:val="00783223"/>
    <w:rsid w:val="0078349F"/>
    <w:rsid w:val="00783C9F"/>
    <w:rsid w:val="00783E16"/>
    <w:rsid w:val="00785CD2"/>
    <w:rsid w:val="00785E72"/>
    <w:rsid w:val="007870DC"/>
    <w:rsid w:val="00787652"/>
    <w:rsid w:val="00791092"/>
    <w:rsid w:val="00791556"/>
    <w:rsid w:val="0079172A"/>
    <w:rsid w:val="00791EAD"/>
    <w:rsid w:val="007923FF"/>
    <w:rsid w:val="00792C2F"/>
    <w:rsid w:val="00793A00"/>
    <w:rsid w:val="00793AAE"/>
    <w:rsid w:val="00795A6A"/>
    <w:rsid w:val="00795F65"/>
    <w:rsid w:val="007965F2"/>
    <w:rsid w:val="007968B2"/>
    <w:rsid w:val="0079728D"/>
    <w:rsid w:val="007A016A"/>
    <w:rsid w:val="007A074E"/>
    <w:rsid w:val="007A3407"/>
    <w:rsid w:val="007A3FCD"/>
    <w:rsid w:val="007A4C3E"/>
    <w:rsid w:val="007A5F19"/>
    <w:rsid w:val="007A648F"/>
    <w:rsid w:val="007A7468"/>
    <w:rsid w:val="007A7BE0"/>
    <w:rsid w:val="007B0439"/>
    <w:rsid w:val="007B0F71"/>
    <w:rsid w:val="007B1E95"/>
    <w:rsid w:val="007B2656"/>
    <w:rsid w:val="007B3076"/>
    <w:rsid w:val="007B32CA"/>
    <w:rsid w:val="007B3F6D"/>
    <w:rsid w:val="007B4B83"/>
    <w:rsid w:val="007B5EFD"/>
    <w:rsid w:val="007C0816"/>
    <w:rsid w:val="007C09B6"/>
    <w:rsid w:val="007C2187"/>
    <w:rsid w:val="007C272F"/>
    <w:rsid w:val="007C2A4B"/>
    <w:rsid w:val="007C5E49"/>
    <w:rsid w:val="007C64DA"/>
    <w:rsid w:val="007C792F"/>
    <w:rsid w:val="007C797C"/>
    <w:rsid w:val="007D1F0A"/>
    <w:rsid w:val="007D2037"/>
    <w:rsid w:val="007D255A"/>
    <w:rsid w:val="007D364C"/>
    <w:rsid w:val="007D3C33"/>
    <w:rsid w:val="007D40D9"/>
    <w:rsid w:val="007D45ED"/>
    <w:rsid w:val="007D53FB"/>
    <w:rsid w:val="007D55BF"/>
    <w:rsid w:val="007D58FF"/>
    <w:rsid w:val="007D6860"/>
    <w:rsid w:val="007D74AC"/>
    <w:rsid w:val="007E0085"/>
    <w:rsid w:val="007E0432"/>
    <w:rsid w:val="007E1E9B"/>
    <w:rsid w:val="007E2B45"/>
    <w:rsid w:val="007E31EE"/>
    <w:rsid w:val="007E341A"/>
    <w:rsid w:val="007E3F37"/>
    <w:rsid w:val="007E3F3A"/>
    <w:rsid w:val="007E43CF"/>
    <w:rsid w:val="007E4718"/>
    <w:rsid w:val="007E4E44"/>
    <w:rsid w:val="007E5B76"/>
    <w:rsid w:val="007E6614"/>
    <w:rsid w:val="007E69B5"/>
    <w:rsid w:val="007E6FD9"/>
    <w:rsid w:val="007E753C"/>
    <w:rsid w:val="007F0758"/>
    <w:rsid w:val="007F0F37"/>
    <w:rsid w:val="007F108E"/>
    <w:rsid w:val="007F39C1"/>
    <w:rsid w:val="007F43C0"/>
    <w:rsid w:val="007F4B6E"/>
    <w:rsid w:val="007F54EE"/>
    <w:rsid w:val="007F6D92"/>
    <w:rsid w:val="007F7258"/>
    <w:rsid w:val="007F7620"/>
    <w:rsid w:val="008000DD"/>
    <w:rsid w:val="00800E5C"/>
    <w:rsid w:val="00800F92"/>
    <w:rsid w:val="0080195E"/>
    <w:rsid w:val="00801E35"/>
    <w:rsid w:val="0080205D"/>
    <w:rsid w:val="00803940"/>
    <w:rsid w:val="00803B54"/>
    <w:rsid w:val="008040CD"/>
    <w:rsid w:val="0080665C"/>
    <w:rsid w:val="008074A3"/>
    <w:rsid w:val="00807CF9"/>
    <w:rsid w:val="008102E9"/>
    <w:rsid w:val="00810393"/>
    <w:rsid w:val="00810A47"/>
    <w:rsid w:val="008110FD"/>
    <w:rsid w:val="008119A7"/>
    <w:rsid w:val="00812CC4"/>
    <w:rsid w:val="00812CF7"/>
    <w:rsid w:val="00813550"/>
    <w:rsid w:val="00813B91"/>
    <w:rsid w:val="00814240"/>
    <w:rsid w:val="008145FD"/>
    <w:rsid w:val="00815B44"/>
    <w:rsid w:val="008162B7"/>
    <w:rsid w:val="00816784"/>
    <w:rsid w:val="008207CC"/>
    <w:rsid w:val="00821612"/>
    <w:rsid w:val="00821753"/>
    <w:rsid w:val="00821B55"/>
    <w:rsid w:val="0082226A"/>
    <w:rsid w:val="00823F53"/>
    <w:rsid w:val="008242CB"/>
    <w:rsid w:val="008244B7"/>
    <w:rsid w:val="00824506"/>
    <w:rsid w:val="0082507D"/>
    <w:rsid w:val="0082517B"/>
    <w:rsid w:val="00825715"/>
    <w:rsid w:val="00826940"/>
    <w:rsid w:val="00830C70"/>
    <w:rsid w:val="00831D6D"/>
    <w:rsid w:val="0083229B"/>
    <w:rsid w:val="008332A0"/>
    <w:rsid w:val="008334D9"/>
    <w:rsid w:val="008362C8"/>
    <w:rsid w:val="0083664E"/>
    <w:rsid w:val="008367B1"/>
    <w:rsid w:val="008369B0"/>
    <w:rsid w:val="0083752E"/>
    <w:rsid w:val="00837851"/>
    <w:rsid w:val="00840BE4"/>
    <w:rsid w:val="00841789"/>
    <w:rsid w:val="00841AAB"/>
    <w:rsid w:val="008429AD"/>
    <w:rsid w:val="00843449"/>
    <w:rsid w:val="0084391F"/>
    <w:rsid w:val="00843CD4"/>
    <w:rsid w:val="00845A7A"/>
    <w:rsid w:val="00845B35"/>
    <w:rsid w:val="00846489"/>
    <w:rsid w:val="00846E13"/>
    <w:rsid w:val="00847095"/>
    <w:rsid w:val="00850E70"/>
    <w:rsid w:val="00851B59"/>
    <w:rsid w:val="00852EAA"/>
    <w:rsid w:val="0085322E"/>
    <w:rsid w:val="008533C8"/>
    <w:rsid w:val="00853819"/>
    <w:rsid w:val="00854628"/>
    <w:rsid w:val="00854DEF"/>
    <w:rsid w:val="008554C8"/>
    <w:rsid w:val="00855C49"/>
    <w:rsid w:val="0085720E"/>
    <w:rsid w:val="0086057C"/>
    <w:rsid w:val="008636C9"/>
    <w:rsid w:val="00863C48"/>
    <w:rsid w:val="00864488"/>
    <w:rsid w:val="0086482F"/>
    <w:rsid w:val="00864BFD"/>
    <w:rsid w:val="00864E47"/>
    <w:rsid w:val="00865B80"/>
    <w:rsid w:val="00865D62"/>
    <w:rsid w:val="008669B1"/>
    <w:rsid w:val="00867861"/>
    <w:rsid w:val="00870771"/>
    <w:rsid w:val="0087133B"/>
    <w:rsid w:val="00871A7E"/>
    <w:rsid w:val="00871DFB"/>
    <w:rsid w:val="00871EC6"/>
    <w:rsid w:val="008726C1"/>
    <w:rsid w:val="00872D56"/>
    <w:rsid w:val="008741E3"/>
    <w:rsid w:val="00874924"/>
    <w:rsid w:val="00874977"/>
    <w:rsid w:val="00876111"/>
    <w:rsid w:val="0087661F"/>
    <w:rsid w:val="0087672D"/>
    <w:rsid w:val="008773A6"/>
    <w:rsid w:val="00877B4B"/>
    <w:rsid w:val="00881159"/>
    <w:rsid w:val="008819F2"/>
    <w:rsid w:val="00881A36"/>
    <w:rsid w:val="00882CEE"/>
    <w:rsid w:val="00882EB1"/>
    <w:rsid w:val="00883939"/>
    <w:rsid w:val="00883EAD"/>
    <w:rsid w:val="0088442F"/>
    <w:rsid w:val="00884C79"/>
    <w:rsid w:val="00884EB1"/>
    <w:rsid w:val="008858F7"/>
    <w:rsid w:val="00885D89"/>
    <w:rsid w:val="0088617C"/>
    <w:rsid w:val="008867E2"/>
    <w:rsid w:val="00887576"/>
    <w:rsid w:val="00887981"/>
    <w:rsid w:val="00890C92"/>
    <w:rsid w:val="00890ED6"/>
    <w:rsid w:val="00890F08"/>
    <w:rsid w:val="0089115F"/>
    <w:rsid w:val="00891A15"/>
    <w:rsid w:val="00893896"/>
    <w:rsid w:val="00894762"/>
    <w:rsid w:val="008950A4"/>
    <w:rsid w:val="00895949"/>
    <w:rsid w:val="00895A73"/>
    <w:rsid w:val="008961ED"/>
    <w:rsid w:val="008963AE"/>
    <w:rsid w:val="008969BD"/>
    <w:rsid w:val="00896B1B"/>
    <w:rsid w:val="00896D70"/>
    <w:rsid w:val="0089762C"/>
    <w:rsid w:val="00897F60"/>
    <w:rsid w:val="008A0830"/>
    <w:rsid w:val="008A0B87"/>
    <w:rsid w:val="008A0DC6"/>
    <w:rsid w:val="008A1296"/>
    <w:rsid w:val="008A172C"/>
    <w:rsid w:val="008A30D3"/>
    <w:rsid w:val="008A32F7"/>
    <w:rsid w:val="008A37D7"/>
    <w:rsid w:val="008A4288"/>
    <w:rsid w:val="008A4C9F"/>
    <w:rsid w:val="008A527B"/>
    <w:rsid w:val="008A5E33"/>
    <w:rsid w:val="008A5F95"/>
    <w:rsid w:val="008A71BE"/>
    <w:rsid w:val="008A7A8D"/>
    <w:rsid w:val="008B09A8"/>
    <w:rsid w:val="008B0E01"/>
    <w:rsid w:val="008B150B"/>
    <w:rsid w:val="008B1A12"/>
    <w:rsid w:val="008B1E5A"/>
    <w:rsid w:val="008B2526"/>
    <w:rsid w:val="008B2804"/>
    <w:rsid w:val="008B3207"/>
    <w:rsid w:val="008B4063"/>
    <w:rsid w:val="008B4395"/>
    <w:rsid w:val="008B4851"/>
    <w:rsid w:val="008B598D"/>
    <w:rsid w:val="008B5E18"/>
    <w:rsid w:val="008B635B"/>
    <w:rsid w:val="008B684D"/>
    <w:rsid w:val="008B6AA4"/>
    <w:rsid w:val="008B6DB3"/>
    <w:rsid w:val="008B6E14"/>
    <w:rsid w:val="008B7AE7"/>
    <w:rsid w:val="008C04D9"/>
    <w:rsid w:val="008C055C"/>
    <w:rsid w:val="008C1BA8"/>
    <w:rsid w:val="008C1CB2"/>
    <w:rsid w:val="008C3AE5"/>
    <w:rsid w:val="008C4458"/>
    <w:rsid w:val="008C506B"/>
    <w:rsid w:val="008C51ED"/>
    <w:rsid w:val="008C5682"/>
    <w:rsid w:val="008C6C01"/>
    <w:rsid w:val="008C79E6"/>
    <w:rsid w:val="008D0B03"/>
    <w:rsid w:val="008D115E"/>
    <w:rsid w:val="008D3127"/>
    <w:rsid w:val="008D345E"/>
    <w:rsid w:val="008D34E2"/>
    <w:rsid w:val="008D3817"/>
    <w:rsid w:val="008D3E06"/>
    <w:rsid w:val="008D4000"/>
    <w:rsid w:val="008D4E82"/>
    <w:rsid w:val="008D502C"/>
    <w:rsid w:val="008D514A"/>
    <w:rsid w:val="008D5D39"/>
    <w:rsid w:val="008D61E4"/>
    <w:rsid w:val="008D6285"/>
    <w:rsid w:val="008D68CA"/>
    <w:rsid w:val="008D6A91"/>
    <w:rsid w:val="008D783B"/>
    <w:rsid w:val="008E0367"/>
    <w:rsid w:val="008E06BC"/>
    <w:rsid w:val="008E0E41"/>
    <w:rsid w:val="008E2069"/>
    <w:rsid w:val="008E5187"/>
    <w:rsid w:val="008E57AC"/>
    <w:rsid w:val="008E68C4"/>
    <w:rsid w:val="008E7710"/>
    <w:rsid w:val="008E783B"/>
    <w:rsid w:val="008E7C4E"/>
    <w:rsid w:val="008F0144"/>
    <w:rsid w:val="008F11DC"/>
    <w:rsid w:val="008F14A3"/>
    <w:rsid w:val="008F1C41"/>
    <w:rsid w:val="008F409C"/>
    <w:rsid w:val="008F479C"/>
    <w:rsid w:val="008F540E"/>
    <w:rsid w:val="008F5670"/>
    <w:rsid w:val="008F56A7"/>
    <w:rsid w:val="008F5CB8"/>
    <w:rsid w:val="008F5D43"/>
    <w:rsid w:val="008F5ED5"/>
    <w:rsid w:val="008F62FF"/>
    <w:rsid w:val="008F7DEF"/>
    <w:rsid w:val="0090017A"/>
    <w:rsid w:val="00900CF3"/>
    <w:rsid w:val="00901654"/>
    <w:rsid w:val="00901724"/>
    <w:rsid w:val="00902A9A"/>
    <w:rsid w:val="00902FCB"/>
    <w:rsid w:val="009043CD"/>
    <w:rsid w:val="00904B10"/>
    <w:rsid w:val="00904E92"/>
    <w:rsid w:val="0090551B"/>
    <w:rsid w:val="00906ADA"/>
    <w:rsid w:val="0090728E"/>
    <w:rsid w:val="00907423"/>
    <w:rsid w:val="00907620"/>
    <w:rsid w:val="009114E1"/>
    <w:rsid w:val="00911CD1"/>
    <w:rsid w:val="00912CF5"/>
    <w:rsid w:val="00912FD6"/>
    <w:rsid w:val="0091324D"/>
    <w:rsid w:val="009132F6"/>
    <w:rsid w:val="00913657"/>
    <w:rsid w:val="0091458E"/>
    <w:rsid w:val="00914D7B"/>
    <w:rsid w:val="0091677E"/>
    <w:rsid w:val="009167B6"/>
    <w:rsid w:val="00916B53"/>
    <w:rsid w:val="00917562"/>
    <w:rsid w:val="0091769E"/>
    <w:rsid w:val="009203B2"/>
    <w:rsid w:val="00921621"/>
    <w:rsid w:val="009216CC"/>
    <w:rsid w:val="00922164"/>
    <w:rsid w:val="0092351D"/>
    <w:rsid w:val="009235A9"/>
    <w:rsid w:val="00923B32"/>
    <w:rsid w:val="0092618E"/>
    <w:rsid w:val="00926849"/>
    <w:rsid w:val="00927B88"/>
    <w:rsid w:val="00931316"/>
    <w:rsid w:val="00931CDD"/>
    <w:rsid w:val="009334C2"/>
    <w:rsid w:val="00933776"/>
    <w:rsid w:val="00934F2F"/>
    <w:rsid w:val="009351B3"/>
    <w:rsid w:val="009352F9"/>
    <w:rsid w:val="00935882"/>
    <w:rsid w:val="00936239"/>
    <w:rsid w:val="009378B1"/>
    <w:rsid w:val="00941079"/>
    <w:rsid w:val="00941092"/>
    <w:rsid w:val="009411E6"/>
    <w:rsid w:val="00941BFB"/>
    <w:rsid w:val="00941DA3"/>
    <w:rsid w:val="009440A6"/>
    <w:rsid w:val="009443C2"/>
    <w:rsid w:val="00945824"/>
    <w:rsid w:val="00945AA8"/>
    <w:rsid w:val="009461B5"/>
    <w:rsid w:val="009461EE"/>
    <w:rsid w:val="00946BB4"/>
    <w:rsid w:val="00947019"/>
    <w:rsid w:val="00947D18"/>
    <w:rsid w:val="00947EB7"/>
    <w:rsid w:val="009506F2"/>
    <w:rsid w:val="009508D5"/>
    <w:rsid w:val="00950F04"/>
    <w:rsid w:val="0095136E"/>
    <w:rsid w:val="0095162A"/>
    <w:rsid w:val="009526D7"/>
    <w:rsid w:val="00952C87"/>
    <w:rsid w:val="00953436"/>
    <w:rsid w:val="009535B2"/>
    <w:rsid w:val="00953A99"/>
    <w:rsid w:val="00955875"/>
    <w:rsid w:val="00955E98"/>
    <w:rsid w:val="00956B8F"/>
    <w:rsid w:val="00956D22"/>
    <w:rsid w:val="00956ED2"/>
    <w:rsid w:val="009572E0"/>
    <w:rsid w:val="009574D8"/>
    <w:rsid w:val="00957D38"/>
    <w:rsid w:val="009608CE"/>
    <w:rsid w:val="00961042"/>
    <w:rsid w:val="009619D5"/>
    <w:rsid w:val="00962908"/>
    <w:rsid w:val="0096295D"/>
    <w:rsid w:val="00963510"/>
    <w:rsid w:val="00963996"/>
    <w:rsid w:val="0096440B"/>
    <w:rsid w:val="00964634"/>
    <w:rsid w:val="00965767"/>
    <w:rsid w:val="0096632F"/>
    <w:rsid w:val="009668BC"/>
    <w:rsid w:val="00967695"/>
    <w:rsid w:val="00970B6C"/>
    <w:rsid w:val="00971E63"/>
    <w:rsid w:val="009720D9"/>
    <w:rsid w:val="00972140"/>
    <w:rsid w:val="00973968"/>
    <w:rsid w:val="0097495B"/>
    <w:rsid w:val="00974A97"/>
    <w:rsid w:val="00974BEE"/>
    <w:rsid w:val="00974DC2"/>
    <w:rsid w:val="00975819"/>
    <w:rsid w:val="00975DEE"/>
    <w:rsid w:val="00975FD8"/>
    <w:rsid w:val="00976FA4"/>
    <w:rsid w:val="00977823"/>
    <w:rsid w:val="00977E83"/>
    <w:rsid w:val="0098033E"/>
    <w:rsid w:val="0098056E"/>
    <w:rsid w:val="00980C89"/>
    <w:rsid w:val="00981222"/>
    <w:rsid w:val="00981A46"/>
    <w:rsid w:val="009826AA"/>
    <w:rsid w:val="0098331B"/>
    <w:rsid w:val="009833C1"/>
    <w:rsid w:val="009844A5"/>
    <w:rsid w:val="00984DC2"/>
    <w:rsid w:val="009854B3"/>
    <w:rsid w:val="009859C2"/>
    <w:rsid w:val="00985D6B"/>
    <w:rsid w:val="009862DC"/>
    <w:rsid w:val="00986437"/>
    <w:rsid w:val="00986514"/>
    <w:rsid w:val="0098661C"/>
    <w:rsid w:val="00987291"/>
    <w:rsid w:val="00991017"/>
    <w:rsid w:val="00991629"/>
    <w:rsid w:val="00991652"/>
    <w:rsid w:val="0099186B"/>
    <w:rsid w:val="00993421"/>
    <w:rsid w:val="009938CA"/>
    <w:rsid w:val="00994BE0"/>
    <w:rsid w:val="009951EB"/>
    <w:rsid w:val="00995A80"/>
    <w:rsid w:val="00995D03"/>
    <w:rsid w:val="00997230"/>
    <w:rsid w:val="009A064D"/>
    <w:rsid w:val="009A067A"/>
    <w:rsid w:val="009A169D"/>
    <w:rsid w:val="009A2FD1"/>
    <w:rsid w:val="009A46F9"/>
    <w:rsid w:val="009A4DA9"/>
    <w:rsid w:val="009A533F"/>
    <w:rsid w:val="009A6FD7"/>
    <w:rsid w:val="009A7189"/>
    <w:rsid w:val="009A78CD"/>
    <w:rsid w:val="009B044F"/>
    <w:rsid w:val="009B0A0F"/>
    <w:rsid w:val="009B0F8C"/>
    <w:rsid w:val="009B0FC0"/>
    <w:rsid w:val="009B20C7"/>
    <w:rsid w:val="009B3097"/>
    <w:rsid w:val="009B3686"/>
    <w:rsid w:val="009B3C69"/>
    <w:rsid w:val="009B3D09"/>
    <w:rsid w:val="009B54D2"/>
    <w:rsid w:val="009B5B17"/>
    <w:rsid w:val="009B5B18"/>
    <w:rsid w:val="009B6D3F"/>
    <w:rsid w:val="009C0072"/>
    <w:rsid w:val="009C07B3"/>
    <w:rsid w:val="009C1A2C"/>
    <w:rsid w:val="009C2027"/>
    <w:rsid w:val="009C20BC"/>
    <w:rsid w:val="009C2399"/>
    <w:rsid w:val="009C2CBF"/>
    <w:rsid w:val="009C318C"/>
    <w:rsid w:val="009C51AE"/>
    <w:rsid w:val="009C5700"/>
    <w:rsid w:val="009C6253"/>
    <w:rsid w:val="009C6D0C"/>
    <w:rsid w:val="009D04AC"/>
    <w:rsid w:val="009D0C7D"/>
    <w:rsid w:val="009D2F62"/>
    <w:rsid w:val="009D309B"/>
    <w:rsid w:val="009D4F90"/>
    <w:rsid w:val="009D5C2E"/>
    <w:rsid w:val="009D75AC"/>
    <w:rsid w:val="009D7F09"/>
    <w:rsid w:val="009E08C3"/>
    <w:rsid w:val="009E0E24"/>
    <w:rsid w:val="009E0EA0"/>
    <w:rsid w:val="009E12D5"/>
    <w:rsid w:val="009E2101"/>
    <w:rsid w:val="009E2439"/>
    <w:rsid w:val="009E274F"/>
    <w:rsid w:val="009E2953"/>
    <w:rsid w:val="009E2E6F"/>
    <w:rsid w:val="009E35BB"/>
    <w:rsid w:val="009E35DB"/>
    <w:rsid w:val="009E388E"/>
    <w:rsid w:val="009E40B1"/>
    <w:rsid w:val="009E5C49"/>
    <w:rsid w:val="009E5CE4"/>
    <w:rsid w:val="009E608B"/>
    <w:rsid w:val="009E6C03"/>
    <w:rsid w:val="009E6D09"/>
    <w:rsid w:val="009E7617"/>
    <w:rsid w:val="009E781F"/>
    <w:rsid w:val="009E7AB1"/>
    <w:rsid w:val="009F0B8C"/>
    <w:rsid w:val="009F0C28"/>
    <w:rsid w:val="009F0F61"/>
    <w:rsid w:val="009F1779"/>
    <w:rsid w:val="009F19FF"/>
    <w:rsid w:val="009F4DC0"/>
    <w:rsid w:val="009F59C4"/>
    <w:rsid w:val="009F70C7"/>
    <w:rsid w:val="00A0068C"/>
    <w:rsid w:val="00A01308"/>
    <w:rsid w:val="00A019D5"/>
    <w:rsid w:val="00A03206"/>
    <w:rsid w:val="00A03CD5"/>
    <w:rsid w:val="00A04BA0"/>
    <w:rsid w:val="00A04F67"/>
    <w:rsid w:val="00A060A1"/>
    <w:rsid w:val="00A06820"/>
    <w:rsid w:val="00A06FE3"/>
    <w:rsid w:val="00A07B4D"/>
    <w:rsid w:val="00A07B76"/>
    <w:rsid w:val="00A07CD2"/>
    <w:rsid w:val="00A10249"/>
    <w:rsid w:val="00A1050A"/>
    <w:rsid w:val="00A10646"/>
    <w:rsid w:val="00A11AE2"/>
    <w:rsid w:val="00A13002"/>
    <w:rsid w:val="00A13B8C"/>
    <w:rsid w:val="00A13F31"/>
    <w:rsid w:val="00A1420E"/>
    <w:rsid w:val="00A14243"/>
    <w:rsid w:val="00A144B9"/>
    <w:rsid w:val="00A149A5"/>
    <w:rsid w:val="00A172E3"/>
    <w:rsid w:val="00A1733C"/>
    <w:rsid w:val="00A1766C"/>
    <w:rsid w:val="00A22846"/>
    <w:rsid w:val="00A22D74"/>
    <w:rsid w:val="00A22E7D"/>
    <w:rsid w:val="00A23B7F"/>
    <w:rsid w:val="00A2459A"/>
    <w:rsid w:val="00A25172"/>
    <w:rsid w:val="00A25A00"/>
    <w:rsid w:val="00A266D9"/>
    <w:rsid w:val="00A26E51"/>
    <w:rsid w:val="00A26ECF"/>
    <w:rsid w:val="00A27025"/>
    <w:rsid w:val="00A270CF"/>
    <w:rsid w:val="00A301E2"/>
    <w:rsid w:val="00A32BC4"/>
    <w:rsid w:val="00A36416"/>
    <w:rsid w:val="00A375EE"/>
    <w:rsid w:val="00A41D04"/>
    <w:rsid w:val="00A41DEA"/>
    <w:rsid w:val="00A439CA"/>
    <w:rsid w:val="00A444F4"/>
    <w:rsid w:val="00A44752"/>
    <w:rsid w:val="00A45A46"/>
    <w:rsid w:val="00A46BFE"/>
    <w:rsid w:val="00A46FCC"/>
    <w:rsid w:val="00A47D37"/>
    <w:rsid w:val="00A52102"/>
    <w:rsid w:val="00A52BBD"/>
    <w:rsid w:val="00A53960"/>
    <w:rsid w:val="00A5414B"/>
    <w:rsid w:val="00A54DB8"/>
    <w:rsid w:val="00A5516B"/>
    <w:rsid w:val="00A55379"/>
    <w:rsid w:val="00A557B5"/>
    <w:rsid w:val="00A55925"/>
    <w:rsid w:val="00A565CE"/>
    <w:rsid w:val="00A56AEC"/>
    <w:rsid w:val="00A56BEA"/>
    <w:rsid w:val="00A5780C"/>
    <w:rsid w:val="00A6006E"/>
    <w:rsid w:val="00A605A1"/>
    <w:rsid w:val="00A605B1"/>
    <w:rsid w:val="00A6091A"/>
    <w:rsid w:val="00A60B25"/>
    <w:rsid w:val="00A61061"/>
    <w:rsid w:val="00A61697"/>
    <w:rsid w:val="00A6180A"/>
    <w:rsid w:val="00A61B9C"/>
    <w:rsid w:val="00A629BF"/>
    <w:rsid w:val="00A62C7D"/>
    <w:rsid w:val="00A63C97"/>
    <w:rsid w:val="00A647EC"/>
    <w:rsid w:val="00A64915"/>
    <w:rsid w:val="00A64EB9"/>
    <w:rsid w:val="00A65AF1"/>
    <w:rsid w:val="00A65F3A"/>
    <w:rsid w:val="00A662F1"/>
    <w:rsid w:val="00A66828"/>
    <w:rsid w:val="00A66C31"/>
    <w:rsid w:val="00A67219"/>
    <w:rsid w:val="00A67D50"/>
    <w:rsid w:val="00A70227"/>
    <w:rsid w:val="00A70B9D"/>
    <w:rsid w:val="00A70DCB"/>
    <w:rsid w:val="00A7123F"/>
    <w:rsid w:val="00A73725"/>
    <w:rsid w:val="00A73AA4"/>
    <w:rsid w:val="00A74628"/>
    <w:rsid w:val="00A74DF2"/>
    <w:rsid w:val="00A75C20"/>
    <w:rsid w:val="00A76780"/>
    <w:rsid w:val="00A771E7"/>
    <w:rsid w:val="00A7773C"/>
    <w:rsid w:val="00A779C9"/>
    <w:rsid w:val="00A77B90"/>
    <w:rsid w:val="00A80007"/>
    <w:rsid w:val="00A80020"/>
    <w:rsid w:val="00A805D8"/>
    <w:rsid w:val="00A8102B"/>
    <w:rsid w:val="00A81567"/>
    <w:rsid w:val="00A824F9"/>
    <w:rsid w:val="00A82766"/>
    <w:rsid w:val="00A84008"/>
    <w:rsid w:val="00A843B0"/>
    <w:rsid w:val="00A8476F"/>
    <w:rsid w:val="00A85224"/>
    <w:rsid w:val="00A859CC"/>
    <w:rsid w:val="00A85ECE"/>
    <w:rsid w:val="00A866EA"/>
    <w:rsid w:val="00A86E5E"/>
    <w:rsid w:val="00A90787"/>
    <w:rsid w:val="00A90BC4"/>
    <w:rsid w:val="00A91959"/>
    <w:rsid w:val="00A91AAF"/>
    <w:rsid w:val="00A9265A"/>
    <w:rsid w:val="00A92980"/>
    <w:rsid w:val="00A92D3E"/>
    <w:rsid w:val="00A93CCE"/>
    <w:rsid w:val="00A955F6"/>
    <w:rsid w:val="00A95865"/>
    <w:rsid w:val="00A95DAA"/>
    <w:rsid w:val="00A964E9"/>
    <w:rsid w:val="00A96B1F"/>
    <w:rsid w:val="00A973C4"/>
    <w:rsid w:val="00AA0339"/>
    <w:rsid w:val="00AA0342"/>
    <w:rsid w:val="00AA1380"/>
    <w:rsid w:val="00AA315D"/>
    <w:rsid w:val="00AA3257"/>
    <w:rsid w:val="00AA36AC"/>
    <w:rsid w:val="00AA3C35"/>
    <w:rsid w:val="00AA3DBD"/>
    <w:rsid w:val="00AA4565"/>
    <w:rsid w:val="00AA4B1C"/>
    <w:rsid w:val="00AA4DAA"/>
    <w:rsid w:val="00AA5C60"/>
    <w:rsid w:val="00AA7496"/>
    <w:rsid w:val="00AA784E"/>
    <w:rsid w:val="00AA7D93"/>
    <w:rsid w:val="00AA7F1F"/>
    <w:rsid w:val="00AB0E5D"/>
    <w:rsid w:val="00AB1CE5"/>
    <w:rsid w:val="00AB2182"/>
    <w:rsid w:val="00AB24CE"/>
    <w:rsid w:val="00AB32EC"/>
    <w:rsid w:val="00AB3528"/>
    <w:rsid w:val="00AB5242"/>
    <w:rsid w:val="00AB548C"/>
    <w:rsid w:val="00AB5705"/>
    <w:rsid w:val="00AB5D0F"/>
    <w:rsid w:val="00AB6CFD"/>
    <w:rsid w:val="00AB768A"/>
    <w:rsid w:val="00AB774A"/>
    <w:rsid w:val="00AB7B2D"/>
    <w:rsid w:val="00AC14D2"/>
    <w:rsid w:val="00AC1619"/>
    <w:rsid w:val="00AC194D"/>
    <w:rsid w:val="00AC1F8A"/>
    <w:rsid w:val="00AC2492"/>
    <w:rsid w:val="00AC2FAA"/>
    <w:rsid w:val="00AC2FC2"/>
    <w:rsid w:val="00AC3660"/>
    <w:rsid w:val="00AC3F5E"/>
    <w:rsid w:val="00AC4980"/>
    <w:rsid w:val="00AC49B9"/>
    <w:rsid w:val="00AC50AC"/>
    <w:rsid w:val="00AC528E"/>
    <w:rsid w:val="00AC5874"/>
    <w:rsid w:val="00AC5963"/>
    <w:rsid w:val="00AC5C64"/>
    <w:rsid w:val="00AC698F"/>
    <w:rsid w:val="00AC6DBE"/>
    <w:rsid w:val="00AC7090"/>
    <w:rsid w:val="00AC74E4"/>
    <w:rsid w:val="00AC7765"/>
    <w:rsid w:val="00AD05B0"/>
    <w:rsid w:val="00AD300F"/>
    <w:rsid w:val="00AD3603"/>
    <w:rsid w:val="00AD36B7"/>
    <w:rsid w:val="00AD3B6F"/>
    <w:rsid w:val="00AD3EA5"/>
    <w:rsid w:val="00AD5DE5"/>
    <w:rsid w:val="00AD68E0"/>
    <w:rsid w:val="00AD714A"/>
    <w:rsid w:val="00AD722E"/>
    <w:rsid w:val="00AD79B6"/>
    <w:rsid w:val="00AD7BEA"/>
    <w:rsid w:val="00AE1466"/>
    <w:rsid w:val="00AE1EF1"/>
    <w:rsid w:val="00AE227D"/>
    <w:rsid w:val="00AE386D"/>
    <w:rsid w:val="00AE45C4"/>
    <w:rsid w:val="00AE52E5"/>
    <w:rsid w:val="00AE545D"/>
    <w:rsid w:val="00AE66FF"/>
    <w:rsid w:val="00AE7DA4"/>
    <w:rsid w:val="00AF0124"/>
    <w:rsid w:val="00AF02E5"/>
    <w:rsid w:val="00AF16AA"/>
    <w:rsid w:val="00AF1CF5"/>
    <w:rsid w:val="00AF2FEA"/>
    <w:rsid w:val="00AF30AA"/>
    <w:rsid w:val="00AF3408"/>
    <w:rsid w:val="00AF4CD1"/>
    <w:rsid w:val="00AF5C55"/>
    <w:rsid w:val="00AF5F05"/>
    <w:rsid w:val="00AF6A66"/>
    <w:rsid w:val="00B00AB4"/>
    <w:rsid w:val="00B00B41"/>
    <w:rsid w:val="00B01B3E"/>
    <w:rsid w:val="00B01DE2"/>
    <w:rsid w:val="00B02039"/>
    <w:rsid w:val="00B02376"/>
    <w:rsid w:val="00B0241F"/>
    <w:rsid w:val="00B02F9F"/>
    <w:rsid w:val="00B03358"/>
    <w:rsid w:val="00B0337F"/>
    <w:rsid w:val="00B0545A"/>
    <w:rsid w:val="00B06777"/>
    <w:rsid w:val="00B068F4"/>
    <w:rsid w:val="00B06CEC"/>
    <w:rsid w:val="00B10844"/>
    <w:rsid w:val="00B10A61"/>
    <w:rsid w:val="00B10AA6"/>
    <w:rsid w:val="00B10B5C"/>
    <w:rsid w:val="00B13891"/>
    <w:rsid w:val="00B1389F"/>
    <w:rsid w:val="00B14BDB"/>
    <w:rsid w:val="00B14F3C"/>
    <w:rsid w:val="00B15761"/>
    <w:rsid w:val="00B163D0"/>
    <w:rsid w:val="00B16B82"/>
    <w:rsid w:val="00B170AE"/>
    <w:rsid w:val="00B1791E"/>
    <w:rsid w:val="00B20394"/>
    <w:rsid w:val="00B21D0D"/>
    <w:rsid w:val="00B21DD0"/>
    <w:rsid w:val="00B222D9"/>
    <w:rsid w:val="00B2254E"/>
    <w:rsid w:val="00B23131"/>
    <w:rsid w:val="00B23F4F"/>
    <w:rsid w:val="00B243B1"/>
    <w:rsid w:val="00B247A9"/>
    <w:rsid w:val="00B25143"/>
    <w:rsid w:val="00B2516B"/>
    <w:rsid w:val="00B25661"/>
    <w:rsid w:val="00B260C1"/>
    <w:rsid w:val="00B260F6"/>
    <w:rsid w:val="00B26E27"/>
    <w:rsid w:val="00B30464"/>
    <w:rsid w:val="00B30ADC"/>
    <w:rsid w:val="00B31EAB"/>
    <w:rsid w:val="00B32227"/>
    <w:rsid w:val="00B32E44"/>
    <w:rsid w:val="00B32EE5"/>
    <w:rsid w:val="00B33877"/>
    <w:rsid w:val="00B3465C"/>
    <w:rsid w:val="00B35ACD"/>
    <w:rsid w:val="00B35CFB"/>
    <w:rsid w:val="00B3679D"/>
    <w:rsid w:val="00B36B18"/>
    <w:rsid w:val="00B404BA"/>
    <w:rsid w:val="00B422A4"/>
    <w:rsid w:val="00B429F1"/>
    <w:rsid w:val="00B4405C"/>
    <w:rsid w:val="00B44664"/>
    <w:rsid w:val="00B448E4"/>
    <w:rsid w:val="00B4712E"/>
    <w:rsid w:val="00B47676"/>
    <w:rsid w:val="00B50566"/>
    <w:rsid w:val="00B513B5"/>
    <w:rsid w:val="00B51439"/>
    <w:rsid w:val="00B51B51"/>
    <w:rsid w:val="00B520B0"/>
    <w:rsid w:val="00B5269A"/>
    <w:rsid w:val="00B529C9"/>
    <w:rsid w:val="00B531FD"/>
    <w:rsid w:val="00B53D92"/>
    <w:rsid w:val="00B540A7"/>
    <w:rsid w:val="00B5449B"/>
    <w:rsid w:val="00B54754"/>
    <w:rsid w:val="00B549B8"/>
    <w:rsid w:val="00B55442"/>
    <w:rsid w:val="00B55BF2"/>
    <w:rsid w:val="00B56197"/>
    <w:rsid w:val="00B56BB2"/>
    <w:rsid w:val="00B57476"/>
    <w:rsid w:val="00B57749"/>
    <w:rsid w:val="00B57A8F"/>
    <w:rsid w:val="00B603AF"/>
    <w:rsid w:val="00B60531"/>
    <w:rsid w:val="00B6056A"/>
    <w:rsid w:val="00B60896"/>
    <w:rsid w:val="00B628E8"/>
    <w:rsid w:val="00B62FCF"/>
    <w:rsid w:val="00B6608D"/>
    <w:rsid w:val="00B661CE"/>
    <w:rsid w:val="00B70255"/>
    <w:rsid w:val="00B70B41"/>
    <w:rsid w:val="00B73A4F"/>
    <w:rsid w:val="00B74026"/>
    <w:rsid w:val="00B75BE1"/>
    <w:rsid w:val="00B760E9"/>
    <w:rsid w:val="00B773F5"/>
    <w:rsid w:val="00B80BF6"/>
    <w:rsid w:val="00B811E7"/>
    <w:rsid w:val="00B827FF"/>
    <w:rsid w:val="00B8517F"/>
    <w:rsid w:val="00B85ADE"/>
    <w:rsid w:val="00B864E9"/>
    <w:rsid w:val="00B86782"/>
    <w:rsid w:val="00B879C5"/>
    <w:rsid w:val="00B879DB"/>
    <w:rsid w:val="00B90AD7"/>
    <w:rsid w:val="00B9208C"/>
    <w:rsid w:val="00B923A1"/>
    <w:rsid w:val="00B94136"/>
    <w:rsid w:val="00B95C24"/>
    <w:rsid w:val="00B96204"/>
    <w:rsid w:val="00B97686"/>
    <w:rsid w:val="00B97D99"/>
    <w:rsid w:val="00BA01E8"/>
    <w:rsid w:val="00BA21BE"/>
    <w:rsid w:val="00BA24B9"/>
    <w:rsid w:val="00BA3644"/>
    <w:rsid w:val="00BA417D"/>
    <w:rsid w:val="00BA4BAA"/>
    <w:rsid w:val="00BA5026"/>
    <w:rsid w:val="00BA526C"/>
    <w:rsid w:val="00BA5468"/>
    <w:rsid w:val="00BA5DBB"/>
    <w:rsid w:val="00BA7FC0"/>
    <w:rsid w:val="00BB015B"/>
    <w:rsid w:val="00BB06D6"/>
    <w:rsid w:val="00BB073A"/>
    <w:rsid w:val="00BB0CEA"/>
    <w:rsid w:val="00BB115F"/>
    <w:rsid w:val="00BB27DB"/>
    <w:rsid w:val="00BB29B2"/>
    <w:rsid w:val="00BB3173"/>
    <w:rsid w:val="00BB3F66"/>
    <w:rsid w:val="00BB53DB"/>
    <w:rsid w:val="00BB6026"/>
    <w:rsid w:val="00BB6DF6"/>
    <w:rsid w:val="00BB71F4"/>
    <w:rsid w:val="00BC1150"/>
    <w:rsid w:val="00BC145C"/>
    <w:rsid w:val="00BC1F88"/>
    <w:rsid w:val="00BC2A11"/>
    <w:rsid w:val="00BC2AD6"/>
    <w:rsid w:val="00BC3087"/>
    <w:rsid w:val="00BC330B"/>
    <w:rsid w:val="00BC3AC8"/>
    <w:rsid w:val="00BC407A"/>
    <w:rsid w:val="00BC49FC"/>
    <w:rsid w:val="00BC4D27"/>
    <w:rsid w:val="00BC507E"/>
    <w:rsid w:val="00BC5B00"/>
    <w:rsid w:val="00BC645F"/>
    <w:rsid w:val="00BC75CD"/>
    <w:rsid w:val="00BC7F99"/>
    <w:rsid w:val="00BD07B3"/>
    <w:rsid w:val="00BD0E88"/>
    <w:rsid w:val="00BD17B2"/>
    <w:rsid w:val="00BD2B0F"/>
    <w:rsid w:val="00BD2F03"/>
    <w:rsid w:val="00BD3100"/>
    <w:rsid w:val="00BD42C8"/>
    <w:rsid w:val="00BD43EB"/>
    <w:rsid w:val="00BD4ADA"/>
    <w:rsid w:val="00BD65DF"/>
    <w:rsid w:val="00BE04BB"/>
    <w:rsid w:val="00BE1383"/>
    <w:rsid w:val="00BE2A76"/>
    <w:rsid w:val="00BE35CA"/>
    <w:rsid w:val="00BE3AFB"/>
    <w:rsid w:val="00BE418F"/>
    <w:rsid w:val="00BF0021"/>
    <w:rsid w:val="00BF0E17"/>
    <w:rsid w:val="00BF0E7E"/>
    <w:rsid w:val="00BF0EC5"/>
    <w:rsid w:val="00BF0EF1"/>
    <w:rsid w:val="00BF1BDB"/>
    <w:rsid w:val="00BF2910"/>
    <w:rsid w:val="00BF371B"/>
    <w:rsid w:val="00BF3E6A"/>
    <w:rsid w:val="00BF4844"/>
    <w:rsid w:val="00BF4BE8"/>
    <w:rsid w:val="00BF5BBD"/>
    <w:rsid w:val="00BF6100"/>
    <w:rsid w:val="00BF72CD"/>
    <w:rsid w:val="00BF7385"/>
    <w:rsid w:val="00C0034C"/>
    <w:rsid w:val="00C0045B"/>
    <w:rsid w:val="00C00D4E"/>
    <w:rsid w:val="00C01C10"/>
    <w:rsid w:val="00C02BFA"/>
    <w:rsid w:val="00C02E3E"/>
    <w:rsid w:val="00C03348"/>
    <w:rsid w:val="00C03D91"/>
    <w:rsid w:val="00C0442B"/>
    <w:rsid w:val="00C04987"/>
    <w:rsid w:val="00C05C26"/>
    <w:rsid w:val="00C05FB9"/>
    <w:rsid w:val="00C07385"/>
    <w:rsid w:val="00C0792F"/>
    <w:rsid w:val="00C1095B"/>
    <w:rsid w:val="00C10B51"/>
    <w:rsid w:val="00C11C0C"/>
    <w:rsid w:val="00C12EB0"/>
    <w:rsid w:val="00C13C17"/>
    <w:rsid w:val="00C1432F"/>
    <w:rsid w:val="00C143B1"/>
    <w:rsid w:val="00C1498D"/>
    <w:rsid w:val="00C14ABE"/>
    <w:rsid w:val="00C16326"/>
    <w:rsid w:val="00C16F63"/>
    <w:rsid w:val="00C1743C"/>
    <w:rsid w:val="00C17C51"/>
    <w:rsid w:val="00C17E0C"/>
    <w:rsid w:val="00C201BC"/>
    <w:rsid w:val="00C2200E"/>
    <w:rsid w:val="00C2303A"/>
    <w:rsid w:val="00C23B47"/>
    <w:rsid w:val="00C24068"/>
    <w:rsid w:val="00C251AC"/>
    <w:rsid w:val="00C25B00"/>
    <w:rsid w:val="00C268E8"/>
    <w:rsid w:val="00C27DBF"/>
    <w:rsid w:val="00C31D08"/>
    <w:rsid w:val="00C331FD"/>
    <w:rsid w:val="00C33CED"/>
    <w:rsid w:val="00C3421C"/>
    <w:rsid w:val="00C34687"/>
    <w:rsid w:val="00C35283"/>
    <w:rsid w:val="00C35329"/>
    <w:rsid w:val="00C356E2"/>
    <w:rsid w:val="00C35D1A"/>
    <w:rsid w:val="00C35F91"/>
    <w:rsid w:val="00C36D2D"/>
    <w:rsid w:val="00C40293"/>
    <w:rsid w:val="00C42536"/>
    <w:rsid w:val="00C43000"/>
    <w:rsid w:val="00C4510F"/>
    <w:rsid w:val="00C47D90"/>
    <w:rsid w:val="00C50251"/>
    <w:rsid w:val="00C51548"/>
    <w:rsid w:val="00C51938"/>
    <w:rsid w:val="00C51F61"/>
    <w:rsid w:val="00C530EF"/>
    <w:rsid w:val="00C532BE"/>
    <w:rsid w:val="00C54688"/>
    <w:rsid w:val="00C547CB"/>
    <w:rsid w:val="00C55179"/>
    <w:rsid w:val="00C55743"/>
    <w:rsid w:val="00C55D92"/>
    <w:rsid w:val="00C5739F"/>
    <w:rsid w:val="00C57EEC"/>
    <w:rsid w:val="00C605C9"/>
    <w:rsid w:val="00C60886"/>
    <w:rsid w:val="00C61DEE"/>
    <w:rsid w:val="00C638A4"/>
    <w:rsid w:val="00C64083"/>
    <w:rsid w:val="00C64466"/>
    <w:rsid w:val="00C64B95"/>
    <w:rsid w:val="00C64EFE"/>
    <w:rsid w:val="00C65D18"/>
    <w:rsid w:val="00C65FE8"/>
    <w:rsid w:val="00C66445"/>
    <w:rsid w:val="00C667A8"/>
    <w:rsid w:val="00C674E3"/>
    <w:rsid w:val="00C67D01"/>
    <w:rsid w:val="00C71A96"/>
    <w:rsid w:val="00C71DBC"/>
    <w:rsid w:val="00C7503E"/>
    <w:rsid w:val="00C75687"/>
    <w:rsid w:val="00C75FAE"/>
    <w:rsid w:val="00C76D54"/>
    <w:rsid w:val="00C8001D"/>
    <w:rsid w:val="00C803DC"/>
    <w:rsid w:val="00C80793"/>
    <w:rsid w:val="00C825D7"/>
    <w:rsid w:val="00C82A7E"/>
    <w:rsid w:val="00C82E60"/>
    <w:rsid w:val="00C8333D"/>
    <w:rsid w:val="00C840E1"/>
    <w:rsid w:val="00C84F8B"/>
    <w:rsid w:val="00C8552B"/>
    <w:rsid w:val="00C85775"/>
    <w:rsid w:val="00C85C4E"/>
    <w:rsid w:val="00C86444"/>
    <w:rsid w:val="00C86BB4"/>
    <w:rsid w:val="00C8718C"/>
    <w:rsid w:val="00C874E8"/>
    <w:rsid w:val="00C905B7"/>
    <w:rsid w:val="00C90AA2"/>
    <w:rsid w:val="00C90B9E"/>
    <w:rsid w:val="00C91D07"/>
    <w:rsid w:val="00C93033"/>
    <w:rsid w:val="00C9316B"/>
    <w:rsid w:val="00C934DA"/>
    <w:rsid w:val="00C93816"/>
    <w:rsid w:val="00C93E2E"/>
    <w:rsid w:val="00C93F26"/>
    <w:rsid w:val="00C94895"/>
    <w:rsid w:val="00C9491E"/>
    <w:rsid w:val="00C953F6"/>
    <w:rsid w:val="00C95675"/>
    <w:rsid w:val="00C9588B"/>
    <w:rsid w:val="00C9678E"/>
    <w:rsid w:val="00C96B6B"/>
    <w:rsid w:val="00CA0BD6"/>
    <w:rsid w:val="00CA158D"/>
    <w:rsid w:val="00CA181F"/>
    <w:rsid w:val="00CA20F2"/>
    <w:rsid w:val="00CA466A"/>
    <w:rsid w:val="00CA5D10"/>
    <w:rsid w:val="00CA5EA0"/>
    <w:rsid w:val="00CA6F4D"/>
    <w:rsid w:val="00CA7040"/>
    <w:rsid w:val="00CB0BAB"/>
    <w:rsid w:val="00CB0DBB"/>
    <w:rsid w:val="00CB1470"/>
    <w:rsid w:val="00CB211A"/>
    <w:rsid w:val="00CB22C8"/>
    <w:rsid w:val="00CB2706"/>
    <w:rsid w:val="00CB27AD"/>
    <w:rsid w:val="00CB293F"/>
    <w:rsid w:val="00CB2CE9"/>
    <w:rsid w:val="00CB2EA4"/>
    <w:rsid w:val="00CB426E"/>
    <w:rsid w:val="00CB4DB2"/>
    <w:rsid w:val="00CB6646"/>
    <w:rsid w:val="00CB7778"/>
    <w:rsid w:val="00CB7A2B"/>
    <w:rsid w:val="00CC060C"/>
    <w:rsid w:val="00CC1A0F"/>
    <w:rsid w:val="00CC1D62"/>
    <w:rsid w:val="00CC288B"/>
    <w:rsid w:val="00CC2F1D"/>
    <w:rsid w:val="00CC382C"/>
    <w:rsid w:val="00CC3D99"/>
    <w:rsid w:val="00CC50B5"/>
    <w:rsid w:val="00CC5717"/>
    <w:rsid w:val="00CC5D3E"/>
    <w:rsid w:val="00CC6B92"/>
    <w:rsid w:val="00CD0BF6"/>
    <w:rsid w:val="00CD1864"/>
    <w:rsid w:val="00CD210B"/>
    <w:rsid w:val="00CD2975"/>
    <w:rsid w:val="00CD34FB"/>
    <w:rsid w:val="00CD3F25"/>
    <w:rsid w:val="00CD584A"/>
    <w:rsid w:val="00CE0010"/>
    <w:rsid w:val="00CE037C"/>
    <w:rsid w:val="00CE0CEE"/>
    <w:rsid w:val="00CE13FD"/>
    <w:rsid w:val="00CE3119"/>
    <w:rsid w:val="00CE3208"/>
    <w:rsid w:val="00CE33D1"/>
    <w:rsid w:val="00CE396B"/>
    <w:rsid w:val="00CE3A09"/>
    <w:rsid w:val="00CE4BAE"/>
    <w:rsid w:val="00CE4CC6"/>
    <w:rsid w:val="00CE4EC7"/>
    <w:rsid w:val="00CE5B3E"/>
    <w:rsid w:val="00CE5F8F"/>
    <w:rsid w:val="00CE6632"/>
    <w:rsid w:val="00CF01AB"/>
    <w:rsid w:val="00CF07CD"/>
    <w:rsid w:val="00CF1280"/>
    <w:rsid w:val="00CF2269"/>
    <w:rsid w:val="00CF29BE"/>
    <w:rsid w:val="00CF2CFD"/>
    <w:rsid w:val="00CF3E32"/>
    <w:rsid w:val="00CF41D5"/>
    <w:rsid w:val="00CF4CEB"/>
    <w:rsid w:val="00CF4DF2"/>
    <w:rsid w:val="00CF5449"/>
    <w:rsid w:val="00CF6238"/>
    <w:rsid w:val="00CF6F1A"/>
    <w:rsid w:val="00CF7C18"/>
    <w:rsid w:val="00D005FB"/>
    <w:rsid w:val="00D0090D"/>
    <w:rsid w:val="00D010C6"/>
    <w:rsid w:val="00D0145A"/>
    <w:rsid w:val="00D03DA9"/>
    <w:rsid w:val="00D03EE5"/>
    <w:rsid w:val="00D0456B"/>
    <w:rsid w:val="00D04584"/>
    <w:rsid w:val="00D052D7"/>
    <w:rsid w:val="00D0569D"/>
    <w:rsid w:val="00D06700"/>
    <w:rsid w:val="00D0683D"/>
    <w:rsid w:val="00D074CA"/>
    <w:rsid w:val="00D07624"/>
    <w:rsid w:val="00D07DAE"/>
    <w:rsid w:val="00D108DA"/>
    <w:rsid w:val="00D1206A"/>
    <w:rsid w:val="00D12CCD"/>
    <w:rsid w:val="00D145BB"/>
    <w:rsid w:val="00D1498A"/>
    <w:rsid w:val="00D15A54"/>
    <w:rsid w:val="00D16102"/>
    <w:rsid w:val="00D16753"/>
    <w:rsid w:val="00D17231"/>
    <w:rsid w:val="00D175FC"/>
    <w:rsid w:val="00D17697"/>
    <w:rsid w:val="00D17EB3"/>
    <w:rsid w:val="00D21102"/>
    <w:rsid w:val="00D2159D"/>
    <w:rsid w:val="00D23772"/>
    <w:rsid w:val="00D238D2"/>
    <w:rsid w:val="00D25D6D"/>
    <w:rsid w:val="00D2658E"/>
    <w:rsid w:val="00D269B4"/>
    <w:rsid w:val="00D27B80"/>
    <w:rsid w:val="00D27C6F"/>
    <w:rsid w:val="00D27FF8"/>
    <w:rsid w:val="00D307D9"/>
    <w:rsid w:val="00D30B30"/>
    <w:rsid w:val="00D31A84"/>
    <w:rsid w:val="00D324AF"/>
    <w:rsid w:val="00D32618"/>
    <w:rsid w:val="00D32BAF"/>
    <w:rsid w:val="00D33123"/>
    <w:rsid w:val="00D35204"/>
    <w:rsid w:val="00D35AF0"/>
    <w:rsid w:val="00D36138"/>
    <w:rsid w:val="00D363ED"/>
    <w:rsid w:val="00D36641"/>
    <w:rsid w:val="00D36999"/>
    <w:rsid w:val="00D370ED"/>
    <w:rsid w:val="00D37879"/>
    <w:rsid w:val="00D37DC9"/>
    <w:rsid w:val="00D40B78"/>
    <w:rsid w:val="00D41C1B"/>
    <w:rsid w:val="00D42DB6"/>
    <w:rsid w:val="00D4310E"/>
    <w:rsid w:val="00D459B8"/>
    <w:rsid w:val="00D473D2"/>
    <w:rsid w:val="00D47CD1"/>
    <w:rsid w:val="00D505E6"/>
    <w:rsid w:val="00D5074B"/>
    <w:rsid w:val="00D50CEB"/>
    <w:rsid w:val="00D51605"/>
    <w:rsid w:val="00D51F6D"/>
    <w:rsid w:val="00D525A7"/>
    <w:rsid w:val="00D534FA"/>
    <w:rsid w:val="00D53D98"/>
    <w:rsid w:val="00D53DDF"/>
    <w:rsid w:val="00D5545C"/>
    <w:rsid w:val="00D55507"/>
    <w:rsid w:val="00D55AB6"/>
    <w:rsid w:val="00D574BA"/>
    <w:rsid w:val="00D57703"/>
    <w:rsid w:val="00D60112"/>
    <w:rsid w:val="00D60765"/>
    <w:rsid w:val="00D618D2"/>
    <w:rsid w:val="00D61DB0"/>
    <w:rsid w:val="00D62315"/>
    <w:rsid w:val="00D62D20"/>
    <w:rsid w:val="00D63181"/>
    <w:rsid w:val="00D631A3"/>
    <w:rsid w:val="00D63942"/>
    <w:rsid w:val="00D63ACF"/>
    <w:rsid w:val="00D643F4"/>
    <w:rsid w:val="00D645E0"/>
    <w:rsid w:val="00D64E7C"/>
    <w:rsid w:val="00D650D2"/>
    <w:rsid w:val="00D663C4"/>
    <w:rsid w:val="00D66594"/>
    <w:rsid w:val="00D66CA0"/>
    <w:rsid w:val="00D66D08"/>
    <w:rsid w:val="00D66F96"/>
    <w:rsid w:val="00D66FA4"/>
    <w:rsid w:val="00D67956"/>
    <w:rsid w:val="00D67B95"/>
    <w:rsid w:val="00D67D48"/>
    <w:rsid w:val="00D67E61"/>
    <w:rsid w:val="00D706B1"/>
    <w:rsid w:val="00D7154A"/>
    <w:rsid w:val="00D71678"/>
    <w:rsid w:val="00D72260"/>
    <w:rsid w:val="00D7366A"/>
    <w:rsid w:val="00D747C7"/>
    <w:rsid w:val="00D7600D"/>
    <w:rsid w:val="00D76795"/>
    <w:rsid w:val="00D776FD"/>
    <w:rsid w:val="00D77707"/>
    <w:rsid w:val="00D802FD"/>
    <w:rsid w:val="00D805E7"/>
    <w:rsid w:val="00D8174B"/>
    <w:rsid w:val="00D81D8E"/>
    <w:rsid w:val="00D82460"/>
    <w:rsid w:val="00D825FB"/>
    <w:rsid w:val="00D82ED9"/>
    <w:rsid w:val="00D82EFA"/>
    <w:rsid w:val="00D83690"/>
    <w:rsid w:val="00D850A8"/>
    <w:rsid w:val="00D85856"/>
    <w:rsid w:val="00D86497"/>
    <w:rsid w:val="00D86A21"/>
    <w:rsid w:val="00D86DF9"/>
    <w:rsid w:val="00D870C0"/>
    <w:rsid w:val="00D87B83"/>
    <w:rsid w:val="00D87D4B"/>
    <w:rsid w:val="00D917D3"/>
    <w:rsid w:val="00D9205D"/>
    <w:rsid w:val="00D92DB2"/>
    <w:rsid w:val="00D939D1"/>
    <w:rsid w:val="00D96598"/>
    <w:rsid w:val="00D96FEE"/>
    <w:rsid w:val="00D97C1C"/>
    <w:rsid w:val="00DA02DF"/>
    <w:rsid w:val="00DA0854"/>
    <w:rsid w:val="00DA0C98"/>
    <w:rsid w:val="00DA0DDF"/>
    <w:rsid w:val="00DA1141"/>
    <w:rsid w:val="00DA1D61"/>
    <w:rsid w:val="00DA1D98"/>
    <w:rsid w:val="00DA1E9C"/>
    <w:rsid w:val="00DA204D"/>
    <w:rsid w:val="00DA3561"/>
    <w:rsid w:val="00DA3897"/>
    <w:rsid w:val="00DA3B96"/>
    <w:rsid w:val="00DA3F18"/>
    <w:rsid w:val="00DA45E8"/>
    <w:rsid w:val="00DA4EDE"/>
    <w:rsid w:val="00DA5042"/>
    <w:rsid w:val="00DA550E"/>
    <w:rsid w:val="00DB11EC"/>
    <w:rsid w:val="00DB1E4C"/>
    <w:rsid w:val="00DB2885"/>
    <w:rsid w:val="00DB2F66"/>
    <w:rsid w:val="00DB3BF9"/>
    <w:rsid w:val="00DB3F26"/>
    <w:rsid w:val="00DB4332"/>
    <w:rsid w:val="00DB4805"/>
    <w:rsid w:val="00DB4D47"/>
    <w:rsid w:val="00DC020D"/>
    <w:rsid w:val="00DC1C86"/>
    <w:rsid w:val="00DC1E06"/>
    <w:rsid w:val="00DC1E28"/>
    <w:rsid w:val="00DC296D"/>
    <w:rsid w:val="00DC2A1F"/>
    <w:rsid w:val="00DC3E6A"/>
    <w:rsid w:val="00DC5F1D"/>
    <w:rsid w:val="00DC68F2"/>
    <w:rsid w:val="00DC6B9F"/>
    <w:rsid w:val="00DD39CC"/>
    <w:rsid w:val="00DD3BE4"/>
    <w:rsid w:val="00DD4974"/>
    <w:rsid w:val="00DD49B3"/>
    <w:rsid w:val="00DD4ECE"/>
    <w:rsid w:val="00DD5387"/>
    <w:rsid w:val="00DD5ECE"/>
    <w:rsid w:val="00DD6140"/>
    <w:rsid w:val="00DD6AA2"/>
    <w:rsid w:val="00DE02AE"/>
    <w:rsid w:val="00DE0577"/>
    <w:rsid w:val="00DE157A"/>
    <w:rsid w:val="00DE1D00"/>
    <w:rsid w:val="00DE2A5A"/>
    <w:rsid w:val="00DE2F86"/>
    <w:rsid w:val="00DE4895"/>
    <w:rsid w:val="00DE5E60"/>
    <w:rsid w:val="00DF0450"/>
    <w:rsid w:val="00DF04D6"/>
    <w:rsid w:val="00DF076D"/>
    <w:rsid w:val="00DF0ACF"/>
    <w:rsid w:val="00DF115E"/>
    <w:rsid w:val="00DF1345"/>
    <w:rsid w:val="00DF190A"/>
    <w:rsid w:val="00DF3143"/>
    <w:rsid w:val="00DF3A29"/>
    <w:rsid w:val="00DF3CBF"/>
    <w:rsid w:val="00DF438D"/>
    <w:rsid w:val="00DF4BA3"/>
    <w:rsid w:val="00DF57EE"/>
    <w:rsid w:val="00DF5E48"/>
    <w:rsid w:val="00DF68F2"/>
    <w:rsid w:val="00DF6CD2"/>
    <w:rsid w:val="00DF6F65"/>
    <w:rsid w:val="00E0003E"/>
    <w:rsid w:val="00E005D0"/>
    <w:rsid w:val="00E009E0"/>
    <w:rsid w:val="00E02DDA"/>
    <w:rsid w:val="00E03977"/>
    <w:rsid w:val="00E04109"/>
    <w:rsid w:val="00E04676"/>
    <w:rsid w:val="00E049D6"/>
    <w:rsid w:val="00E0588A"/>
    <w:rsid w:val="00E05CE5"/>
    <w:rsid w:val="00E05D1D"/>
    <w:rsid w:val="00E076D0"/>
    <w:rsid w:val="00E0782A"/>
    <w:rsid w:val="00E078CC"/>
    <w:rsid w:val="00E1058E"/>
    <w:rsid w:val="00E110C2"/>
    <w:rsid w:val="00E112FF"/>
    <w:rsid w:val="00E12420"/>
    <w:rsid w:val="00E1386E"/>
    <w:rsid w:val="00E14C44"/>
    <w:rsid w:val="00E157BB"/>
    <w:rsid w:val="00E162A3"/>
    <w:rsid w:val="00E17514"/>
    <w:rsid w:val="00E17862"/>
    <w:rsid w:val="00E179BB"/>
    <w:rsid w:val="00E215C3"/>
    <w:rsid w:val="00E21D6F"/>
    <w:rsid w:val="00E21FD9"/>
    <w:rsid w:val="00E227B8"/>
    <w:rsid w:val="00E22AEA"/>
    <w:rsid w:val="00E23349"/>
    <w:rsid w:val="00E23895"/>
    <w:rsid w:val="00E239C3"/>
    <w:rsid w:val="00E23CC8"/>
    <w:rsid w:val="00E23F20"/>
    <w:rsid w:val="00E241B6"/>
    <w:rsid w:val="00E245DC"/>
    <w:rsid w:val="00E24710"/>
    <w:rsid w:val="00E24EB2"/>
    <w:rsid w:val="00E269A1"/>
    <w:rsid w:val="00E27068"/>
    <w:rsid w:val="00E27970"/>
    <w:rsid w:val="00E30E51"/>
    <w:rsid w:val="00E30EB1"/>
    <w:rsid w:val="00E3104F"/>
    <w:rsid w:val="00E315AB"/>
    <w:rsid w:val="00E31FEE"/>
    <w:rsid w:val="00E323F7"/>
    <w:rsid w:val="00E325C2"/>
    <w:rsid w:val="00E328AE"/>
    <w:rsid w:val="00E330B1"/>
    <w:rsid w:val="00E343D3"/>
    <w:rsid w:val="00E34445"/>
    <w:rsid w:val="00E355A0"/>
    <w:rsid w:val="00E35740"/>
    <w:rsid w:val="00E35B97"/>
    <w:rsid w:val="00E372D8"/>
    <w:rsid w:val="00E3733E"/>
    <w:rsid w:val="00E37E50"/>
    <w:rsid w:val="00E37FA6"/>
    <w:rsid w:val="00E403E4"/>
    <w:rsid w:val="00E40905"/>
    <w:rsid w:val="00E4128E"/>
    <w:rsid w:val="00E41703"/>
    <w:rsid w:val="00E41C30"/>
    <w:rsid w:val="00E4241F"/>
    <w:rsid w:val="00E4264D"/>
    <w:rsid w:val="00E427D2"/>
    <w:rsid w:val="00E43882"/>
    <w:rsid w:val="00E43D55"/>
    <w:rsid w:val="00E44337"/>
    <w:rsid w:val="00E44598"/>
    <w:rsid w:val="00E449B0"/>
    <w:rsid w:val="00E45417"/>
    <w:rsid w:val="00E45517"/>
    <w:rsid w:val="00E466B5"/>
    <w:rsid w:val="00E5013D"/>
    <w:rsid w:val="00E50EB8"/>
    <w:rsid w:val="00E518CC"/>
    <w:rsid w:val="00E51F33"/>
    <w:rsid w:val="00E5235A"/>
    <w:rsid w:val="00E53566"/>
    <w:rsid w:val="00E54D0D"/>
    <w:rsid w:val="00E554EF"/>
    <w:rsid w:val="00E55D3C"/>
    <w:rsid w:val="00E56D98"/>
    <w:rsid w:val="00E57F50"/>
    <w:rsid w:val="00E603B1"/>
    <w:rsid w:val="00E606A8"/>
    <w:rsid w:val="00E60BA9"/>
    <w:rsid w:val="00E60CC2"/>
    <w:rsid w:val="00E61257"/>
    <w:rsid w:val="00E61A03"/>
    <w:rsid w:val="00E623C5"/>
    <w:rsid w:val="00E6260B"/>
    <w:rsid w:val="00E62A68"/>
    <w:rsid w:val="00E62E10"/>
    <w:rsid w:val="00E63DA2"/>
    <w:rsid w:val="00E666D4"/>
    <w:rsid w:val="00E66C8B"/>
    <w:rsid w:val="00E6760F"/>
    <w:rsid w:val="00E70F3B"/>
    <w:rsid w:val="00E70FDB"/>
    <w:rsid w:val="00E719F3"/>
    <w:rsid w:val="00E71D60"/>
    <w:rsid w:val="00E724F3"/>
    <w:rsid w:val="00E72651"/>
    <w:rsid w:val="00E73856"/>
    <w:rsid w:val="00E73EAA"/>
    <w:rsid w:val="00E7407D"/>
    <w:rsid w:val="00E75530"/>
    <w:rsid w:val="00E75822"/>
    <w:rsid w:val="00E7596D"/>
    <w:rsid w:val="00E75ADC"/>
    <w:rsid w:val="00E75B36"/>
    <w:rsid w:val="00E768E5"/>
    <w:rsid w:val="00E77620"/>
    <w:rsid w:val="00E8023F"/>
    <w:rsid w:val="00E803FC"/>
    <w:rsid w:val="00E80CAA"/>
    <w:rsid w:val="00E81A9D"/>
    <w:rsid w:val="00E81C10"/>
    <w:rsid w:val="00E83E2B"/>
    <w:rsid w:val="00E84E20"/>
    <w:rsid w:val="00E84F9A"/>
    <w:rsid w:val="00E8601B"/>
    <w:rsid w:val="00E8663E"/>
    <w:rsid w:val="00E873D4"/>
    <w:rsid w:val="00E87CA6"/>
    <w:rsid w:val="00E87D44"/>
    <w:rsid w:val="00E905BD"/>
    <w:rsid w:val="00E91365"/>
    <w:rsid w:val="00E923CF"/>
    <w:rsid w:val="00E92DBD"/>
    <w:rsid w:val="00E94429"/>
    <w:rsid w:val="00E94FF8"/>
    <w:rsid w:val="00E95152"/>
    <w:rsid w:val="00E959C2"/>
    <w:rsid w:val="00E961B4"/>
    <w:rsid w:val="00E968B2"/>
    <w:rsid w:val="00E96E9F"/>
    <w:rsid w:val="00EA2704"/>
    <w:rsid w:val="00EA4B3F"/>
    <w:rsid w:val="00EA4C2A"/>
    <w:rsid w:val="00EA5674"/>
    <w:rsid w:val="00EA5DB2"/>
    <w:rsid w:val="00EA626C"/>
    <w:rsid w:val="00EA6731"/>
    <w:rsid w:val="00EA6FC4"/>
    <w:rsid w:val="00EA7F79"/>
    <w:rsid w:val="00EB0560"/>
    <w:rsid w:val="00EB222D"/>
    <w:rsid w:val="00EB32F2"/>
    <w:rsid w:val="00EB4504"/>
    <w:rsid w:val="00EB46D1"/>
    <w:rsid w:val="00EB4989"/>
    <w:rsid w:val="00EB4F66"/>
    <w:rsid w:val="00EB5008"/>
    <w:rsid w:val="00EB51DD"/>
    <w:rsid w:val="00EB694F"/>
    <w:rsid w:val="00EB7F2E"/>
    <w:rsid w:val="00EC0832"/>
    <w:rsid w:val="00EC3560"/>
    <w:rsid w:val="00EC3F8A"/>
    <w:rsid w:val="00EC417F"/>
    <w:rsid w:val="00EC47A8"/>
    <w:rsid w:val="00EC48BE"/>
    <w:rsid w:val="00EC786E"/>
    <w:rsid w:val="00ED00E3"/>
    <w:rsid w:val="00ED0434"/>
    <w:rsid w:val="00ED0C30"/>
    <w:rsid w:val="00ED2A37"/>
    <w:rsid w:val="00ED2BB7"/>
    <w:rsid w:val="00ED30B1"/>
    <w:rsid w:val="00ED45A3"/>
    <w:rsid w:val="00ED45BB"/>
    <w:rsid w:val="00ED4F7E"/>
    <w:rsid w:val="00ED51C7"/>
    <w:rsid w:val="00ED5279"/>
    <w:rsid w:val="00ED5A12"/>
    <w:rsid w:val="00ED6D0B"/>
    <w:rsid w:val="00ED7134"/>
    <w:rsid w:val="00ED71F2"/>
    <w:rsid w:val="00EE007C"/>
    <w:rsid w:val="00EE0BA4"/>
    <w:rsid w:val="00EE0F39"/>
    <w:rsid w:val="00EE1304"/>
    <w:rsid w:val="00EE1443"/>
    <w:rsid w:val="00EE39F4"/>
    <w:rsid w:val="00EE3A65"/>
    <w:rsid w:val="00EE4290"/>
    <w:rsid w:val="00EE4B1E"/>
    <w:rsid w:val="00EE52C4"/>
    <w:rsid w:val="00EE533C"/>
    <w:rsid w:val="00EE6730"/>
    <w:rsid w:val="00EE67E6"/>
    <w:rsid w:val="00EE7192"/>
    <w:rsid w:val="00EF06F9"/>
    <w:rsid w:val="00EF164C"/>
    <w:rsid w:val="00EF1669"/>
    <w:rsid w:val="00EF3A9F"/>
    <w:rsid w:val="00EF47CF"/>
    <w:rsid w:val="00EF483C"/>
    <w:rsid w:val="00EF4F5D"/>
    <w:rsid w:val="00EF7054"/>
    <w:rsid w:val="00EF7AA8"/>
    <w:rsid w:val="00EF7DD0"/>
    <w:rsid w:val="00EF7F80"/>
    <w:rsid w:val="00F004ED"/>
    <w:rsid w:val="00F00730"/>
    <w:rsid w:val="00F00C5A"/>
    <w:rsid w:val="00F01373"/>
    <w:rsid w:val="00F01391"/>
    <w:rsid w:val="00F015CA"/>
    <w:rsid w:val="00F01950"/>
    <w:rsid w:val="00F0200C"/>
    <w:rsid w:val="00F02422"/>
    <w:rsid w:val="00F0242B"/>
    <w:rsid w:val="00F025F9"/>
    <w:rsid w:val="00F02634"/>
    <w:rsid w:val="00F02D76"/>
    <w:rsid w:val="00F06B17"/>
    <w:rsid w:val="00F07871"/>
    <w:rsid w:val="00F07E59"/>
    <w:rsid w:val="00F10A31"/>
    <w:rsid w:val="00F11CC5"/>
    <w:rsid w:val="00F12202"/>
    <w:rsid w:val="00F12541"/>
    <w:rsid w:val="00F12936"/>
    <w:rsid w:val="00F133F2"/>
    <w:rsid w:val="00F13B75"/>
    <w:rsid w:val="00F15258"/>
    <w:rsid w:val="00F1550A"/>
    <w:rsid w:val="00F1573E"/>
    <w:rsid w:val="00F16244"/>
    <w:rsid w:val="00F16F84"/>
    <w:rsid w:val="00F17898"/>
    <w:rsid w:val="00F179FD"/>
    <w:rsid w:val="00F20DDE"/>
    <w:rsid w:val="00F2191C"/>
    <w:rsid w:val="00F21CA4"/>
    <w:rsid w:val="00F22052"/>
    <w:rsid w:val="00F22561"/>
    <w:rsid w:val="00F22B1D"/>
    <w:rsid w:val="00F26E63"/>
    <w:rsid w:val="00F2741E"/>
    <w:rsid w:val="00F30DAF"/>
    <w:rsid w:val="00F318B4"/>
    <w:rsid w:val="00F31A05"/>
    <w:rsid w:val="00F320D9"/>
    <w:rsid w:val="00F324FC"/>
    <w:rsid w:val="00F33F9E"/>
    <w:rsid w:val="00F35B3E"/>
    <w:rsid w:val="00F362EB"/>
    <w:rsid w:val="00F3670A"/>
    <w:rsid w:val="00F36743"/>
    <w:rsid w:val="00F369A8"/>
    <w:rsid w:val="00F36C34"/>
    <w:rsid w:val="00F376C2"/>
    <w:rsid w:val="00F40FA2"/>
    <w:rsid w:val="00F4146C"/>
    <w:rsid w:val="00F42B72"/>
    <w:rsid w:val="00F432F5"/>
    <w:rsid w:val="00F44062"/>
    <w:rsid w:val="00F44FD2"/>
    <w:rsid w:val="00F460BB"/>
    <w:rsid w:val="00F464E6"/>
    <w:rsid w:val="00F46824"/>
    <w:rsid w:val="00F46ECA"/>
    <w:rsid w:val="00F47192"/>
    <w:rsid w:val="00F474A6"/>
    <w:rsid w:val="00F47C2A"/>
    <w:rsid w:val="00F50492"/>
    <w:rsid w:val="00F50EF8"/>
    <w:rsid w:val="00F51304"/>
    <w:rsid w:val="00F52045"/>
    <w:rsid w:val="00F52D26"/>
    <w:rsid w:val="00F53042"/>
    <w:rsid w:val="00F54AAA"/>
    <w:rsid w:val="00F55C8F"/>
    <w:rsid w:val="00F5620A"/>
    <w:rsid w:val="00F56383"/>
    <w:rsid w:val="00F56FF3"/>
    <w:rsid w:val="00F5716E"/>
    <w:rsid w:val="00F57FA1"/>
    <w:rsid w:val="00F604D9"/>
    <w:rsid w:val="00F61F0C"/>
    <w:rsid w:val="00F6385E"/>
    <w:rsid w:val="00F6397A"/>
    <w:rsid w:val="00F63B58"/>
    <w:rsid w:val="00F64695"/>
    <w:rsid w:val="00F64738"/>
    <w:rsid w:val="00F64BC1"/>
    <w:rsid w:val="00F65F8E"/>
    <w:rsid w:val="00F664B5"/>
    <w:rsid w:val="00F702EC"/>
    <w:rsid w:val="00F709BB"/>
    <w:rsid w:val="00F712DA"/>
    <w:rsid w:val="00F713D0"/>
    <w:rsid w:val="00F72001"/>
    <w:rsid w:val="00F7386A"/>
    <w:rsid w:val="00F73920"/>
    <w:rsid w:val="00F739F5"/>
    <w:rsid w:val="00F744E5"/>
    <w:rsid w:val="00F74517"/>
    <w:rsid w:val="00F754D2"/>
    <w:rsid w:val="00F76D0F"/>
    <w:rsid w:val="00F7706B"/>
    <w:rsid w:val="00F80DAE"/>
    <w:rsid w:val="00F818DA"/>
    <w:rsid w:val="00F83494"/>
    <w:rsid w:val="00F835EC"/>
    <w:rsid w:val="00F83A36"/>
    <w:rsid w:val="00F83BD8"/>
    <w:rsid w:val="00F84332"/>
    <w:rsid w:val="00F84C7B"/>
    <w:rsid w:val="00F876BA"/>
    <w:rsid w:val="00F90645"/>
    <w:rsid w:val="00F91283"/>
    <w:rsid w:val="00F91849"/>
    <w:rsid w:val="00F91986"/>
    <w:rsid w:val="00F91DF5"/>
    <w:rsid w:val="00F922F0"/>
    <w:rsid w:val="00F928F0"/>
    <w:rsid w:val="00F932A8"/>
    <w:rsid w:val="00F932BF"/>
    <w:rsid w:val="00F933B9"/>
    <w:rsid w:val="00F93465"/>
    <w:rsid w:val="00F9377F"/>
    <w:rsid w:val="00F94753"/>
    <w:rsid w:val="00F95AD7"/>
    <w:rsid w:val="00F97EC2"/>
    <w:rsid w:val="00FA0510"/>
    <w:rsid w:val="00FA0561"/>
    <w:rsid w:val="00FA199F"/>
    <w:rsid w:val="00FA20C0"/>
    <w:rsid w:val="00FA22E3"/>
    <w:rsid w:val="00FA2797"/>
    <w:rsid w:val="00FA5B53"/>
    <w:rsid w:val="00FA5DAB"/>
    <w:rsid w:val="00FA6D2E"/>
    <w:rsid w:val="00FA703A"/>
    <w:rsid w:val="00FA77AE"/>
    <w:rsid w:val="00FB1309"/>
    <w:rsid w:val="00FB1D6A"/>
    <w:rsid w:val="00FB1F28"/>
    <w:rsid w:val="00FB1F7B"/>
    <w:rsid w:val="00FB2571"/>
    <w:rsid w:val="00FB2A32"/>
    <w:rsid w:val="00FB317B"/>
    <w:rsid w:val="00FB43AA"/>
    <w:rsid w:val="00FB4C4D"/>
    <w:rsid w:val="00FB50DF"/>
    <w:rsid w:val="00FB6038"/>
    <w:rsid w:val="00FB73FF"/>
    <w:rsid w:val="00FB7DD9"/>
    <w:rsid w:val="00FC095B"/>
    <w:rsid w:val="00FC0DFF"/>
    <w:rsid w:val="00FC1AF2"/>
    <w:rsid w:val="00FC21F1"/>
    <w:rsid w:val="00FC24DC"/>
    <w:rsid w:val="00FC269F"/>
    <w:rsid w:val="00FC29BD"/>
    <w:rsid w:val="00FC2C9D"/>
    <w:rsid w:val="00FC2EF3"/>
    <w:rsid w:val="00FC2F2D"/>
    <w:rsid w:val="00FC336E"/>
    <w:rsid w:val="00FC4540"/>
    <w:rsid w:val="00FC5796"/>
    <w:rsid w:val="00FC5B2D"/>
    <w:rsid w:val="00FC678A"/>
    <w:rsid w:val="00FC696C"/>
    <w:rsid w:val="00FC6985"/>
    <w:rsid w:val="00FC6B1E"/>
    <w:rsid w:val="00FC6D1D"/>
    <w:rsid w:val="00FC7D13"/>
    <w:rsid w:val="00FD05AD"/>
    <w:rsid w:val="00FD08A8"/>
    <w:rsid w:val="00FD0C36"/>
    <w:rsid w:val="00FD0E0C"/>
    <w:rsid w:val="00FD1927"/>
    <w:rsid w:val="00FD1DD1"/>
    <w:rsid w:val="00FD2AA8"/>
    <w:rsid w:val="00FD3479"/>
    <w:rsid w:val="00FD35D1"/>
    <w:rsid w:val="00FD3B23"/>
    <w:rsid w:val="00FD3BDC"/>
    <w:rsid w:val="00FD4A10"/>
    <w:rsid w:val="00FD524E"/>
    <w:rsid w:val="00FE0298"/>
    <w:rsid w:val="00FE0825"/>
    <w:rsid w:val="00FE108C"/>
    <w:rsid w:val="00FE1768"/>
    <w:rsid w:val="00FE1C54"/>
    <w:rsid w:val="00FE1F2E"/>
    <w:rsid w:val="00FE2234"/>
    <w:rsid w:val="00FE26A6"/>
    <w:rsid w:val="00FE2A1E"/>
    <w:rsid w:val="00FE3454"/>
    <w:rsid w:val="00FE36FE"/>
    <w:rsid w:val="00FE3EEF"/>
    <w:rsid w:val="00FE4110"/>
    <w:rsid w:val="00FE443B"/>
    <w:rsid w:val="00FE51B3"/>
    <w:rsid w:val="00FE5425"/>
    <w:rsid w:val="00FE5991"/>
    <w:rsid w:val="00FE5F7A"/>
    <w:rsid w:val="00FE61CE"/>
    <w:rsid w:val="00FE77C8"/>
    <w:rsid w:val="00FF02B1"/>
    <w:rsid w:val="00FF0895"/>
    <w:rsid w:val="00FF08D6"/>
    <w:rsid w:val="00FF1930"/>
    <w:rsid w:val="00FF6213"/>
    <w:rsid w:val="014B08FF"/>
    <w:rsid w:val="018F2EE2"/>
    <w:rsid w:val="018F771A"/>
    <w:rsid w:val="01B1108D"/>
    <w:rsid w:val="01B97760"/>
    <w:rsid w:val="01F33EE0"/>
    <w:rsid w:val="01FC03B8"/>
    <w:rsid w:val="021F723B"/>
    <w:rsid w:val="02C1335B"/>
    <w:rsid w:val="02CC1827"/>
    <w:rsid w:val="02CD7C27"/>
    <w:rsid w:val="02E60036"/>
    <w:rsid w:val="031B67E8"/>
    <w:rsid w:val="032558AB"/>
    <w:rsid w:val="0341645D"/>
    <w:rsid w:val="0361440A"/>
    <w:rsid w:val="03D34DFE"/>
    <w:rsid w:val="03D41E8A"/>
    <w:rsid w:val="03FC0AFB"/>
    <w:rsid w:val="0414147C"/>
    <w:rsid w:val="04403816"/>
    <w:rsid w:val="04A85649"/>
    <w:rsid w:val="04FB08DB"/>
    <w:rsid w:val="0517201D"/>
    <w:rsid w:val="053A15DB"/>
    <w:rsid w:val="05B13426"/>
    <w:rsid w:val="05B147C9"/>
    <w:rsid w:val="05C43F05"/>
    <w:rsid w:val="05CC64B2"/>
    <w:rsid w:val="06191E96"/>
    <w:rsid w:val="0639181C"/>
    <w:rsid w:val="069A1DDB"/>
    <w:rsid w:val="070A2788"/>
    <w:rsid w:val="07420087"/>
    <w:rsid w:val="076369A2"/>
    <w:rsid w:val="078D0CDD"/>
    <w:rsid w:val="07C17B6D"/>
    <w:rsid w:val="07DB3D6B"/>
    <w:rsid w:val="07F1072F"/>
    <w:rsid w:val="08014FB0"/>
    <w:rsid w:val="082408D3"/>
    <w:rsid w:val="08823956"/>
    <w:rsid w:val="088359A5"/>
    <w:rsid w:val="089332B7"/>
    <w:rsid w:val="08DD075B"/>
    <w:rsid w:val="08FF26FB"/>
    <w:rsid w:val="09007F22"/>
    <w:rsid w:val="090141B7"/>
    <w:rsid w:val="09416191"/>
    <w:rsid w:val="094E3682"/>
    <w:rsid w:val="095967D9"/>
    <w:rsid w:val="097430E9"/>
    <w:rsid w:val="0989582F"/>
    <w:rsid w:val="0A1237C6"/>
    <w:rsid w:val="0A1F504B"/>
    <w:rsid w:val="0A4D56E8"/>
    <w:rsid w:val="0A5A14B3"/>
    <w:rsid w:val="0A947548"/>
    <w:rsid w:val="0A9D087D"/>
    <w:rsid w:val="0A9F7C74"/>
    <w:rsid w:val="0ABA0FCF"/>
    <w:rsid w:val="0AE914D3"/>
    <w:rsid w:val="0B164833"/>
    <w:rsid w:val="0B5B7A56"/>
    <w:rsid w:val="0B68504B"/>
    <w:rsid w:val="0B725346"/>
    <w:rsid w:val="0BA61D88"/>
    <w:rsid w:val="0BDA11FD"/>
    <w:rsid w:val="0BDA3FD4"/>
    <w:rsid w:val="0C197F77"/>
    <w:rsid w:val="0C4341F5"/>
    <w:rsid w:val="0C4D7C21"/>
    <w:rsid w:val="0C595CCF"/>
    <w:rsid w:val="0C634D74"/>
    <w:rsid w:val="0CF42411"/>
    <w:rsid w:val="0D281970"/>
    <w:rsid w:val="0D961154"/>
    <w:rsid w:val="0DC9777B"/>
    <w:rsid w:val="0DE87E03"/>
    <w:rsid w:val="0DEE2D3E"/>
    <w:rsid w:val="0DFE6B6C"/>
    <w:rsid w:val="0E083E00"/>
    <w:rsid w:val="0E4C65AF"/>
    <w:rsid w:val="0E544313"/>
    <w:rsid w:val="0E5867A1"/>
    <w:rsid w:val="0E671840"/>
    <w:rsid w:val="0EBD108E"/>
    <w:rsid w:val="0EC3241C"/>
    <w:rsid w:val="0EC87A33"/>
    <w:rsid w:val="0EEA1757"/>
    <w:rsid w:val="0EEC17E9"/>
    <w:rsid w:val="0EF97BEC"/>
    <w:rsid w:val="0F244271"/>
    <w:rsid w:val="0F3A3B05"/>
    <w:rsid w:val="0F3F1AA3"/>
    <w:rsid w:val="0F4B48EC"/>
    <w:rsid w:val="0F576E12"/>
    <w:rsid w:val="0F84395A"/>
    <w:rsid w:val="0F8611CB"/>
    <w:rsid w:val="0F9067A2"/>
    <w:rsid w:val="0FC24482"/>
    <w:rsid w:val="0FE67B78"/>
    <w:rsid w:val="103412D0"/>
    <w:rsid w:val="10BB6045"/>
    <w:rsid w:val="10BC122C"/>
    <w:rsid w:val="10C2298C"/>
    <w:rsid w:val="11032119"/>
    <w:rsid w:val="110C39AF"/>
    <w:rsid w:val="11253A07"/>
    <w:rsid w:val="11423ACC"/>
    <w:rsid w:val="114333A1"/>
    <w:rsid w:val="115F642C"/>
    <w:rsid w:val="11691059"/>
    <w:rsid w:val="117E6A3C"/>
    <w:rsid w:val="11ED1B1E"/>
    <w:rsid w:val="12195AA6"/>
    <w:rsid w:val="12655CC4"/>
    <w:rsid w:val="12AD58E6"/>
    <w:rsid w:val="12C54381"/>
    <w:rsid w:val="12EC0EF1"/>
    <w:rsid w:val="12F232D0"/>
    <w:rsid w:val="12F57EB2"/>
    <w:rsid w:val="13066709"/>
    <w:rsid w:val="130D3C66"/>
    <w:rsid w:val="131E7BB5"/>
    <w:rsid w:val="13360169"/>
    <w:rsid w:val="13386F35"/>
    <w:rsid w:val="137347E9"/>
    <w:rsid w:val="14297B60"/>
    <w:rsid w:val="143A6CDD"/>
    <w:rsid w:val="1461070D"/>
    <w:rsid w:val="146741D3"/>
    <w:rsid w:val="15044962"/>
    <w:rsid w:val="15057A82"/>
    <w:rsid w:val="151E03AD"/>
    <w:rsid w:val="15632263"/>
    <w:rsid w:val="15DC0116"/>
    <w:rsid w:val="15DD3DC4"/>
    <w:rsid w:val="16161084"/>
    <w:rsid w:val="169F73DB"/>
    <w:rsid w:val="16A4074E"/>
    <w:rsid w:val="16CD3E38"/>
    <w:rsid w:val="17296093"/>
    <w:rsid w:val="174D3F9F"/>
    <w:rsid w:val="17630335"/>
    <w:rsid w:val="17B3648B"/>
    <w:rsid w:val="17BC71B1"/>
    <w:rsid w:val="17C6422B"/>
    <w:rsid w:val="17CF1E32"/>
    <w:rsid w:val="182D1CD7"/>
    <w:rsid w:val="184A12A9"/>
    <w:rsid w:val="1894239C"/>
    <w:rsid w:val="18AE7C99"/>
    <w:rsid w:val="19057D6C"/>
    <w:rsid w:val="19145D4E"/>
    <w:rsid w:val="1931413C"/>
    <w:rsid w:val="195D732F"/>
    <w:rsid w:val="19645C37"/>
    <w:rsid w:val="19851096"/>
    <w:rsid w:val="199E7D0E"/>
    <w:rsid w:val="19AD2D07"/>
    <w:rsid w:val="19C31F4B"/>
    <w:rsid w:val="19CF32C0"/>
    <w:rsid w:val="19E370AA"/>
    <w:rsid w:val="1A0E6849"/>
    <w:rsid w:val="1A5C536C"/>
    <w:rsid w:val="1A8011C2"/>
    <w:rsid w:val="1AC632FA"/>
    <w:rsid w:val="1AC80671"/>
    <w:rsid w:val="1AD4322F"/>
    <w:rsid w:val="1AD6069A"/>
    <w:rsid w:val="1AF04281"/>
    <w:rsid w:val="1AFE2784"/>
    <w:rsid w:val="1B0B3A0A"/>
    <w:rsid w:val="1B284252"/>
    <w:rsid w:val="1B2F6301"/>
    <w:rsid w:val="1B4D6A24"/>
    <w:rsid w:val="1BCD0437"/>
    <w:rsid w:val="1C3F7248"/>
    <w:rsid w:val="1C5B1EE6"/>
    <w:rsid w:val="1C5C20F9"/>
    <w:rsid w:val="1C641230"/>
    <w:rsid w:val="1C735482"/>
    <w:rsid w:val="1C737230"/>
    <w:rsid w:val="1C9C057E"/>
    <w:rsid w:val="1CC618B6"/>
    <w:rsid w:val="1CC7757C"/>
    <w:rsid w:val="1D352737"/>
    <w:rsid w:val="1D48246B"/>
    <w:rsid w:val="1D662515"/>
    <w:rsid w:val="1D8611E5"/>
    <w:rsid w:val="1D950629"/>
    <w:rsid w:val="1DBA49EB"/>
    <w:rsid w:val="1DC064A5"/>
    <w:rsid w:val="1DE63A32"/>
    <w:rsid w:val="1DFE76A3"/>
    <w:rsid w:val="1E040914"/>
    <w:rsid w:val="1E2754DF"/>
    <w:rsid w:val="1E4804BD"/>
    <w:rsid w:val="1E540709"/>
    <w:rsid w:val="1E666A89"/>
    <w:rsid w:val="1E6B61C4"/>
    <w:rsid w:val="1ED42507"/>
    <w:rsid w:val="1F0423C1"/>
    <w:rsid w:val="1F15637C"/>
    <w:rsid w:val="1F196CBA"/>
    <w:rsid w:val="1F1D6961"/>
    <w:rsid w:val="1F354307"/>
    <w:rsid w:val="1F3B2839"/>
    <w:rsid w:val="1F4B4494"/>
    <w:rsid w:val="1F5C044F"/>
    <w:rsid w:val="1F6966C8"/>
    <w:rsid w:val="1F7E751A"/>
    <w:rsid w:val="1FFD700C"/>
    <w:rsid w:val="201E2EE6"/>
    <w:rsid w:val="20580C17"/>
    <w:rsid w:val="205E01F7"/>
    <w:rsid w:val="20C070BB"/>
    <w:rsid w:val="20D504B9"/>
    <w:rsid w:val="20FC67EC"/>
    <w:rsid w:val="214C126E"/>
    <w:rsid w:val="21CA6FB1"/>
    <w:rsid w:val="21D06ED2"/>
    <w:rsid w:val="220B716C"/>
    <w:rsid w:val="222B5EB7"/>
    <w:rsid w:val="224564BD"/>
    <w:rsid w:val="22474258"/>
    <w:rsid w:val="22A75E85"/>
    <w:rsid w:val="22AC0460"/>
    <w:rsid w:val="22BD7457"/>
    <w:rsid w:val="22E73ADA"/>
    <w:rsid w:val="233C7C3F"/>
    <w:rsid w:val="237577D1"/>
    <w:rsid w:val="237D3DBF"/>
    <w:rsid w:val="23875355"/>
    <w:rsid w:val="23AC3027"/>
    <w:rsid w:val="23CE2F9E"/>
    <w:rsid w:val="247A604B"/>
    <w:rsid w:val="24822706"/>
    <w:rsid w:val="24884F5C"/>
    <w:rsid w:val="249433E8"/>
    <w:rsid w:val="24B23D9A"/>
    <w:rsid w:val="24B92A42"/>
    <w:rsid w:val="24BC62A6"/>
    <w:rsid w:val="24F56CD6"/>
    <w:rsid w:val="256E4A38"/>
    <w:rsid w:val="256E67E6"/>
    <w:rsid w:val="257607C3"/>
    <w:rsid w:val="25ED0053"/>
    <w:rsid w:val="25F82554"/>
    <w:rsid w:val="261B607A"/>
    <w:rsid w:val="2626668D"/>
    <w:rsid w:val="262674CA"/>
    <w:rsid w:val="265418F4"/>
    <w:rsid w:val="26560A4A"/>
    <w:rsid w:val="268A7650"/>
    <w:rsid w:val="26AD15DE"/>
    <w:rsid w:val="26BB13D9"/>
    <w:rsid w:val="26DC3000"/>
    <w:rsid w:val="26FA6A97"/>
    <w:rsid w:val="26FE003E"/>
    <w:rsid w:val="27166AF5"/>
    <w:rsid w:val="27242053"/>
    <w:rsid w:val="274912B9"/>
    <w:rsid w:val="27DA0163"/>
    <w:rsid w:val="27DB3EDB"/>
    <w:rsid w:val="27ED433A"/>
    <w:rsid w:val="27F03E2A"/>
    <w:rsid w:val="280E0D54"/>
    <w:rsid w:val="28357A8F"/>
    <w:rsid w:val="28472A4D"/>
    <w:rsid w:val="28583139"/>
    <w:rsid w:val="285919D0"/>
    <w:rsid w:val="28956780"/>
    <w:rsid w:val="28A62D9B"/>
    <w:rsid w:val="28A870A2"/>
    <w:rsid w:val="28CC23C9"/>
    <w:rsid w:val="28E160DE"/>
    <w:rsid w:val="29226D9D"/>
    <w:rsid w:val="29231FDE"/>
    <w:rsid w:val="293F4EB6"/>
    <w:rsid w:val="294A756A"/>
    <w:rsid w:val="296A302B"/>
    <w:rsid w:val="296E722C"/>
    <w:rsid w:val="29B570DA"/>
    <w:rsid w:val="29CC7FF7"/>
    <w:rsid w:val="2A214AE3"/>
    <w:rsid w:val="2A36189D"/>
    <w:rsid w:val="2A6C7C07"/>
    <w:rsid w:val="2AB63109"/>
    <w:rsid w:val="2B202D5B"/>
    <w:rsid w:val="2B34402E"/>
    <w:rsid w:val="2B870F5F"/>
    <w:rsid w:val="2B966957"/>
    <w:rsid w:val="2BC51F39"/>
    <w:rsid w:val="2BCE4177"/>
    <w:rsid w:val="2BF73522"/>
    <w:rsid w:val="2BFA704D"/>
    <w:rsid w:val="2C11327B"/>
    <w:rsid w:val="2C2648BC"/>
    <w:rsid w:val="2C343923"/>
    <w:rsid w:val="2C373D29"/>
    <w:rsid w:val="2C5A59D1"/>
    <w:rsid w:val="2C5E6154"/>
    <w:rsid w:val="2C815051"/>
    <w:rsid w:val="2CBD0053"/>
    <w:rsid w:val="2CC26142"/>
    <w:rsid w:val="2CE65DBA"/>
    <w:rsid w:val="2CE803A2"/>
    <w:rsid w:val="2CFE66A2"/>
    <w:rsid w:val="2D571150"/>
    <w:rsid w:val="2D913DED"/>
    <w:rsid w:val="2D9525C5"/>
    <w:rsid w:val="2DC1060E"/>
    <w:rsid w:val="2DCA0C7A"/>
    <w:rsid w:val="2DE152DF"/>
    <w:rsid w:val="2DED6716"/>
    <w:rsid w:val="2E196F8F"/>
    <w:rsid w:val="2E3E517D"/>
    <w:rsid w:val="2EAE40F8"/>
    <w:rsid w:val="2F0159A2"/>
    <w:rsid w:val="2F153E8D"/>
    <w:rsid w:val="2F1D492A"/>
    <w:rsid w:val="2F1F4334"/>
    <w:rsid w:val="2F2F348A"/>
    <w:rsid w:val="2F391C13"/>
    <w:rsid w:val="2F7F47E0"/>
    <w:rsid w:val="2F963509"/>
    <w:rsid w:val="2FC81746"/>
    <w:rsid w:val="300206D5"/>
    <w:rsid w:val="304408AA"/>
    <w:rsid w:val="30574BD7"/>
    <w:rsid w:val="30764448"/>
    <w:rsid w:val="30771A1F"/>
    <w:rsid w:val="308A7363"/>
    <w:rsid w:val="30A03260"/>
    <w:rsid w:val="30E5290F"/>
    <w:rsid w:val="319233CA"/>
    <w:rsid w:val="31C07B4D"/>
    <w:rsid w:val="31F75415"/>
    <w:rsid w:val="324E3C27"/>
    <w:rsid w:val="32534DF2"/>
    <w:rsid w:val="32545B06"/>
    <w:rsid w:val="325B00F2"/>
    <w:rsid w:val="325B6344"/>
    <w:rsid w:val="32727A9D"/>
    <w:rsid w:val="32757C26"/>
    <w:rsid w:val="32E1603D"/>
    <w:rsid w:val="32F71362"/>
    <w:rsid w:val="330740EB"/>
    <w:rsid w:val="3316226B"/>
    <w:rsid w:val="33162B4E"/>
    <w:rsid w:val="336E3E55"/>
    <w:rsid w:val="338A3EC7"/>
    <w:rsid w:val="339E64D5"/>
    <w:rsid w:val="33AA7583"/>
    <w:rsid w:val="33B977C6"/>
    <w:rsid w:val="33BA52CB"/>
    <w:rsid w:val="33C270F2"/>
    <w:rsid w:val="33D12D62"/>
    <w:rsid w:val="33D13998"/>
    <w:rsid w:val="33DC34B5"/>
    <w:rsid w:val="340071A3"/>
    <w:rsid w:val="3414373B"/>
    <w:rsid w:val="34415424"/>
    <w:rsid w:val="344A6670"/>
    <w:rsid w:val="34707208"/>
    <w:rsid w:val="34BA204E"/>
    <w:rsid w:val="34C917D4"/>
    <w:rsid w:val="34F860CC"/>
    <w:rsid w:val="352E1AEE"/>
    <w:rsid w:val="35357321"/>
    <w:rsid w:val="355C2671"/>
    <w:rsid w:val="35942A2A"/>
    <w:rsid w:val="35B437A4"/>
    <w:rsid w:val="35F671C5"/>
    <w:rsid w:val="35FE3BB6"/>
    <w:rsid w:val="36061661"/>
    <w:rsid w:val="364F1472"/>
    <w:rsid w:val="36663A55"/>
    <w:rsid w:val="367240CF"/>
    <w:rsid w:val="367C0810"/>
    <w:rsid w:val="369D33CF"/>
    <w:rsid w:val="36B13BE3"/>
    <w:rsid w:val="36BF075B"/>
    <w:rsid w:val="374160D7"/>
    <w:rsid w:val="376A6B88"/>
    <w:rsid w:val="37AB1B1C"/>
    <w:rsid w:val="37C36E66"/>
    <w:rsid w:val="38180D3B"/>
    <w:rsid w:val="383D4AF1"/>
    <w:rsid w:val="38A80137"/>
    <w:rsid w:val="38C6579F"/>
    <w:rsid w:val="39382F3B"/>
    <w:rsid w:val="39545737"/>
    <w:rsid w:val="395E0CF4"/>
    <w:rsid w:val="39732F5D"/>
    <w:rsid w:val="39A33274"/>
    <w:rsid w:val="39AD0F7E"/>
    <w:rsid w:val="39C354AD"/>
    <w:rsid w:val="39C704A5"/>
    <w:rsid w:val="3A180043"/>
    <w:rsid w:val="3A35391F"/>
    <w:rsid w:val="3A802F4C"/>
    <w:rsid w:val="3A8B4049"/>
    <w:rsid w:val="3AB42A96"/>
    <w:rsid w:val="3AC8077D"/>
    <w:rsid w:val="3AD14A51"/>
    <w:rsid w:val="3AEC0481"/>
    <w:rsid w:val="3B267DC5"/>
    <w:rsid w:val="3B5355C7"/>
    <w:rsid w:val="3B857008"/>
    <w:rsid w:val="3B8A4CEF"/>
    <w:rsid w:val="3B936B4F"/>
    <w:rsid w:val="3BBE418D"/>
    <w:rsid w:val="3BDC04F6"/>
    <w:rsid w:val="3BE432F5"/>
    <w:rsid w:val="3BE576DE"/>
    <w:rsid w:val="3C0E6DB8"/>
    <w:rsid w:val="3C187812"/>
    <w:rsid w:val="3C3E10BB"/>
    <w:rsid w:val="3C4A424B"/>
    <w:rsid w:val="3C5C0A92"/>
    <w:rsid w:val="3CCD7E3F"/>
    <w:rsid w:val="3CDB18AB"/>
    <w:rsid w:val="3D2D1483"/>
    <w:rsid w:val="3D475798"/>
    <w:rsid w:val="3D911534"/>
    <w:rsid w:val="3DB72FC9"/>
    <w:rsid w:val="3DF558E8"/>
    <w:rsid w:val="3E4349BC"/>
    <w:rsid w:val="3E614CE2"/>
    <w:rsid w:val="3EB43064"/>
    <w:rsid w:val="3EBF6514"/>
    <w:rsid w:val="3F06588A"/>
    <w:rsid w:val="3F3E6F6F"/>
    <w:rsid w:val="3F7D05FB"/>
    <w:rsid w:val="3F902C13"/>
    <w:rsid w:val="3F934A87"/>
    <w:rsid w:val="3FC27A03"/>
    <w:rsid w:val="3FEA4714"/>
    <w:rsid w:val="3FF11EBC"/>
    <w:rsid w:val="3FF96B8D"/>
    <w:rsid w:val="40502E5F"/>
    <w:rsid w:val="40AD06B3"/>
    <w:rsid w:val="40C357E1"/>
    <w:rsid w:val="41073749"/>
    <w:rsid w:val="414F165D"/>
    <w:rsid w:val="41EA09C0"/>
    <w:rsid w:val="41F30347"/>
    <w:rsid w:val="421F113C"/>
    <w:rsid w:val="423E59B8"/>
    <w:rsid w:val="425C413F"/>
    <w:rsid w:val="42B51912"/>
    <w:rsid w:val="42C6454A"/>
    <w:rsid w:val="42E44C98"/>
    <w:rsid w:val="42FF4BE0"/>
    <w:rsid w:val="43120CA1"/>
    <w:rsid w:val="43707776"/>
    <w:rsid w:val="43963680"/>
    <w:rsid w:val="43A951D4"/>
    <w:rsid w:val="43DE6DD5"/>
    <w:rsid w:val="43E97B09"/>
    <w:rsid w:val="4439415D"/>
    <w:rsid w:val="443A0941"/>
    <w:rsid w:val="44AC3552"/>
    <w:rsid w:val="44C55076"/>
    <w:rsid w:val="44F53CAD"/>
    <w:rsid w:val="44F71EFD"/>
    <w:rsid w:val="451A2C05"/>
    <w:rsid w:val="451D2319"/>
    <w:rsid w:val="451F00F6"/>
    <w:rsid w:val="45252693"/>
    <w:rsid w:val="45575091"/>
    <w:rsid w:val="45603F46"/>
    <w:rsid w:val="457572C5"/>
    <w:rsid w:val="45E35358"/>
    <w:rsid w:val="45F3589E"/>
    <w:rsid w:val="464451A6"/>
    <w:rsid w:val="46A15B7F"/>
    <w:rsid w:val="46CB33A3"/>
    <w:rsid w:val="470508C7"/>
    <w:rsid w:val="47107201"/>
    <w:rsid w:val="47236A8A"/>
    <w:rsid w:val="47320639"/>
    <w:rsid w:val="4742371B"/>
    <w:rsid w:val="476804A9"/>
    <w:rsid w:val="47B37F58"/>
    <w:rsid w:val="47DF2084"/>
    <w:rsid w:val="48141B4A"/>
    <w:rsid w:val="48281A13"/>
    <w:rsid w:val="482F5E51"/>
    <w:rsid w:val="483B5E29"/>
    <w:rsid w:val="488E4702"/>
    <w:rsid w:val="48EC6719"/>
    <w:rsid w:val="4918470C"/>
    <w:rsid w:val="49291FC7"/>
    <w:rsid w:val="49311FF4"/>
    <w:rsid w:val="49631605"/>
    <w:rsid w:val="498A49A7"/>
    <w:rsid w:val="49AE4809"/>
    <w:rsid w:val="49CD76D0"/>
    <w:rsid w:val="4A0F3624"/>
    <w:rsid w:val="4A267361"/>
    <w:rsid w:val="4A322564"/>
    <w:rsid w:val="4A364AA0"/>
    <w:rsid w:val="4A3D44AC"/>
    <w:rsid w:val="4A524C3C"/>
    <w:rsid w:val="4A653DAC"/>
    <w:rsid w:val="4A682B03"/>
    <w:rsid w:val="4A6E7551"/>
    <w:rsid w:val="4A8C1339"/>
    <w:rsid w:val="4AC46D25"/>
    <w:rsid w:val="4AE34F46"/>
    <w:rsid w:val="4AEB39AF"/>
    <w:rsid w:val="4B0650BE"/>
    <w:rsid w:val="4B302522"/>
    <w:rsid w:val="4B4D6D1A"/>
    <w:rsid w:val="4B7F0E9E"/>
    <w:rsid w:val="4BBF04FB"/>
    <w:rsid w:val="4BCB2C18"/>
    <w:rsid w:val="4BCB6B50"/>
    <w:rsid w:val="4BD06395"/>
    <w:rsid w:val="4BEB5ECE"/>
    <w:rsid w:val="4BEF1F4B"/>
    <w:rsid w:val="4C3518B2"/>
    <w:rsid w:val="4C800A2A"/>
    <w:rsid w:val="4CA43DBA"/>
    <w:rsid w:val="4CC96F3B"/>
    <w:rsid w:val="4D0850B7"/>
    <w:rsid w:val="4D435F0B"/>
    <w:rsid w:val="4D4A0F2D"/>
    <w:rsid w:val="4D6568DC"/>
    <w:rsid w:val="4D8061D4"/>
    <w:rsid w:val="4D907392"/>
    <w:rsid w:val="4D9218E1"/>
    <w:rsid w:val="4D981DA3"/>
    <w:rsid w:val="4DD03C33"/>
    <w:rsid w:val="4DE2784F"/>
    <w:rsid w:val="4E387923"/>
    <w:rsid w:val="4E7365EE"/>
    <w:rsid w:val="4E7E71EB"/>
    <w:rsid w:val="4E8D65F9"/>
    <w:rsid w:val="4E984750"/>
    <w:rsid w:val="4EB96475"/>
    <w:rsid w:val="4EBC7D57"/>
    <w:rsid w:val="4EE7323B"/>
    <w:rsid w:val="4EF61477"/>
    <w:rsid w:val="4EFA174E"/>
    <w:rsid w:val="4F1654AC"/>
    <w:rsid w:val="4F5F0DCA"/>
    <w:rsid w:val="4F96420F"/>
    <w:rsid w:val="4FE45773"/>
    <w:rsid w:val="4FFF435B"/>
    <w:rsid w:val="503462A3"/>
    <w:rsid w:val="50577483"/>
    <w:rsid w:val="508A1E77"/>
    <w:rsid w:val="50913F73"/>
    <w:rsid w:val="509D2FB9"/>
    <w:rsid w:val="50B138A7"/>
    <w:rsid w:val="50BA3AD0"/>
    <w:rsid w:val="50F75DF4"/>
    <w:rsid w:val="51264093"/>
    <w:rsid w:val="51365672"/>
    <w:rsid w:val="514505C9"/>
    <w:rsid w:val="515F3303"/>
    <w:rsid w:val="519D4B65"/>
    <w:rsid w:val="51E16EA6"/>
    <w:rsid w:val="51EC1955"/>
    <w:rsid w:val="52807ECC"/>
    <w:rsid w:val="5294522F"/>
    <w:rsid w:val="529D1B2D"/>
    <w:rsid w:val="52CB7333"/>
    <w:rsid w:val="52F15C7D"/>
    <w:rsid w:val="5316640B"/>
    <w:rsid w:val="5328420C"/>
    <w:rsid w:val="5341437E"/>
    <w:rsid w:val="53580AA1"/>
    <w:rsid w:val="53762B86"/>
    <w:rsid w:val="539F1D53"/>
    <w:rsid w:val="53BB5383"/>
    <w:rsid w:val="53BD1827"/>
    <w:rsid w:val="541008E5"/>
    <w:rsid w:val="544C2CBF"/>
    <w:rsid w:val="547929B0"/>
    <w:rsid w:val="54A51975"/>
    <w:rsid w:val="54BA4AA2"/>
    <w:rsid w:val="54CB6F02"/>
    <w:rsid w:val="54F147F6"/>
    <w:rsid w:val="55843565"/>
    <w:rsid w:val="558E0027"/>
    <w:rsid w:val="55B21989"/>
    <w:rsid w:val="55BB2AD2"/>
    <w:rsid w:val="55F54236"/>
    <w:rsid w:val="564A40CB"/>
    <w:rsid w:val="56573126"/>
    <w:rsid w:val="56B20379"/>
    <w:rsid w:val="573248A8"/>
    <w:rsid w:val="57EA71E0"/>
    <w:rsid w:val="57EF2F07"/>
    <w:rsid w:val="581E2441"/>
    <w:rsid w:val="585962FB"/>
    <w:rsid w:val="586C617F"/>
    <w:rsid w:val="586D549B"/>
    <w:rsid w:val="58CF5213"/>
    <w:rsid w:val="592D1F39"/>
    <w:rsid w:val="595C70E1"/>
    <w:rsid w:val="596C6E41"/>
    <w:rsid w:val="59806B3E"/>
    <w:rsid w:val="598F49A2"/>
    <w:rsid w:val="59D95C1D"/>
    <w:rsid w:val="5A5F1944"/>
    <w:rsid w:val="5A645B1A"/>
    <w:rsid w:val="5A672C25"/>
    <w:rsid w:val="5A690D4F"/>
    <w:rsid w:val="5AF251E8"/>
    <w:rsid w:val="5B404226"/>
    <w:rsid w:val="5B47755D"/>
    <w:rsid w:val="5B6822CA"/>
    <w:rsid w:val="5B6F4A8B"/>
    <w:rsid w:val="5B8658BB"/>
    <w:rsid w:val="5B890949"/>
    <w:rsid w:val="5B8E128E"/>
    <w:rsid w:val="5BC538AC"/>
    <w:rsid w:val="5BCB1F65"/>
    <w:rsid w:val="5BE2473F"/>
    <w:rsid w:val="5C1B1D94"/>
    <w:rsid w:val="5C1E0544"/>
    <w:rsid w:val="5C1E3DBB"/>
    <w:rsid w:val="5C225659"/>
    <w:rsid w:val="5C5617A7"/>
    <w:rsid w:val="5C7C416A"/>
    <w:rsid w:val="5CB70498"/>
    <w:rsid w:val="5CC44962"/>
    <w:rsid w:val="5D1E16CE"/>
    <w:rsid w:val="5D6F2C5C"/>
    <w:rsid w:val="5D755212"/>
    <w:rsid w:val="5D8A795A"/>
    <w:rsid w:val="5D94028A"/>
    <w:rsid w:val="5DA31058"/>
    <w:rsid w:val="5DB651A8"/>
    <w:rsid w:val="5DC31CAC"/>
    <w:rsid w:val="5DDB4788"/>
    <w:rsid w:val="5E063CB4"/>
    <w:rsid w:val="5E33538C"/>
    <w:rsid w:val="5E437E22"/>
    <w:rsid w:val="5E512226"/>
    <w:rsid w:val="5E6D42B4"/>
    <w:rsid w:val="5E756B1E"/>
    <w:rsid w:val="5E8954E8"/>
    <w:rsid w:val="5E9116E0"/>
    <w:rsid w:val="5E9F11E3"/>
    <w:rsid w:val="5EA81963"/>
    <w:rsid w:val="5EC40C4A"/>
    <w:rsid w:val="5EEB02C2"/>
    <w:rsid w:val="5F30008D"/>
    <w:rsid w:val="5F3F6522"/>
    <w:rsid w:val="5F3F6C61"/>
    <w:rsid w:val="5F581FE7"/>
    <w:rsid w:val="5F6441DB"/>
    <w:rsid w:val="5F960251"/>
    <w:rsid w:val="5FBF6472"/>
    <w:rsid w:val="5FFE2DE8"/>
    <w:rsid w:val="600A2FD4"/>
    <w:rsid w:val="600B28A8"/>
    <w:rsid w:val="6030146F"/>
    <w:rsid w:val="606F494B"/>
    <w:rsid w:val="608741A4"/>
    <w:rsid w:val="60EB59D2"/>
    <w:rsid w:val="61073070"/>
    <w:rsid w:val="6107539B"/>
    <w:rsid w:val="61271964"/>
    <w:rsid w:val="616E7E97"/>
    <w:rsid w:val="61E76375"/>
    <w:rsid w:val="61F06FDD"/>
    <w:rsid w:val="61F96E5C"/>
    <w:rsid w:val="62126D2D"/>
    <w:rsid w:val="621C67CA"/>
    <w:rsid w:val="62416092"/>
    <w:rsid w:val="624F1172"/>
    <w:rsid w:val="62516886"/>
    <w:rsid w:val="629B1803"/>
    <w:rsid w:val="62DB2171"/>
    <w:rsid w:val="62E03219"/>
    <w:rsid w:val="62F151D9"/>
    <w:rsid w:val="62F51D1A"/>
    <w:rsid w:val="6315416A"/>
    <w:rsid w:val="634C3ED9"/>
    <w:rsid w:val="637D3ABD"/>
    <w:rsid w:val="63A06164"/>
    <w:rsid w:val="63A470FE"/>
    <w:rsid w:val="63C13534"/>
    <w:rsid w:val="63C24A8B"/>
    <w:rsid w:val="63D11318"/>
    <w:rsid w:val="64460353"/>
    <w:rsid w:val="648F1921"/>
    <w:rsid w:val="64F84218"/>
    <w:rsid w:val="64FF0C2E"/>
    <w:rsid w:val="65145C7D"/>
    <w:rsid w:val="65150855"/>
    <w:rsid w:val="65172BB1"/>
    <w:rsid w:val="65482876"/>
    <w:rsid w:val="654C574D"/>
    <w:rsid w:val="65503E24"/>
    <w:rsid w:val="65AB4587"/>
    <w:rsid w:val="65B20936"/>
    <w:rsid w:val="65B50030"/>
    <w:rsid w:val="65C20C0A"/>
    <w:rsid w:val="65C825BE"/>
    <w:rsid w:val="65CF448B"/>
    <w:rsid w:val="65E816C2"/>
    <w:rsid w:val="65EA58FC"/>
    <w:rsid w:val="65F43D23"/>
    <w:rsid w:val="660758C0"/>
    <w:rsid w:val="66151113"/>
    <w:rsid w:val="66234D8B"/>
    <w:rsid w:val="66314736"/>
    <w:rsid w:val="665E7BD6"/>
    <w:rsid w:val="668413CB"/>
    <w:rsid w:val="66C11F13"/>
    <w:rsid w:val="66F66D94"/>
    <w:rsid w:val="677865BD"/>
    <w:rsid w:val="6791560D"/>
    <w:rsid w:val="67A07D7A"/>
    <w:rsid w:val="67B657F0"/>
    <w:rsid w:val="68623FBE"/>
    <w:rsid w:val="68633281"/>
    <w:rsid w:val="687A681D"/>
    <w:rsid w:val="68D128E1"/>
    <w:rsid w:val="68D80587"/>
    <w:rsid w:val="69004F74"/>
    <w:rsid w:val="693053A2"/>
    <w:rsid w:val="696E0130"/>
    <w:rsid w:val="696E7E8E"/>
    <w:rsid w:val="6985191D"/>
    <w:rsid w:val="698F125A"/>
    <w:rsid w:val="69DB153D"/>
    <w:rsid w:val="69E22095"/>
    <w:rsid w:val="69E35FC5"/>
    <w:rsid w:val="6A281E10"/>
    <w:rsid w:val="6A906F5C"/>
    <w:rsid w:val="6A99742E"/>
    <w:rsid w:val="6A9F51F6"/>
    <w:rsid w:val="6AA64A97"/>
    <w:rsid w:val="6AAB0F93"/>
    <w:rsid w:val="6ADF56C5"/>
    <w:rsid w:val="6B1765A5"/>
    <w:rsid w:val="6B431148"/>
    <w:rsid w:val="6BBD070B"/>
    <w:rsid w:val="6BC209AB"/>
    <w:rsid w:val="6BC507AE"/>
    <w:rsid w:val="6C2B775B"/>
    <w:rsid w:val="6CCE4F75"/>
    <w:rsid w:val="6D127638"/>
    <w:rsid w:val="6D4C69DA"/>
    <w:rsid w:val="6D7A7F61"/>
    <w:rsid w:val="6D934609"/>
    <w:rsid w:val="6DB427D1"/>
    <w:rsid w:val="6DC24EEE"/>
    <w:rsid w:val="6DDA1C04"/>
    <w:rsid w:val="6DEF314F"/>
    <w:rsid w:val="6E245261"/>
    <w:rsid w:val="6E460425"/>
    <w:rsid w:val="6E49116B"/>
    <w:rsid w:val="6E7016F0"/>
    <w:rsid w:val="6E780BEC"/>
    <w:rsid w:val="6ED52CA9"/>
    <w:rsid w:val="6ED54389"/>
    <w:rsid w:val="6EEF7BE1"/>
    <w:rsid w:val="6F0846CC"/>
    <w:rsid w:val="6F1928EC"/>
    <w:rsid w:val="6F321C00"/>
    <w:rsid w:val="6F6F619F"/>
    <w:rsid w:val="6FA317F4"/>
    <w:rsid w:val="6FA9185F"/>
    <w:rsid w:val="6FEA43E4"/>
    <w:rsid w:val="6FF61221"/>
    <w:rsid w:val="704C6CF1"/>
    <w:rsid w:val="705C5FD1"/>
    <w:rsid w:val="707455DD"/>
    <w:rsid w:val="70C709D9"/>
    <w:rsid w:val="71357785"/>
    <w:rsid w:val="7141612A"/>
    <w:rsid w:val="714F4CEB"/>
    <w:rsid w:val="71565AEE"/>
    <w:rsid w:val="71716601"/>
    <w:rsid w:val="717E4654"/>
    <w:rsid w:val="71B132B0"/>
    <w:rsid w:val="71CE20ED"/>
    <w:rsid w:val="72225F5B"/>
    <w:rsid w:val="72231CD3"/>
    <w:rsid w:val="723143F0"/>
    <w:rsid w:val="723637B5"/>
    <w:rsid w:val="72392686"/>
    <w:rsid w:val="72444769"/>
    <w:rsid w:val="725539B3"/>
    <w:rsid w:val="725B321B"/>
    <w:rsid w:val="72730565"/>
    <w:rsid w:val="72D66D46"/>
    <w:rsid w:val="72DF5759"/>
    <w:rsid w:val="730E4732"/>
    <w:rsid w:val="73243EDF"/>
    <w:rsid w:val="732C6966"/>
    <w:rsid w:val="73326672"/>
    <w:rsid w:val="734A089A"/>
    <w:rsid w:val="73734595"/>
    <w:rsid w:val="738B3A66"/>
    <w:rsid w:val="738E6524"/>
    <w:rsid w:val="73A9691B"/>
    <w:rsid w:val="73BF3E99"/>
    <w:rsid w:val="741B0EB4"/>
    <w:rsid w:val="74242325"/>
    <w:rsid w:val="744877CF"/>
    <w:rsid w:val="748922C2"/>
    <w:rsid w:val="75476DCE"/>
    <w:rsid w:val="75C630A2"/>
    <w:rsid w:val="75CF1401"/>
    <w:rsid w:val="75E17EDC"/>
    <w:rsid w:val="76046E00"/>
    <w:rsid w:val="760D4FEB"/>
    <w:rsid w:val="76100E28"/>
    <w:rsid w:val="76197675"/>
    <w:rsid w:val="765E71EE"/>
    <w:rsid w:val="766308F1"/>
    <w:rsid w:val="76792FC3"/>
    <w:rsid w:val="767D753B"/>
    <w:rsid w:val="769D4813"/>
    <w:rsid w:val="76EF2766"/>
    <w:rsid w:val="771D4F43"/>
    <w:rsid w:val="772E5361"/>
    <w:rsid w:val="77420E4E"/>
    <w:rsid w:val="778C2069"/>
    <w:rsid w:val="780A583E"/>
    <w:rsid w:val="782B2DC7"/>
    <w:rsid w:val="787C1575"/>
    <w:rsid w:val="78975514"/>
    <w:rsid w:val="78D45AD6"/>
    <w:rsid w:val="78F57580"/>
    <w:rsid w:val="792C20EF"/>
    <w:rsid w:val="794762A8"/>
    <w:rsid w:val="795E3899"/>
    <w:rsid w:val="79705A88"/>
    <w:rsid w:val="79C02EE2"/>
    <w:rsid w:val="79E87A8A"/>
    <w:rsid w:val="79F75F20"/>
    <w:rsid w:val="7A01097A"/>
    <w:rsid w:val="7A0643B5"/>
    <w:rsid w:val="7A304F8E"/>
    <w:rsid w:val="7A3E6839"/>
    <w:rsid w:val="7A4C2E05"/>
    <w:rsid w:val="7A6115EB"/>
    <w:rsid w:val="7A704E19"/>
    <w:rsid w:val="7A7A1855"/>
    <w:rsid w:val="7A7D2FC9"/>
    <w:rsid w:val="7AB26C36"/>
    <w:rsid w:val="7AE91D0C"/>
    <w:rsid w:val="7B040D16"/>
    <w:rsid w:val="7B045878"/>
    <w:rsid w:val="7B07403A"/>
    <w:rsid w:val="7B083DED"/>
    <w:rsid w:val="7B11171D"/>
    <w:rsid w:val="7B3459C8"/>
    <w:rsid w:val="7B544DE1"/>
    <w:rsid w:val="7B6E00E7"/>
    <w:rsid w:val="7B7D2454"/>
    <w:rsid w:val="7B824D45"/>
    <w:rsid w:val="7BB51932"/>
    <w:rsid w:val="7BB66542"/>
    <w:rsid w:val="7BB85F0C"/>
    <w:rsid w:val="7BDC717B"/>
    <w:rsid w:val="7BED75DA"/>
    <w:rsid w:val="7BF451E3"/>
    <w:rsid w:val="7C05446D"/>
    <w:rsid w:val="7C091F3A"/>
    <w:rsid w:val="7C36265F"/>
    <w:rsid w:val="7C5A4544"/>
    <w:rsid w:val="7C650729"/>
    <w:rsid w:val="7CC876FF"/>
    <w:rsid w:val="7D3D4ACC"/>
    <w:rsid w:val="7D3E3E65"/>
    <w:rsid w:val="7D426A8B"/>
    <w:rsid w:val="7D545437"/>
    <w:rsid w:val="7DD75885"/>
    <w:rsid w:val="7E596D16"/>
    <w:rsid w:val="7E7C4C45"/>
    <w:rsid w:val="7E8F153A"/>
    <w:rsid w:val="7EEF10AF"/>
    <w:rsid w:val="7F293F9B"/>
    <w:rsid w:val="7F4A6AF1"/>
    <w:rsid w:val="7F957552"/>
    <w:rsid w:val="7FA9003C"/>
    <w:rsid w:val="7FC20D7E"/>
    <w:rsid w:val="7FE326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qFormat="1" w:unhideWhenUsed="0" w:uiPriority="0" w:semiHidden="0"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600" w:lineRule="exact"/>
      <w:ind w:firstLine="200" w:firstLineChars="200"/>
      <w:jc w:val="both"/>
    </w:pPr>
    <w:rPr>
      <w:rFonts w:ascii="宋体" w:hAnsi="宋体" w:eastAsia="仿宋" w:cs="Times New Roman"/>
      <w:snapToGrid w:val="0"/>
      <w:sz w:val="30"/>
      <w:lang w:val="en-US" w:eastAsia="zh-CN" w:bidi="ar-SA"/>
    </w:rPr>
  </w:style>
  <w:style w:type="paragraph" w:styleId="2">
    <w:name w:val="heading 1"/>
    <w:basedOn w:val="1"/>
    <w:next w:val="1"/>
    <w:link w:val="43"/>
    <w:qFormat/>
    <w:uiPriority w:val="0"/>
    <w:pPr>
      <w:keepNext/>
      <w:keepLines/>
      <w:adjustRightInd/>
      <w:snapToGrid/>
      <w:spacing w:line="720" w:lineRule="exact"/>
      <w:ind w:firstLine="0" w:firstLineChars="0"/>
      <w:jc w:val="center"/>
      <w:outlineLvl w:val="0"/>
    </w:pPr>
    <w:rPr>
      <w:rFonts w:ascii="黑体" w:hAnsi="黑体" w:eastAsia="黑体"/>
      <w:snapToGrid/>
      <w:kern w:val="44"/>
      <w:sz w:val="36"/>
      <w:szCs w:val="44"/>
      <w:lang w:val="en-GB"/>
    </w:rPr>
  </w:style>
  <w:style w:type="paragraph" w:styleId="3">
    <w:name w:val="heading 2"/>
    <w:basedOn w:val="1"/>
    <w:next w:val="1"/>
    <w:link w:val="47"/>
    <w:qFormat/>
    <w:uiPriority w:val="0"/>
    <w:pPr>
      <w:keepNext/>
      <w:keepLines/>
      <w:spacing w:line="720" w:lineRule="exact"/>
      <w:ind w:firstLine="0" w:firstLineChars="0"/>
      <w:jc w:val="left"/>
      <w:outlineLvl w:val="1"/>
    </w:pPr>
    <w:rPr>
      <w:rFonts w:eastAsia="黑体"/>
      <w:bCs/>
      <w:color w:val="000000"/>
      <w:sz w:val="32"/>
      <w:szCs w:val="32"/>
    </w:rPr>
  </w:style>
  <w:style w:type="paragraph" w:styleId="4">
    <w:name w:val="heading 3"/>
    <w:basedOn w:val="1"/>
    <w:next w:val="1"/>
    <w:link w:val="48"/>
    <w:qFormat/>
    <w:uiPriority w:val="0"/>
    <w:pPr>
      <w:keepNext/>
      <w:keepLines/>
      <w:spacing w:line="720" w:lineRule="exact"/>
      <w:ind w:firstLine="0" w:firstLineChars="0"/>
      <w:jc w:val="left"/>
      <w:outlineLvl w:val="2"/>
    </w:pPr>
    <w:rPr>
      <w:rFonts w:eastAsia="黑体"/>
      <w:bCs/>
      <w:szCs w:val="32"/>
    </w:rPr>
  </w:style>
  <w:style w:type="paragraph" w:styleId="5">
    <w:name w:val="heading 4"/>
    <w:basedOn w:val="1"/>
    <w:next w:val="1"/>
    <w:link w:val="51"/>
    <w:qFormat/>
    <w:uiPriority w:val="0"/>
    <w:pPr>
      <w:keepNext/>
      <w:keepLines/>
      <w:adjustRightInd/>
      <w:snapToGrid/>
      <w:spacing w:before="280" w:after="290"/>
      <w:ind w:firstLine="0" w:firstLineChars="0"/>
      <w:outlineLvl w:val="3"/>
    </w:pPr>
    <w:rPr>
      <w:rFonts w:ascii="Arial" w:hAnsi="Arial" w:eastAsia="黑体"/>
      <w:bCs/>
      <w:snapToGrid/>
      <w:kern w:val="2"/>
      <w:szCs w:val="28"/>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680"/>
      <w:jc w:val="left"/>
    </w:pPr>
    <w:rPr>
      <w:rFonts w:ascii="Times New Roman" w:hAnsi="Times New Roman"/>
      <w:sz w:val="18"/>
      <w:szCs w:val="18"/>
    </w:rPr>
  </w:style>
  <w:style w:type="paragraph" w:styleId="7">
    <w:name w:val="Normal Indent"/>
    <w:basedOn w:val="1"/>
    <w:link w:val="152"/>
    <w:qFormat/>
    <w:uiPriority w:val="0"/>
    <w:pPr>
      <w:adjustRightInd/>
      <w:snapToGrid/>
      <w:spacing w:line="240" w:lineRule="auto"/>
      <w:ind w:firstLine="420"/>
    </w:pPr>
    <w:rPr>
      <w:rFonts w:ascii="Times New Roman" w:hAnsi="Times New Roman"/>
      <w:snapToGrid/>
      <w:kern w:val="2"/>
      <w:sz w:val="21"/>
      <w:szCs w:val="24"/>
    </w:rPr>
  </w:style>
  <w:style w:type="paragraph" w:styleId="8">
    <w:name w:val="index 5"/>
    <w:basedOn w:val="1"/>
    <w:next w:val="1"/>
    <w:qFormat/>
    <w:uiPriority w:val="0"/>
    <w:pPr>
      <w:ind w:left="1680"/>
    </w:pPr>
  </w:style>
  <w:style w:type="paragraph" w:styleId="9">
    <w:name w:val="Document Map"/>
    <w:basedOn w:val="1"/>
    <w:qFormat/>
    <w:uiPriority w:val="0"/>
    <w:pPr>
      <w:shd w:val="clear" w:color="auto" w:fill="000080"/>
    </w:pPr>
  </w:style>
  <w:style w:type="paragraph" w:styleId="10">
    <w:name w:val="annotation text"/>
    <w:basedOn w:val="1"/>
    <w:qFormat/>
    <w:uiPriority w:val="0"/>
    <w:pPr>
      <w:jc w:val="left"/>
    </w:pPr>
  </w:style>
  <w:style w:type="paragraph" w:styleId="11">
    <w:name w:val="Body Text"/>
    <w:basedOn w:val="1"/>
    <w:next w:val="12"/>
    <w:link w:val="155"/>
    <w:semiHidden/>
    <w:qFormat/>
    <w:uiPriority w:val="0"/>
    <w:pPr>
      <w:adjustRightInd/>
      <w:snapToGrid/>
      <w:spacing w:after="120" w:line="240" w:lineRule="auto"/>
      <w:ind w:firstLine="0" w:firstLineChars="0"/>
    </w:pPr>
    <w:rPr>
      <w:rFonts w:ascii="Times New Roman" w:hAnsi="Times New Roman"/>
      <w:snapToGrid/>
      <w:kern w:val="2"/>
      <w:sz w:val="21"/>
      <w:szCs w:val="24"/>
    </w:rPr>
  </w:style>
  <w:style w:type="paragraph" w:styleId="12">
    <w:name w:val="Date"/>
    <w:basedOn w:val="1"/>
    <w:next w:val="1"/>
    <w:link w:val="163"/>
    <w:qFormat/>
    <w:uiPriority w:val="0"/>
    <w:pPr>
      <w:ind w:left="100" w:leftChars="2500"/>
    </w:pPr>
    <w:rPr>
      <w:rFonts w:ascii="Times New Roman" w:hAnsi="Times New Roman"/>
      <w:snapToGrid/>
      <w:kern w:val="2"/>
      <w:sz w:val="24"/>
      <w:szCs w:val="24"/>
    </w:rPr>
  </w:style>
  <w:style w:type="paragraph" w:styleId="13">
    <w:name w:val="Body Text Indent"/>
    <w:basedOn w:val="1"/>
    <w:next w:val="7"/>
    <w:qFormat/>
    <w:uiPriority w:val="0"/>
    <w:pPr>
      <w:ind w:firstLine="467"/>
    </w:pPr>
    <w:rPr>
      <w:w w:val="90"/>
      <w:szCs w:val="28"/>
    </w:rPr>
  </w:style>
  <w:style w:type="paragraph" w:styleId="14">
    <w:name w:val="Block Text"/>
    <w:basedOn w:val="1"/>
    <w:qFormat/>
    <w:uiPriority w:val="0"/>
    <w:pPr>
      <w:ind w:left="183" w:right="25" w:rightChars="12"/>
    </w:pPr>
    <w:rPr>
      <w:sz w:val="21"/>
      <w:szCs w:val="24"/>
    </w:rPr>
  </w:style>
  <w:style w:type="paragraph" w:styleId="15">
    <w:name w:val="toc 5"/>
    <w:basedOn w:val="1"/>
    <w:next w:val="1"/>
    <w:qFormat/>
    <w:uiPriority w:val="0"/>
    <w:pPr>
      <w:ind w:left="1120"/>
      <w:jc w:val="left"/>
    </w:pPr>
    <w:rPr>
      <w:rFonts w:ascii="Times New Roman" w:hAnsi="Times New Roman"/>
      <w:sz w:val="18"/>
      <w:szCs w:val="18"/>
    </w:rPr>
  </w:style>
  <w:style w:type="paragraph" w:styleId="16">
    <w:name w:val="toc 3"/>
    <w:basedOn w:val="1"/>
    <w:next w:val="1"/>
    <w:qFormat/>
    <w:uiPriority w:val="39"/>
    <w:pPr>
      <w:ind w:left="560"/>
      <w:jc w:val="left"/>
    </w:pPr>
    <w:rPr>
      <w:rFonts w:ascii="Times New Roman" w:hAnsi="Times New Roman"/>
      <w:i/>
      <w:iCs/>
      <w:sz w:val="20"/>
    </w:rPr>
  </w:style>
  <w:style w:type="paragraph" w:styleId="17">
    <w:name w:val="Plain Text"/>
    <w:basedOn w:val="1"/>
    <w:link w:val="151"/>
    <w:qFormat/>
    <w:uiPriority w:val="99"/>
    <w:rPr>
      <w:rFonts w:hAnsi="Courier New"/>
      <w:snapToGrid/>
      <w:kern w:val="2"/>
    </w:rPr>
  </w:style>
  <w:style w:type="paragraph" w:styleId="18">
    <w:name w:val="toc 8"/>
    <w:basedOn w:val="1"/>
    <w:next w:val="1"/>
    <w:qFormat/>
    <w:uiPriority w:val="0"/>
    <w:pPr>
      <w:ind w:left="1960"/>
      <w:jc w:val="left"/>
    </w:pPr>
    <w:rPr>
      <w:rFonts w:ascii="Times New Roman" w:hAnsi="Times New Roman"/>
      <w:sz w:val="18"/>
      <w:szCs w:val="18"/>
    </w:rPr>
  </w:style>
  <w:style w:type="paragraph" w:styleId="19">
    <w:name w:val="Body Text Indent 2"/>
    <w:basedOn w:val="1"/>
    <w:qFormat/>
    <w:uiPriority w:val="0"/>
    <w:pPr>
      <w:spacing w:line="360" w:lineRule="auto"/>
      <w:ind w:left="540"/>
    </w:pPr>
  </w:style>
  <w:style w:type="paragraph" w:styleId="20">
    <w:name w:val="Balloon Text"/>
    <w:basedOn w:val="1"/>
    <w:qFormat/>
    <w:uiPriority w:val="0"/>
    <w:rPr>
      <w:szCs w:val="18"/>
    </w:rPr>
  </w:style>
  <w:style w:type="paragraph" w:styleId="21">
    <w:name w:val="footer"/>
    <w:basedOn w:val="1"/>
    <w:next w:val="8"/>
    <w:link w:val="165"/>
    <w:qFormat/>
    <w:uiPriority w:val="99"/>
    <w:pPr>
      <w:tabs>
        <w:tab w:val="center" w:pos="4153"/>
        <w:tab w:val="right" w:pos="8306"/>
      </w:tabs>
      <w:jc w:val="left"/>
    </w:pPr>
    <w:rPr>
      <w:szCs w:val="18"/>
    </w:rPr>
  </w:style>
  <w:style w:type="paragraph" w:styleId="22">
    <w:name w:val="header"/>
    <w:basedOn w:val="1"/>
    <w:link w:val="156"/>
    <w:qFormat/>
    <w:uiPriority w:val="99"/>
    <w:pPr>
      <w:pBdr>
        <w:bottom w:val="single" w:color="auto" w:sz="6" w:space="1"/>
      </w:pBdr>
      <w:tabs>
        <w:tab w:val="center" w:pos="4153"/>
        <w:tab w:val="right" w:pos="8306"/>
      </w:tabs>
      <w:jc w:val="center"/>
    </w:pPr>
    <w:rPr>
      <w:szCs w:val="18"/>
    </w:rPr>
  </w:style>
  <w:style w:type="paragraph" w:styleId="23">
    <w:name w:val="toc 1"/>
    <w:basedOn w:val="1"/>
    <w:next w:val="1"/>
    <w:qFormat/>
    <w:uiPriority w:val="39"/>
    <w:pPr>
      <w:tabs>
        <w:tab w:val="right" w:leader="dot" w:pos="8494"/>
      </w:tabs>
      <w:spacing w:before="120" w:after="120" w:line="240" w:lineRule="auto"/>
      <w:ind w:firstLine="0" w:firstLineChars="0"/>
      <w:jc w:val="left"/>
    </w:pPr>
    <w:rPr>
      <w:rFonts w:ascii="Times New Roman" w:hAnsi="Times New Roman" w:eastAsia="黑体"/>
      <w:b/>
      <w:bCs/>
      <w:caps/>
      <w:sz w:val="24"/>
    </w:rPr>
  </w:style>
  <w:style w:type="paragraph" w:styleId="24">
    <w:name w:val="toc 4"/>
    <w:basedOn w:val="1"/>
    <w:next w:val="1"/>
    <w:qFormat/>
    <w:uiPriority w:val="0"/>
    <w:pPr>
      <w:ind w:left="840"/>
      <w:jc w:val="left"/>
    </w:pPr>
    <w:rPr>
      <w:rFonts w:ascii="Times New Roman" w:hAnsi="Times New Roman"/>
      <w:sz w:val="18"/>
      <w:szCs w:val="18"/>
    </w:rPr>
  </w:style>
  <w:style w:type="paragraph" w:styleId="25">
    <w:name w:val="List"/>
    <w:basedOn w:val="1"/>
    <w:qFormat/>
    <w:uiPriority w:val="0"/>
    <w:pPr>
      <w:jc w:val="left"/>
    </w:pPr>
    <w:rPr>
      <w:sz w:val="21"/>
      <w:szCs w:val="24"/>
    </w:rPr>
  </w:style>
  <w:style w:type="paragraph" w:styleId="26">
    <w:name w:val="toc 6"/>
    <w:basedOn w:val="1"/>
    <w:next w:val="1"/>
    <w:qFormat/>
    <w:uiPriority w:val="0"/>
    <w:pPr>
      <w:ind w:left="1400"/>
      <w:jc w:val="left"/>
    </w:pPr>
    <w:rPr>
      <w:rFonts w:ascii="Times New Roman" w:hAnsi="Times New Roman"/>
      <w:sz w:val="18"/>
      <w:szCs w:val="18"/>
    </w:rPr>
  </w:style>
  <w:style w:type="paragraph" w:styleId="27">
    <w:name w:val="Body Text Indent 3"/>
    <w:basedOn w:val="1"/>
    <w:qFormat/>
    <w:uiPriority w:val="0"/>
    <w:pPr>
      <w:spacing w:line="360" w:lineRule="auto"/>
      <w:ind w:firstLine="525"/>
    </w:pPr>
    <w:rPr>
      <w:color w:val="000000"/>
    </w:rPr>
  </w:style>
  <w:style w:type="paragraph" w:styleId="28">
    <w:name w:val="toc 2"/>
    <w:basedOn w:val="1"/>
    <w:next w:val="1"/>
    <w:qFormat/>
    <w:uiPriority w:val="39"/>
    <w:pPr>
      <w:tabs>
        <w:tab w:val="right" w:leader="dot" w:pos="8494"/>
      </w:tabs>
      <w:spacing w:line="240" w:lineRule="auto"/>
      <w:ind w:firstLine="600"/>
      <w:jc w:val="left"/>
    </w:pPr>
    <w:rPr>
      <w:rFonts w:ascii="Times New Roman" w:hAnsi="Times New Roman" w:eastAsia="黑体"/>
      <w:smallCaps/>
      <w:sz w:val="24"/>
    </w:rPr>
  </w:style>
  <w:style w:type="paragraph" w:styleId="29">
    <w:name w:val="toc 9"/>
    <w:basedOn w:val="1"/>
    <w:next w:val="1"/>
    <w:qFormat/>
    <w:uiPriority w:val="0"/>
    <w:pPr>
      <w:ind w:left="2240"/>
      <w:jc w:val="left"/>
    </w:pPr>
    <w:rPr>
      <w:rFonts w:ascii="Times New Roman" w:hAnsi="Times New Roman"/>
      <w:sz w:val="18"/>
      <w:szCs w:val="18"/>
    </w:rPr>
  </w:style>
  <w:style w:type="paragraph" w:styleId="30">
    <w:name w:val="Normal (Web)"/>
    <w:basedOn w:val="1"/>
    <w:qFormat/>
    <w:uiPriority w:val="0"/>
    <w:pPr>
      <w:widowControl/>
      <w:adjustRightInd/>
      <w:snapToGrid/>
      <w:spacing w:before="100" w:beforeAutospacing="1" w:after="100" w:afterAutospacing="1" w:line="240" w:lineRule="auto"/>
      <w:ind w:firstLine="0" w:firstLineChars="0"/>
      <w:jc w:val="left"/>
    </w:pPr>
    <w:rPr>
      <w:rFonts w:cs="宋体"/>
      <w:snapToGrid/>
      <w:sz w:val="24"/>
      <w:szCs w:val="24"/>
    </w:rPr>
  </w:style>
  <w:style w:type="paragraph" w:styleId="31">
    <w:name w:val="annotation subject"/>
    <w:basedOn w:val="10"/>
    <w:next w:val="10"/>
    <w:qFormat/>
    <w:uiPriority w:val="0"/>
    <w:rPr>
      <w:b/>
      <w:bCs/>
    </w:rPr>
  </w:style>
  <w:style w:type="paragraph" w:styleId="32">
    <w:name w:val="Body Text First Indent"/>
    <w:basedOn w:val="11"/>
    <w:qFormat/>
    <w:uiPriority w:val="0"/>
    <w:pPr>
      <w:ind w:firstLine="420" w:firstLineChars="100"/>
    </w:pPr>
    <w:rPr>
      <w:rFonts w:eastAsia="宋体"/>
    </w:rPr>
  </w:style>
  <w:style w:type="paragraph" w:styleId="33">
    <w:name w:val="Body Text First Indent 2"/>
    <w:basedOn w:val="13"/>
    <w:next w:val="1"/>
    <w:unhideWhenUsed/>
    <w:qFormat/>
    <w:uiPriority w:val="99"/>
    <w:pPr>
      <w:ind w:firstLine="420"/>
    </w:pPr>
  </w:style>
  <w:style w:type="table" w:styleId="35">
    <w:name w:val="Table Grid"/>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qFormat/>
    <w:uiPriority w:val="0"/>
    <w:rPr>
      <w:b/>
      <w:bCs/>
    </w:rPr>
  </w:style>
  <w:style w:type="character" w:styleId="38">
    <w:name w:val="page number"/>
    <w:basedOn w:val="36"/>
    <w:qFormat/>
    <w:uiPriority w:val="0"/>
  </w:style>
  <w:style w:type="character" w:styleId="39">
    <w:name w:val="FollowedHyperlink"/>
    <w:unhideWhenUsed/>
    <w:qFormat/>
    <w:uiPriority w:val="99"/>
    <w:rPr>
      <w:color w:val="800080"/>
      <w:u w:val="single"/>
    </w:rPr>
  </w:style>
  <w:style w:type="character" w:styleId="40">
    <w:name w:val="Emphasis"/>
    <w:basedOn w:val="36"/>
    <w:qFormat/>
    <w:uiPriority w:val="20"/>
    <w:rPr>
      <w:i/>
    </w:rPr>
  </w:style>
  <w:style w:type="character" w:styleId="41">
    <w:name w:val="Hyperlink"/>
    <w:qFormat/>
    <w:uiPriority w:val="99"/>
    <w:rPr>
      <w:color w:val="0000FF"/>
      <w:u w:val="single"/>
    </w:rPr>
  </w:style>
  <w:style w:type="character" w:styleId="42">
    <w:name w:val="annotation reference"/>
    <w:qFormat/>
    <w:uiPriority w:val="0"/>
    <w:rPr>
      <w:sz w:val="21"/>
      <w:szCs w:val="21"/>
    </w:rPr>
  </w:style>
  <w:style w:type="character" w:customStyle="1" w:styleId="43">
    <w:name w:val="标题 1 字符"/>
    <w:link w:val="2"/>
    <w:qFormat/>
    <w:uiPriority w:val="0"/>
    <w:rPr>
      <w:rFonts w:ascii="黑体" w:hAnsi="黑体" w:eastAsia="黑体"/>
      <w:kern w:val="44"/>
      <w:sz w:val="36"/>
      <w:szCs w:val="44"/>
      <w:lang w:val="en-GB"/>
    </w:rPr>
  </w:style>
  <w:style w:type="paragraph" w:customStyle="1" w:styleId="44">
    <w:name w:val="正文文字"/>
    <w:basedOn w:val="1"/>
    <w:next w:val="1"/>
    <w:qFormat/>
    <w:uiPriority w:val="0"/>
    <w:pPr>
      <w:spacing w:after="120"/>
    </w:pPr>
  </w:style>
  <w:style w:type="paragraph" w:customStyle="1" w:styleId="45">
    <w:name w:val="正本"/>
    <w:basedOn w:val="1"/>
    <w:qFormat/>
    <w:uiPriority w:val="0"/>
    <w:rPr>
      <w:szCs w:val="24"/>
    </w:rPr>
  </w:style>
  <w:style w:type="paragraph" w:customStyle="1" w:styleId="46">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47">
    <w:name w:val="标题 2 字符"/>
    <w:link w:val="3"/>
    <w:qFormat/>
    <w:uiPriority w:val="0"/>
    <w:rPr>
      <w:rFonts w:ascii="宋体" w:hAnsi="宋体" w:eastAsia="黑体"/>
      <w:bCs/>
      <w:snapToGrid w:val="0"/>
      <w:color w:val="000000"/>
      <w:sz w:val="32"/>
      <w:szCs w:val="32"/>
    </w:rPr>
  </w:style>
  <w:style w:type="character" w:customStyle="1" w:styleId="48">
    <w:name w:val="标题 3 字符"/>
    <w:link w:val="4"/>
    <w:qFormat/>
    <w:uiPriority w:val="0"/>
    <w:rPr>
      <w:rFonts w:ascii="宋体" w:hAnsi="宋体" w:eastAsia="黑体"/>
      <w:bCs/>
      <w:snapToGrid w:val="0"/>
      <w:sz w:val="30"/>
      <w:szCs w:val="32"/>
    </w:rPr>
  </w:style>
  <w:style w:type="paragraph" w:customStyle="1" w:styleId="49">
    <w:name w:val="样式1"/>
    <w:basedOn w:val="1"/>
    <w:qFormat/>
    <w:uiPriority w:val="0"/>
    <w:pPr>
      <w:spacing w:line="490" w:lineRule="exact"/>
      <w:ind w:firstLine="556"/>
      <w:textAlignment w:val="baseline"/>
    </w:pPr>
  </w:style>
  <w:style w:type="paragraph" w:customStyle="1" w:styleId="50">
    <w:name w:val="样式4"/>
    <w:basedOn w:val="1"/>
    <w:next w:val="14"/>
    <w:qFormat/>
    <w:uiPriority w:val="0"/>
  </w:style>
  <w:style w:type="character" w:customStyle="1" w:styleId="51">
    <w:name w:val="标题 4 字符"/>
    <w:link w:val="5"/>
    <w:qFormat/>
    <w:uiPriority w:val="0"/>
    <w:rPr>
      <w:rFonts w:ascii="Arial" w:hAnsi="Arial" w:eastAsia="黑体"/>
      <w:bCs/>
      <w:kern w:val="2"/>
      <w:sz w:val="28"/>
      <w:szCs w:val="28"/>
    </w:rPr>
  </w:style>
  <w:style w:type="paragraph" w:customStyle="1" w:styleId="52">
    <w:name w:val="标题1（布）"/>
    <w:basedOn w:val="2"/>
    <w:link w:val="164"/>
    <w:qFormat/>
    <w:uiPriority w:val="0"/>
    <w:pPr>
      <w:spacing w:before="300" w:after="120" w:line="520" w:lineRule="exact"/>
      <w:jc w:val="both"/>
    </w:pPr>
    <w:rPr>
      <w:rFonts w:ascii="仿宋_GB2312"/>
      <w:bCs/>
      <w:szCs w:val="32"/>
    </w:rPr>
  </w:style>
  <w:style w:type="paragraph" w:customStyle="1" w:styleId="53">
    <w:name w:val="xl71"/>
    <w:basedOn w:val="1"/>
    <w:qFormat/>
    <w:uiPriority w:val="0"/>
    <w:pPr>
      <w:widowControl/>
      <w:adjustRightInd/>
      <w:snapToGrid/>
      <w:spacing w:before="100" w:beforeAutospacing="1" w:after="100" w:afterAutospacing="1" w:line="240" w:lineRule="auto"/>
      <w:ind w:firstLine="0" w:firstLineChars="0"/>
      <w:jc w:val="left"/>
    </w:pPr>
    <w:rPr>
      <w:rFonts w:ascii="Times New Roman" w:hAnsi="Times New Roman"/>
      <w:snapToGrid/>
      <w:sz w:val="20"/>
    </w:rPr>
  </w:style>
  <w:style w:type="paragraph" w:customStyle="1" w:styleId="54">
    <w:name w:val="xl119"/>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adjustRightInd/>
      <w:snapToGrid/>
      <w:spacing w:before="100" w:beforeAutospacing="1" w:after="100" w:afterAutospacing="1" w:line="240" w:lineRule="auto"/>
      <w:ind w:firstLine="0" w:firstLineChars="0"/>
      <w:jc w:val="right"/>
      <w:textAlignment w:val="bottom"/>
    </w:pPr>
    <w:rPr>
      <w:rFonts w:ascii="Times New Roman" w:hAnsi="Times New Roman"/>
      <w:snapToGrid/>
      <w:sz w:val="20"/>
    </w:rPr>
  </w:style>
  <w:style w:type="paragraph" w:customStyle="1" w:styleId="55">
    <w:name w:val="xl126"/>
    <w:basedOn w:val="1"/>
    <w:qFormat/>
    <w:uiPriority w:val="0"/>
    <w:pPr>
      <w:widowControl/>
      <w:pBdr>
        <w:top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Times New Roman" w:hAnsi="Times New Roman"/>
      <w:snapToGrid/>
      <w:sz w:val="20"/>
    </w:rPr>
  </w:style>
  <w:style w:type="paragraph" w:customStyle="1" w:styleId="56">
    <w:name w:val="xl105"/>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bottom"/>
    </w:pPr>
    <w:rPr>
      <w:rFonts w:ascii="Times New Roman" w:hAnsi="Times New Roman"/>
      <w:snapToGrid/>
      <w:sz w:val="20"/>
    </w:rPr>
  </w:style>
  <w:style w:type="paragraph" w:customStyle="1" w:styleId="57">
    <w:name w:val="样式3"/>
    <w:basedOn w:val="1"/>
    <w:qFormat/>
    <w:uiPriority w:val="0"/>
    <w:pPr>
      <w:spacing w:line="312" w:lineRule="atLeast"/>
      <w:textAlignment w:val="baseline"/>
    </w:pPr>
    <w:rPr>
      <w:b/>
    </w:rPr>
  </w:style>
  <w:style w:type="paragraph" w:customStyle="1" w:styleId="58">
    <w:name w:val="9"/>
    <w:basedOn w:val="1"/>
    <w:qFormat/>
    <w:uiPriority w:val="0"/>
    <w:pPr>
      <w:adjustRightInd/>
      <w:snapToGrid/>
      <w:spacing w:beforeLines="30" w:afterLines="30"/>
      <w:ind w:firstLine="540" w:firstLineChars="225"/>
    </w:pPr>
    <w:rPr>
      <w:rFonts w:ascii="Times New Roman" w:hAnsi="Times New Roman"/>
      <w:snapToGrid/>
      <w:kern w:val="2"/>
      <w:sz w:val="24"/>
    </w:rPr>
  </w:style>
  <w:style w:type="paragraph" w:styleId="59">
    <w:name w:val="List Paragraph"/>
    <w:basedOn w:val="1"/>
    <w:link w:val="161"/>
    <w:qFormat/>
    <w:uiPriority w:val="0"/>
    <w:pPr>
      <w:adjustRightInd/>
      <w:snapToGrid/>
      <w:spacing w:line="240" w:lineRule="auto"/>
      <w:ind w:firstLine="420"/>
    </w:pPr>
    <w:rPr>
      <w:rFonts w:ascii="Times New Roman" w:hAnsi="Times New Roman"/>
      <w:snapToGrid/>
      <w:kern w:val="2"/>
      <w:sz w:val="21"/>
      <w:szCs w:val="24"/>
    </w:rPr>
  </w:style>
  <w:style w:type="paragraph" w:customStyle="1" w:styleId="60">
    <w:name w:val="xl103"/>
    <w:basedOn w:val="1"/>
    <w:qFormat/>
    <w:uiPriority w:val="0"/>
    <w:pPr>
      <w:widowControl/>
      <w:pBdr>
        <w:left w:val="single" w:color="auto" w:sz="4" w:space="0"/>
        <w:bottom w:val="single" w:color="auto" w:sz="4" w:space="0"/>
      </w:pBdr>
      <w:adjustRightInd/>
      <w:snapToGrid/>
      <w:spacing w:before="100" w:beforeAutospacing="1" w:after="100" w:afterAutospacing="1" w:line="240" w:lineRule="auto"/>
      <w:ind w:firstLine="0" w:firstLineChars="0"/>
      <w:jc w:val="right"/>
      <w:textAlignment w:val="bottom"/>
    </w:pPr>
    <w:rPr>
      <w:rFonts w:ascii="Times New Roman" w:hAnsi="Times New Roman"/>
      <w:snapToGrid/>
      <w:sz w:val="20"/>
    </w:rPr>
  </w:style>
  <w:style w:type="paragraph" w:customStyle="1" w:styleId="61">
    <w:name w:val="xl99"/>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right"/>
      <w:textAlignment w:val="bottom"/>
    </w:pPr>
    <w:rPr>
      <w:rFonts w:ascii="Times New Roman" w:hAnsi="Times New Roman"/>
      <w:snapToGrid/>
      <w:sz w:val="20"/>
    </w:rPr>
  </w:style>
  <w:style w:type="paragraph" w:customStyle="1" w:styleId="62">
    <w:name w:val="xl115"/>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Times New Roman" w:hAnsi="Times New Roman"/>
      <w:snapToGrid/>
      <w:sz w:val="20"/>
    </w:rPr>
  </w:style>
  <w:style w:type="paragraph" w:customStyle="1" w:styleId="63">
    <w:name w:val="Char4 Char Char Char"/>
    <w:basedOn w:val="1"/>
    <w:semiHidden/>
    <w:qFormat/>
    <w:uiPriority w:val="0"/>
    <w:pPr>
      <w:adjustRightInd/>
      <w:snapToGrid/>
      <w:spacing w:line="240" w:lineRule="auto"/>
      <w:ind w:firstLine="0" w:firstLineChars="0"/>
    </w:pPr>
    <w:rPr>
      <w:rFonts w:ascii="Times New Roman" w:hAnsi="Times New Roman"/>
      <w:snapToGrid/>
      <w:kern w:val="2"/>
      <w:sz w:val="21"/>
      <w:szCs w:val="21"/>
    </w:rPr>
  </w:style>
  <w:style w:type="paragraph" w:customStyle="1" w:styleId="64">
    <w:name w:val="Char Char Char Char Char Char Char Char Char Char"/>
    <w:basedOn w:val="1"/>
    <w:qFormat/>
    <w:uiPriority w:val="0"/>
    <w:pPr>
      <w:spacing w:line="200" w:lineRule="atLeast"/>
      <w:ind w:firstLine="0" w:firstLineChars="0"/>
      <w:jc w:val="center"/>
    </w:pPr>
    <w:rPr>
      <w:rFonts w:ascii="Times New Roman" w:hAnsi="Times New Roman"/>
      <w:spacing w:val="10"/>
      <w:sz w:val="24"/>
      <w:szCs w:val="24"/>
    </w:rPr>
  </w:style>
  <w:style w:type="paragraph" w:customStyle="1" w:styleId="65">
    <w:name w:val="xl121"/>
    <w:basedOn w:val="1"/>
    <w:qFormat/>
    <w:uiPriority w:val="0"/>
    <w:pPr>
      <w:widowControl/>
      <w:pBdr>
        <w:top w:val="single" w:color="auto" w:sz="4" w:space="0"/>
        <w:left w:val="single" w:color="auto" w:sz="4" w:space="0"/>
      </w:pBdr>
      <w:adjustRightInd/>
      <w:snapToGrid/>
      <w:spacing w:before="100" w:beforeAutospacing="1" w:after="100" w:afterAutospacing="1" w:line="240" w:lineRule="auto"/>
      <w:ind w:firstLine="0" w:firstLineChars="0"/>
      <w:jc w:val="center"/>
    </w:pPr>
    <w:rPr>
      <w:rFonts w:ascii="Times New Roman" w:hAnsi="Times New Roman"/>
      <w:snapToGrid/>
      <w:sz w:val="20"/>
    </w:rPr>
  </w:style>
  <w:style w:type="paragraph" w:customStyle="1" w:styleId="66">
    <w:name w:val="xl128"/>
    <w:basedOn w:val="1"/>
    <w:qFormat/>
    <w:uiPriority w:val="0"/>
    <w:pPr>
      <w:widowControl/>
      <w:pBdr>
        <w:top w:val="single" w:color="auto" w:sz="4" w:space="0"/>
        <w:right w:val="single" w:color="auto" w:sz="4" w:space="0"/>
      </w:pBdr>
      <w:adjustRightInd/>
      <w:snapToGrid/>
      <w:spacing w:before="100" w:beforeAutospacing="1" w:after="100" w:afterAutospacing="1" w:line="240" w:lineRule="auto"/>
      <w:ind w:firstLine="0" w:firstLineChars="0"/>
      <w:jc w:val="center"/>
    </w:pPr>
    <w:rPr>
      <w:rFonts w:ascii="Times New Roman" w:hAnsi="Times New Roman"/>
      <w:snapToGrid/>
      <w:sz w:val="20"/>
    </w:rPr>
  </w:style>
  <w:style w:type="paragraph" w:customStyle="1" w:styleId="67">
    <w:name w:val="xl89"/>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bottom"/>
    </w:pPr>
    <w:rPr>
      <w:rFonts w:ascii="Times New Roman" w:hAnsi="Times New Roman"/>
      <w:snapToGrid/>
      <w:sz w:val="20"/>
    </w:rPr>
  </w:style>
  <w:style w:type="paragraph" w:customStyle="1" w:styleId="68">
    <w:name w:val="xl73"/>
    <w:basedOn w:val="1"/>
    <w:qFormat/>
    <w:uiPriority w:val="0"/>
    <w:pPr>
      <w:widowControl/>
      <w:adjustRightInd/>
      <w:snapToGrid/>
      <w:spacing w:before="100" w:beforeAutospacing="1" w:after="100" w:afterAutospacing="1" w:line="240" w:lineRule="auto"/>
      <w:ind w:firstLine="0" w:firstLineChars="0"/>
      <w:jc w:val="right"/>
    </w:pPr>
    <w:rPr>
      <w:rFonts w:ascii="Times New Roman" w:hAnsi="Times New Roman"/>
      <w:snapToGrid/>
      <w:sz w:val="20"/>
    </w:rPr>
  </w:style>
  <w:style w:type="paragraph" w:customStyle="1" w:styleId="69">
    <w:name w:val="Char1"/>
    <w:basedOn w:val="1"/>
    <w:qFormat/>
    <w:uiPriority w:val="0"/>
    <w:pPr>
      <w:adjustRightInd/>
      <w:snapToGrid/>
      <w:spacing w:line="240" w:lineRule="auto"/>
    </w:pPr>
    <w:rPr>
      <w:rFonts w:ascii="Times New Roman" w:hAnsi="Times New Roman"/>
      <w:snapToGrid/>
      <w:kern w:val="2"/>
      <w:szCs w:val="28"/>
    </w:rPr>
  </w:style>
  <w:style w:type="paragraph" w:customStyle="1" w:styleId="70">
    <w:name w:val="xl106"/>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textAlignment w:val="bottom"/>
    </w:pPr>
    <w:rPr>
      <w:rFonts w:ascii="Times New Roman" w:hAnsi="Times New Roman"/>
      <w:snapToGrid/>
      <w:sz w:val="20"/>
    </w:rPr>
  </w:style>
  <w:style w:type="paragraph" w:customStyle="1" w:styleId="71">
    <w:name w:val="p0"/>
    <w:basedOn w:val="1"/>
    <w:qFormat/>
    <w:uiPriority w:val="0"/>
    <w:pPr>
      <w:widowControl/>
      <w:adjustRightInd/>
      <w:snapToGrid/>
      <w:spacing w:before="100" w:beforeAutospacing="1" w:after="100" w:afterAutospacing="1" w:line="240" w:lineRule="auto"/>
      <w:ind w:firstLine="0" w:firstLineChars="0"/>
      <w:jc w:val="left"/>
    </w:pPr>
    <w:rPr>
      <w:rFonts w:cs="宋体"/>
      <w:snapToGrid/>
      <w:sz w:val="24"/>
      <w:szCs w:val="24"/>
    </w:rPr>
  </w:style>
  <w:style w:type="paragraph" w:customStyle="1" w:styleId="72">
    <w:name w:val="xl125"/>
    <w:basedOn w:val="1"/>
    <w:qFormat/>
    <w:uiPriority w:val="0"/>
    <w:pPr>
      <w:widowControl/>
      <w:pBdr>
        <w:top w:val="single" w:color="auto" w:sz="4" w:space="0"/>
        <w:bottom w:val="single" w:color="auto" w:sz="4" w:space="0"/>
      </w:pBdr>
      <w:adjustRightInd/>
      <w:snapToGrid/>
      <w:spacing w:before="100" w:beforeAutospacing="1" w:after="100" w:afterAutospacing="1" w:line="240" w:lineRule="auto"/>
      <w:ind w:firstLine="0" w:firstLineChars="0"/>
      <w:jc w:val="center"/>
    </w:pPr>
    <w:rPr>
      <w:rFonts w:ascii="Times New Roman" w:hAnsi="Times New Roman"/>
      <w:snapToGrid/>
      <w:sz w:val="20"/>
    </w:rPr>
  </w:style>
  <w:style w:type="paragraph" w:customStyle="1" w:styleId="73">
    <w:name w:val="xl118"/>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textAlignment w:val="bottom"/>
    </w:pPr>
    <w:rPr>
      <w:rFonts w:ascii="Times New Roman" w:hAnsi="Times New Roman"/>
      <w:snapToGrid/>
      <w:sz w:val="20"/>
    </w:rPr>
  </w:style>
  <w:style w:type="paragraph" w:customStyle="1" w:styleId="74">
    <w:name w:val="xl127"/>
    <w:basedOn w:val="1"/>
    <w:qFormat/>
    <w:uiPriority w:val="0"/>
    <w:pPr>
      <w:widowControl/>
      <w:pBdr>
        <w:top w:val="single" w:color="auto" w:sz="4" w:space="0"/>
      </w:pBdr>
      <w:adjustRightInd/>
      <w:snapToGrid/>
      <w:spacing w:before="100" w:beforeAutospacing="1" w:after="100" w:afterAutospacing="1" w:line="240" w:lineRule="auto"/>
      <w:ind w:firstLine="0" w:firstLineChars="0"/>
      <w:jc w:val="center"/>
    </w:pPr>
    <w:rPr>
      <w:rFonts w:ascii="Times New Roman" w:hAnsi="Times New Roman"/>
      <w:snapToGrid/>
      <w:sz w:val="20"/>
    </w:rPr>
  </w:style>
  <w:style w:type="paragraph" w:customStyle="1" w:styleId="75">
    <w:name w:val="xl76"/>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textAlignment w:val="bottom"/>
    </w:pPr>
    <w:rPr>
      <w:rFonts w:ascii="Times New Roman" w:hAnsi="Times New Roman"/>
      <w:snapToGrid/>
      <w:sz w:val="20"/>
    </w:rPr>
  </w:style>
  <w:style w:type="paragraph" w:customStyle="1" w:styleId="76">
    <w:name w:val="正文11"/>
    <w:basedOn w:val="1"/>
    <w:link w:val="169"/>
    <w:qFormat/>
    <w:uiPriority w:val="0"/>
    <w:pPr>
      <w:adjustRightInd/>
      <w:snapToGrid/>
      <w:spacing w:line="240" w:lineRule="auto"/>
    </w:pPr>
    <w:rPr>
      <w:rFonts w:ascii="Times New Roman" w:hAnsi="Times New Roman"/>
      <w:snapToGrid/>
      <w:kern w:val="2"/>
      <w:szCs w:val="28"/>
    </w:rPr>
  </w:style>
  <w:style w:type="paragraph" w:customStyle="1" w:styleId="77">
    <w:name w:val="CM2"/>
    <w:basedOn w:val="46"/>
    <w:next w:val="46"/>
    <w:qFormat/>
    <w:uiPriority w:val="0"/>
    <w:pPr>
      <w:spacing w:after="50"/>
    </w:pPr>
    <w:rPr>
      <w:rFonts w:ascii="宋体" w:hAnsi="Calibri" w:eastAsia="宋体" w:cs="Times New Roman"/>
      <w:color w:val="auto"/>
    </w:rPr>
  </w:style>
  <w:style w:type="paragraph" w:customStyle="1" w:styleId="78">
    <w:name w:val="xl116"/>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textAlignment w:val="bottom"/>
    </w:pPr>
    <w:rPr>
      <w:rFonts w:ascii="Times New Roman" w:hAnsi="Times New Roman"/>
      <w:snapToGrid/>
      <w:sz w:val="20"/>
    </w:rPr>
  </w:style>
  <w:style w:type="paragraph" w:customStyle="1" w:styleId="79">
    <w:name w:val="xl82"/>
    <w:basedOn w:val="1"/>
    <w:qFormat/>
    <w:uiPriority w:val="0"/>
    <w:pPr>
      <w:widowControl/>
      <w:pBdr>
        <w:left w:val="single" w:color="auto" w:sz="4" w:space="0"/>
        <w:bottom w:val="single" w:color="auto" w:sz="4" w:space="0"/>
      </w:pBdr>
      <w:adjustRightInd/>
      <w:snapToGrid/>
      <w:spacing w:before="100" w:beforeAutospacing="1" w:after="100" w:afterAutospacing="1" w:line="240" w:lineRule="auto"/>
      <w:ind w:firstLine="0" w:firstLineChars="0"/>
      <w:jc w:val="center"/>
      <w:textAlignment w:val="bottom"/>
    </w:pPr>
    <w:rPr>
      <w:rFonts w:ascii="Times New Roman" w:hAnsi="Times New Roman"/>
      <w:snapToGrid/>
      <w:sz w:val="20"/>
    </w:rPr>
  </w:style>
  <w:style w:type="paragraph" w:customStyle="1" w:styleId="80">
    <w:name w:val="xl108"/>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bottom"/>
    </w:pPr>
    <w:rPr>
      <w:rFonts w:ascii="Times New Roman" w:hAnsi="Times New Roman"/>
      <w:snapToGrid/>
      <w:sz w:val="20"/>
    </w:rPr>
  </w:style>
  <w:style w:type="paragraph" w:customStyle="1" w:styleId="81">
    <w:name w:val="样式 标题 3 + 右侧:  1 字符"/>
    <w:basedOn w:val="4"/>
    <w:qFormat/>
    <w:uiPriority w:val="0"/>
    <w:pPr>
      <w:snapToGrid/>
      <w:spacing w:before="260" w:after="260" w:line="416" w:lineRule="atLeast"/>
      <w:ind w:right="210"/>
      <w:textAlignment w:val="baseline"/>
    </w:pPr>
    <w:rPr>
      <w:rFonts w:ascii="Times New Roman" w:hAnsi="Times New Roman" w:cs="宋体"/>
      <w:bCs w:val="0"/>
      <w:snapToGrid/>
      <w:sz w:val="28"/>
      <w:szCs w:val="20"/>
    </w:rPr>
  </w:style>
  <w:style w:type="paragraph" w:customStyle="1" w:styleId="82">
    <w:name w:val="xl95"/>
    <w:basedOn w:val="1"/>
    <w:qFormat/>
    <w:uiPriority w:val="0"/>
    <w:pPr>
      <w:widowControl/>
      <w:pBdr>
        <w:top w:val="single" w:color="auto" w:sz="4" w:space="0"/>
        <w:left w:val="single" w:color="auto" w:sz="4" w:space="0"/>
        <w:bottom w:val="single" w:color="auto" w:sz="4" w:space="0"/>
      </w:pBdr>
      <w:adjustRightInd/>
      <w:snapToGrid/>
      <w:spacing w:before="100" w:beforeAutospacing="1" w:after="100" w:afterAutospacing="1" w:line="240" w:lineRule="auto"/>
      <w:ind w:firstLine="0" w:firstLineChars="0"/>
      <w:jc w:val="center"/>
      <w:textAlignment w:val="bottom"/>
    </w:pPr>
    <w:rPr>
      <w:rFonts w:ascii="Times New Roman" w:hAnsi="Times New Roman"/>
      <w:snapToGrid/>
      <w:sz w:val="20"/>
    </w:rPr>
  </w:style>
  <w:style w:type="paragraph" w:customStyle="1" w:styleId="83">
    <w:name w:val="xl88"/>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right"/>
      <w:textAlignment w:val="bottom"/>
    </w:pPr>
    <w:rPr>
      <w:rFonts w:ascii="Times New Roman" w:hAnsi="Times New Roman"/>
      <w:snapToGrid/>
      <w:sz w:val="20"/>
    </w:rPr>
  </w:style>
  <w:style w:type="paragraph" w:customStyle="1" w:styleId="84">
    <w:name w:val="表头4"/>
    <w:basedOn w:val="1"/>
    <w:qFormat/>
    <w:uiPriority w:val="0"/>
    <w:pPr>
      <w:adjustRightInd/>
      <w:snapToGrid/>
      <w:spacing w:before="120" w:line="460" w:lineRule="exact"/>
      <w:ind w:firstLine="0" w:firstLineChars="0"/>
      <w:jc w:val="center"/>
    </w:pPr>
    <w:rPr>
      <w:rFonts w:ascii="黑体" w:hAnsi="Times New Roman" w:eastAsia="黑体"/>
      <w:snapToGrid/>
      <w:color w:val="000000"/>
      <w:kern w:val="2"/>
      <w:sz w:val="24"/>
      <w:szCs w:val="24"/>
    </w:rPr>
  </w:style>
  <w:style w:type="paragraph" w:customStyle="1" w:styleId="85">
    <w:name w:val="xl122"/>
    <w:basedOn w:val="1"/>
    <w:qFormat/>
    <w:uiPriority w:val="0"/>
    <w:pPr>
      <w:widowControl/>
      <w:pBdr>
        <w:left w:val="single" w:color="auto" w:sz="4" w:space="0"/>
        <w:bottom w:val="single" w:color="auto" w:sz="4" w:space="0"/>
      </w:pBdr>
      <w:adjustRightInd/>
      <w:snapToGrid/>
      <w:spacing w:before="100" w:beforeAutospacing="1" w:after="100" w:afterAutospacing="1" w:line="240" w:lineRule="auto"/>
      <w:ind w:firstLine="0" w:firstLineChars="0"/>
      <w:jc w:val="center"/>
    </w:pPr>
    <w:rPr>
      <w:rFonts w:ascii="Times New Roman" w:hAnsi="Times New Roman"/>
      <w:snapToGrid/>
      <w:sz w:val="20"/>
    </w:rPr>
  </w:style>
  <w:style w:type="paragraph" w:customStyle="1" w:styleId="86">
    <w:name w:val="xl98"/>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bottom"/>
    </w:pPr>
    <w:rPr>
      <w:rFonts w:ascii="Times New Roman" w:hAnsi="Times New Roman"/>
      <w:snapToGrid/>
      <w:sz w:val="20"/>
    </w:rPr>
  </w:style>
  <w:style w:type="paragraph" w:customStyle="1" w:styleId="87">
    <w:name w:val="xl9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textAlignment w:val="bottom"/>
    </w:pPr>
    <w:rPr>
      <w:rFonts w:ascii="Times New Roman" w:hAnsi="Times New Roman"/>
      <w:snapToGrid/>
      <w:sz w:val="20"/>
    </w:rPr>
  </w:style>
  <w:style w:type="paragraph" w:customStyle="1" w:styleId="88">
    <w:name w:val="正文1"/>
    <w:basedOn w:val="1"/>
    <w:qFormat/>
    <w:uiPriority w:val="0"/>
    <w:pPr>
      <w:autoSpaceDE w:val="0"/>
      <w:autoSpaceDN w:val="0"/>
      <w:snapToGrid/>
      <w:spacing w:line="460" w:lineRule="atLeast"/>
      <w:ind w:firstLine="624" w:firstLineChars="0"/>
      <w:jc w:val="left"/>
      <w:textAlignment w:val="center"/>
    </w:pPr>
    <w:rPr>
      <w:rFonts w:ascii="Times New Roman" w:hAnsi="Playbill"/>
      <w:snapToGrid/>
      <w:color w:val="0000FF"/>
      <w:spacing w:val="16"/>
      <w:kern w:val="16"/>
    </w:rPr>
  </w:style>
  <w:style w:type="paragraph" w:customStyle="1" w:styleId="89">
    <w:name w:val="xl79"/>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textAlignment w:val="bottom"/>
    </w:pPr>
    <w:rPr>
      <w:rFonts w:ascii="Times New Roman" w:hAnsi="Times New Roman"/>
      <w:snapToGrid/>
      <w:sz w:val="20"/>
    </w:rPr>
  </w:style>
  <w:style w:type="paragraph" w:customStyle="1" w:styleId="90">
    <w:name w:val="8 Char"/>
    <w:basedOn w:val="1"/>
    <w:semiHidden/>
    <w:qFormat/>
    <w:uiPriority w:val="0"/>
    <w:pPr>
      <w:adjustRightInd/>
      <w:snapToGrid/>
      <w:ind w:firstLine="480"/>
    </w:pPr>
    <w:rPr>
      <w:rFonts w:ascii="Times New Roman" w:hAnsi="Times New Roman"/>
      <w:snapToGrid/>
      <w:kern w:val="10"/>
      <w:sz w:val="24"/>
      <w:szCs w:val="24"/>
    </w:rPr>
  </w:style>
  <w:style w:type="paragraph" w:customStyle="1" w:styleId="91">
    <w:name w:val="xl33"/>
    <w:basedOn w:val="1"/>
    <w:semiHidden/>
    <w:qFormat/>
    <w:uiPriority w:val="0"/>
    <w:pPr>
      <w:widowControl/>
      <w:pBdr>
        <w:left w:val="single" w:color="auto" w:sz="4" w:space="0"/>
        <w:bottom w:val="single" w:color="auto" w:sz="4" w:space="0"/>
      </w:pBdr>
      <w:adjustRightInd/>
      <w:snapToGrid/>
      <w:spacing w:before="100" w:beforeAutospacing="1" w:after="100" w:afterAutospacing="1" w:line="240" w:lineRule="auto"/>
      <w:ind w:firstLine="0" w:firstLineChars="0"/>
      <w:jc w:val="center"/>
      <w:textAlignment w:val="center"/>
    </w:pPr>
    <w:rPr>
      <w:snapToGrid/>
      <w:sz w:val="24"/>
      <w:szCs w:val="24"/>
    </w:rPr>
  </w:style>
  <w:style w:type="paragraph" w:customStyle="1" w:styleId="92">
    <w:name w:val="xl100"/>
    <w:basedOn w:val="1"/>
    <w:qFormat/>
    <w:uiPriority w:val="0"/>
    <w:pPr>
      <w:widowControl/>
      <w:pBdr>
        <w:left w:val="single" w:color="auto" w:sz="4" w:space="0"/>
        <w:bottom w:val="single" w:color="auto" w:sz="4" w:space="0"/>
      </w:pBdr>
      <w:adjustRightInd/>
      <w:snapToGrid/>
      <w:spacing w:before="100" w:beforeAutospacing="1" w:after="100" w:afterAutospacing="1" w:line="240" w:lineRule="auto"/>
      <w:ind w:firstLine="0" w:firstLineChars="0"/>
      <w:jc w:val="right"/>
      <w:textAlignment w:val="bottom"/>
    </w:pPr>
    <w:rPr>
      <w:rFonts w:ascii="Times New Roman" w:hAnsi="Times New Roman"/>
      <w:snapToGrid/>
      <w:sz w:val="20"/>
    </w:rPr>
  </w:style>
  <w:style w:type="paragraph" w:customStyle="1" w:styleId="93">
    <w:name w:val="xl87"/>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bottom"/>
    </w:pPr>
    <w:rPr>
      <w:rFonts w:ascii="Times New Roman" w:hAnsi="Times New Roman"/>
      <w:snapToGrid/>
      <w:sz w:val="20"/>
    </w:rPr>
  </w:style>
  <w:style w:type="paragraph" w:customStyle="1" w:styleId="94">
    <w:name w:val="xl72"/>
    <w:basedOn w:val="1"/>
    <w:qFormat/>
    <w:uiPriority w:val="0"/>
    <w:pPr>
      <w:widowControl/>
      <w:adjustRightInd/>
      <w:snapToGrid/>
      <w:spacing w:before="100" w:beforeAutospacing="1" w:after="100" w:afterAutospacing="1" w:line="240" w:lineRule="auto"/>
      <w:ind w:firstLine="0" w:firstLineChars="0"/>
      <w:jc w:val="center"/>
    </w:pPr>
    <w:rPr>
      <w:rFonts w:ascii="Times New Roman" w:hAnsi="Times New Roman"/>
      <w:snapToGrid/>
      <w:sz w:val="20"/>
    </w:rPr>
  </w:style>
  <w:style w:type="paragraph" w:customStyle="1" w:styleId="95">
    <w:name w:val="xl85"/>
    <w:basedOn w:val="1"/>
    <w:qFormat/>
    <w:uiPriority w:val="0"/>
    <w:pPr>
      <w:widowControl/>
      <w:pBdr>
        <w:left w:val="single" w:color="auto" w:sz="4" w:space="0"/>
        <w:bottom w:val="single" w:color="auto" w:sz="4" w:space="0"/>
      </w:pBdr>
      <w:adjustRightInd/>
      <w:snapToGrid/>
      <w:spacing w:before="100" w:beforeAutospacing="1" w:after="100" w:afterAutospacing="1" w:line="240" w:lineRule="auto"/>
      <w:ind w:firstLine="0" w:firstLineChars="0"/>
      <w:jc w:val="right"/>
      <w:textAlignment w:val="bottom"/>
    </w:pPr>
    <w:rPr>
      <w:rFonts w:ascii="Times New Roman" w:hAnsi="Times New Roman"/>
      <w:snapToGrid/>
      <w:sz w:val="20"/>
    </w:rPr>
  </w:style>
  <w:style w:type="paragraph" w:customStyle="1" w:styleId="96">
    <w:name w:val="xl97"/>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textAlignment w:val="bottom"/>
    </w:pPr>
    <w:rPr>
      <w:rFonts w:ascii="Times New Roman" w:hAnsi="Times New Roman"/>
      <w:snapToGrid/>
      <w:sz w:val="20"/>
    </w:rPr>
  </w:style>
  <w:style w:type="paragraph" w:customStyle="1" w:styleId="97">
    <w:name w:val="8 Char Char"/>
    <w:basedOn w:val="1"/>
    <w:semiHidden/>
    <w:qFormat/>
    <w:uiPriority w:val="0"/>
    <w:pPr>
      <w:adjustRightInd/>
      <w:snapToGrid/>
      <w:ind w:firstLine="480"/>
    </w:pPr>
    <w:rPr>
      <w:rFonts w:ascii="Times New Roman" w:hAnsi="Times New Roman"/>
      <w:snapToGrid/>
      <w:kern w:val="10"/>
      <w:sz w:val="24"/>
      <w:szCs w:val="24"/>
    </w:rPr>
  </w:style>
  <w:style w:type="paragraph" w:customStyle="1" w:styleId="98">
    <w:name w:val="CM3"/>
    <w:basedOn w:val="46"/>
    <w:next w:val="46"/>
    <w:qFormat/>
    <w:uiPriority w:val="0"/>
    <w:pPr>
      <w:spacing w:after="103"/>
    </w:pPr>
    <w:rPr>
      <w:rFonts w:ascii="宋体" w:hAnsi="Calibri" w:eastAsia="宋体" w:cs="Times New Roman"/>
      <w:color w:val="auto"/>
    </w:rPr>
  </w:style>
  <w:style w:type="paragraph" w:customStyle="1" w:styleId="99">
    <w:name w:val="xl74"/>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bottom"/>
    </w:pPr>
    <w:rPr>
      <w:rFonts w:ascii="Times New Roman" w:hAnsi="Times New Roman"/>
      <w:snapToGrid/>
      <w:sz w:val="20"/>
    </w:rPr>
  </w:style>
  <w:style w:type="paragraph" w:customStyle="1" w:styleId="100">
    <w:name w:val="xl84"/>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textAlignment w:val="bottom"/>
    </w:pPr>
    <w:rPr>
      <w:rFonts w:ascii="Times New Roman" w:hAnsi="Times New Roman"/>
      <w:snapToGrid/>
      <w:sz w:val="20"/>
    </w:rPr>
  </w:style>
  <w:style w:type="paragraph" w:customStyle="1" w:styleId="101">
    <w:name w:val="节标题"/>
    <w:basedOn w:val="1"/>
    <w:next w:val="102"/>
    <w:qFormat/>
    <w:uiPriority w:val="0"/>
    <w:pPr>
      <w:widowControl/>
      <w:spacing w:line="289" w:lineRule="atLeast"/>
      <w:jc w:val="center"/>
      <w:textAlignment w:val="baseline"/>
    </w:pPr>
    <w:rPr>
      <w:color w:val="000000"/>
      <w:u w:color="000000"/>
    </w:rPr>
  </w:style>
  <w:style w:type="paragraph" w:customStyle="1" w:styleId="102">
    <w:name w:val="小节标题"/>
    <w:basedOn w:val="1"/>
    <w:next w:val="1"/>
    <w:qFormat/>
    <w:uiPriority w:val="0"/>
    <w:pPr>
      <w:widowControl/>
      <w:spacing w:before="175" w:after="102" w:line="351" w:lineRule="atLeast"/>
      <w:textAlignment w:val="baseline"/>
    </w:pPr>
    <w:rPr>
      <w:rFonts w:eastAsia="黑体"/>
      <w:color w:val="000000"/>
      <w:sz w:val="21"/>
      <w:u w:color="000000"/>
    </w:rPr>
  </w:style>
  <w:style w:type="paragraph" w:customStyle="1" w:styleId="103">
    <w:name w:val="xl93"/>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right"/>
      <w:textAlignment w:val="bottom"/>
    </w:pPr>
    <w:rPr>
      <w:rFonts w:ascii="Times New Roman" w:hAnsi="Times New Roman"/>
      <w:snapToGrid/>
      <w:sz w:val="20"/>
    </w:rPr>
  </w:style>
  <w:style w:type="paragraph" w:customStyle="1" w:styleId="104">
    <w:name w:val="Char Char"/>
    <w:basedOn w:val="1"/>
    <w:qFormat/>
    <w:uiPriority w:val="0"/>
    <w:pPr>
      <w:adjustRightInd/>
      <w:snapToGrid/>
      <w:spacing w:line="240" w:lineRule="auto"/>
      <w:ind w:firstLine="0" w:firstLineChars="0"/>
    </w:pPr>
    <w:rPr>
      <w:rFonts w:ascii="Times New Roman" w:hAnsi="Times New Roman"/>
      <w:snapToGrid/>
      <w:kern w:val="2"/>
      <w:sz w:val="21"/>
      <w:szCs w:val="24"/>
    </w:rPr>
  </w:style>
  <w:style w:type="paragraph" w:customStyle="1" w:styleId="105">
    <w:name w:val="xl75"/>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right"/>
      <w:textAlignment w:val="bottom"/>
    </w:pPr>
    <w:rPr>
      <w:rFonts w:ascii="Times New Roman" w:hAnsi="Times New Roman"/>
      <w:snapToGrid/>
      <w:sz w:val="20"/>
    </w:rPr>
  </w:style>
  <w:style w:type="paragraph" w:customStyle="1" w:styleId="106">
    <w:name w:val="表内容"/>
    <w:basedOn w:val="1"/>
    <w:qFormat/>
    <w:uiPriority w:val="0"/>
    <w:pPr>
      <w:adjustRightInd/>
      <w:snapToGrid/>
      <w:spacing w:line="240" w:lineRule="auto"/>
      <w:ind w:firstLine="0" w:firstLineChars="0"/>
      <w:jc w:val="center"/>
    </w:pPr>
    <w:rPr>
      <w:rFonts w:ascii="仿宋_GB2312"/>
      <w:snapToGrid/>
      <w:kern w:val="2"/>
      <w:sz w:val="21"/>
      <w:szCs w:val="24"/>
    </w:rPr>
  </w:style>
  <w:style w:type="paragraph" w:customStyle="1" w:styleId="107">
    <w:name w:val="样式 四号 首行缩进:  0.92 厘米 字距调整八号 行距: 固定值 26 磅"/>
    <w:basedOn w:val="1"/>
    <w:link w:val="153"/>
    <w:qFormat/>
    <w:uiPriority w:val="0"/>
    <w:pPr>
      <w:adjustRightInd/>
      <w:snapToGrid/>
    </w:pPr>
    <w:rPr>
      <w:rFonts w:ascii="Times New Roman" w:hAnsi="Times New Roman"/>
      <w:snapToGrid/>
      <w:kern w:val="10"/>
    </w:rPr>
  </w:style>
  <w:style w:type="paragraph" w:customStyle="1" w:styleId="108">
    <w:name w:val="段落"/>
    <w:basedOn w:val="1"/>
    <w:qFormat/>
    <w:uiPriority w:val="0"/>
    <w:pPr>
      <w:spacing w:line="500" w:lineRule="exact"/>
    </w:pPr>
    <w:rPr>
      <w:szCs w:val="28"/>
    </w:rPr>
  </w:style>
  <w:style w:type="paragraph" w:customStyle="1" w:styleId="109">
    <w:name w:val="表头（布）"/>
    <w:basedOn w:val="1"/>
    <w:link w:val="162"/>
    <w:qFormat/>
    <w:uiPriority w:val="0"/>
    <w:pPr>
      <w:keepNext/>
      <w:keepLines/>
      <w:adjustRightInd/>
      <w:snapToGrid/>
      <w:spacing w:before="120" w:line="460" w:lineRule="exact"/>
      <w:ind w:firstLine="0" w:firstLineChars="0"/>
      <w:jc w:val="center"/>
    </w:pPr>
    <w:rPr>
      <w:rFonts w:ascii="仿宋_GB2312" w:hAnsi="Times New Roman" w:eastAsia="黑体"/>
      <w:snapToGrid/>
      <w:kern w:val="10"/>
      <w:sz w:val="24"/>
      <w:szCs w:val="28"/>
    </w:rPr>
  </w:style>
  <w:style w:type="paragraph" w:customStyle="1" w:styleId="110">
    <w:name w:val="xl124"/>
    <w:basedOn w:val="1"/>
    <w:qFormat/>
    <w:uiPriority w:val="0"/>
    <w:pPr>
      <w:widowControl/>
      <w:pBdr>
        <w:top w:val="single" w:color="auto" w:sz="4" w:space="0"/>
        <w:left w:val="single" w:color="auto" w:sz="4" w:space="0"/>
        <w:bottom w:val="single" w:color="auto" w:sz="4" w:space="0"/>
      </w:pBdr>
      <w:adjustRightInd/>
      <w:snapToGrid/>
      <w:spacing w:before="100" w:beforeAutospacing="1" w:after="100" w:afterAutospacing="1" w:line="240" w:lineRule="auto"/>
      <w:ind w:firstLine="0" w:firstLineChars="0"/>
      <w:jc w:val="center"/>
    </w:pPr>
    <w:rPr>
      <w:rFonts w:ascii="Times New Roman" w:hAnsi="Times New Roman"/>
      <w:snapToGrid/>
      <w:sz w:val="20"/>
    </w:rPr>
  </w:style>
  <w:style w:type="paragraph" w:customStyle="1" w:styleId="111">
    <w:name w:val="xl112"/>
    <w:basedOn w:val="1"/>
    <w:qFormat/>
    <w:uiPriority w:val="0"/>
    <w:pPr>
      <w:widowControl/>
      <w:pBdr>
        <w:left w:val="single" w:color="auto" w:sz="4" w:space="0"/>
        <w:bottom w:val="single" w:color="auto" w:sz="4" w:space="0"/>
      </w:pBdr>
      <w:adjustRightInd/>
      <w:snapToGrid/>
      <w:spacing w:before="100" w:beforeAutospacing="1" w:after="100" w:afterAutospacing="1" w:line="240" w:lineRule="auto"/>
      <w:ind w:firstLine="0" w:firstLineChars="0"/>
      <w:jc w:val="left"/>
      <w:textAlignment w:val="bottom"/>
    </w:pPr>
    <w:rPr>
      <w:rFonts w:ascii="Times New Roman" w:hAnsi="Times New Roman"/>
      <w:snapToGrid/>
      <w:sz w:val="20"/>
    </w:rPr>
  </w:style>
  <w:style w:type="paragraph" w:customStyle="1" w:styleId="112">
    <w:name w:val="xl81"/>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right"/>
      <w:textAlignment w:val="bottom"/>
    </w:pPr>
    <w:rPr>
      <w:rFonts w:ascii="Times New Roman" w:hAnsi="Times New Roman"/>
      <w:snapToGrid/>
      <w:sz w:val="20"/>
    </w:rPr>
  </w:style>
  <w:style w:type="paragraph" w:customStyle="1" w:styleId="113">
    <w:name w:val="xl96"/>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bottom"/>
    </w:pPr>
    <w:rPr>
      <w:rFonts w:ascii="Times New Roman" w:hAnsi="Times New Roman"/>
      <w:snapToGrid/>
      <w:sz w:val="20"/>
    </w:rPr>
  </w:style>
  <w:style w:type="paragraph" w:customStyle="1" w:styleId="114">
    <w:name w:val="xl111"/>
    <w:basedOn w:val="1"/>
    <w:qFormat/>
    <w:uiPriority w:val="0"/>
    <w:pPr>
      <w:widowControl/>
      <w:pBdr>
        <w:top w:val="single" w:color="auto" w:sz="4" w:space="0"/>
        <w:left w:val="single" w:color="auto" w:sz="4" w:space="0"/>
        <w:bottom w:val="single" w:color="auto" w:sz="4" w:space="0"/>
      </w:pBdr>
      <w:adjustRightInd/>
      <w:snapToGrid/>
      <w:spacing w:before="100" w:beforeAutospacing="1" w:after="100" w:afterAutospacing="1" w:line="240" w:lineRule="auto"/>
      <w:ind w:firstLine="0" w:firstLineChars="0"/>
      <w:jc w:val="center"/>
      <w:textAlignment w:val="bottom"/>
    </w:pPr>
    <w:rPr>
      <w:rFonts w:ascii="Times New Roman" w:hAnsi="Times New Roman"/>
      <w:snapToGrid/>
      <w:sz w:val="20"/>
    </w:rPr>
  </w:style>
  <w:style w:type="paragraph" w:customStyle="1" w:styleId="115">
    <w:name w:val="8"/>
    <w:basedOn w:val="1"/>
    <w:link w:val="148"/>
    <w:qFormat/>
    <w:uiPriority w:val="0"/>
    <w:pPr>
      <w:adjustRightInd/>
      <w:snapToGrid/>
      <w:ind w:firstLine="480"/>
    </w:pPr>
    <w:rPr>
      <w:rFonts w:ascii="Times New Roman" w:hAnsi="Times New Roman"/>
      <w:snapToGrid/>
      <w:kern w:val="10"/>
      <w:sz w:val="24"/>
      <w:szCs w:val="24"/>
    </w:rPr>
  </w:style>
  <w:style w:type="paragraph" w:customStyle="1" w:styleId="116">
    <w:name w:val="xl114"/>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bottom"/>
    </w:pPr>
    <w:rPr>
      <w:rFonts w:ascii="Times New Roman" w:hAnsi="Times New Roman"/>
      <w:snapToGrid/>
      <w:sz w:val="20"/>
    </w:rPr>
  </w:style>
  <w:style w:type="paragraph" w:customStyle="1" w:styleId="117">
    <w:name w:val="擎能一般表格"/>
    <w:basedOn w:val="1"/>
    <w:next w:val="1"/>
    <w:qFormat/>
    <w:uiPriority w:val="0"/>
    <w:pPr>
      <w:adjustRightInd/>
      <w:spacing w:line="240" w:lineRule="auto"/>
      <w:ind w:firstLine="0" w:firstLineChars="0"/>
      <w:jc w:val="center"/>
    </w:pPr>
    <w:rPr>
      <w:rFonts w:ascii="Times New Roman" w:hAnsi="Times New Roman"/>
      <w:snapToGrid/>
      <w:sz w:val="21"/>
    </w:rPr>
  </w:style>
  <w:style w:type="paragraph" w:customStyle="1" w:styleId="118">
    <w:name w:val="xl86"/>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right"/>
      <w:textAlignment w:val="bottom"/>
    </w:pPr>
    <w:rPr>
      <w:rFonts w:ascii="Times New Roman" w:hAnsi="Times New Roman"/>
      <w:snapToGrid/>
      <w:sz w:val="20"/>
    </w:rPr>
  </w:style>
  <w:style w:type="paragraph" w:customStyle="1" w:styleId="119">
    <w:name w:val="xl91"/>
    <w:basedOn w:val="1"/>
    <w:qFormat/>
    <w:uiPriority w:val="0"/>
    <w:pPr>
      <w:widowControl/>
      <w:pBdr>
        <w:left w:val="single" w:color="auto" w:sz="4" w:space="0"/>
        <w:bottom w:val="single" w:color="auto" w:sz="4" w:space="0"/>
      </w:pBdr>
      <w:adjustRightInd/>
      <w:snapToGrid/>
      <w:spacing w:before="100" w:beforeAutospacing="1" w:after="100" w:afterAutospacing="1" w:line="240" w:lineRule="auto"/>
      <w:ind w:firstLine="0" w:firstLineChars="0"/>
      <w:jc w:val="right"/>
      <w:textAlignment w:val="bottom"/>
    </w:pPr>
    <w:rPr>
      <w:rFonts w:ascii="Times New Roman" w:hAnsi="Times New Roman"/>
      <w:snapToGrid/>
      <w:sz w:val="20"/>
    </w:rPr>
  </w:style>
  <w:style w:type="paragraph" w:customStyle="1" w:styleId="120">
    <w:name w:val="font5"/>
    <w:basedOn w:val="1"/>
    <w:qFormat/>
    <w:uiPriority w:val="0"/>
    <w:pPr>
      <w:widowControl/>
      <w:adjustRightInd/>
      <w:snapToGrid/>
      <w:spacing w:before="100" w:beforeAutospacing="1" w:after="100" w:afterAutospacing="1" w:line="240" w:lineRule="auto"/>
      <w:ind w:firstLine="0" w:firstLineChars="0"/>
      <w:jc w:val="left"/>
    </w:pPr>
    <w:rPr>
      <w:rFonts w:ascii="Times New Roman" w:hAnsi="Times New Roman"/>
      <w:snapToGrid/>
      <w:sz w:val="20"/>
    </w:rPr>
  </w:style>
  <w:style w:type="paragraph" w:customStyle="1" w:styleId="121">
    <w:name w:val="xl77"/>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textAlignment w:val="bottom"/>
    </w:pPr>
    <w:rPr>
      <w:rFonts w:ascii="Times New Roman" w:hAnsi="Times New Roman"/>
      <w:snapToGrid/>
      <w:sz w:val="20"/>
    </w:rPr>
  </w:style>
  <w:style w:type="paragraph" w:customStyle="1" w:styleId="122">
    <w:name w:val="font8"/>
    <w:basedOn w:val="1"/>
    <w:qFormat/>
    <w:uiPriority w:val="0"/>
    <w:pPr>
      <w:widowControl/>
      <w:adjustRightInd/>
      <w:snapToGrid/>
      <w:spacing w:before="100" w:beforeAutospacing="1" w:after="100" w:afterAutospacing="1" w:line="240" w:lineRule="auto"/>
      <w:ind w:firstLine="0" w:firstLineChars="0"/>
      <w:jc w:val="left"/>
    </w:pPr>
    <w:rPr>
      <w:rFonts w:cs="宋体"/>
      <w:snapToGrid/>
      <w:sz w:val="20"/>
    </w:rPr>
  </w:style>
  <w:style w:type="paragraph" w:customStyle="1" w:styleId="123">
    <w:name w:val="xl123"/>
    <w:basedOn w:val="1"/>
    <w:qFormat/>
    <w:uiPriority w:val="0"/>
    <w:pPr>
      <w:widowControl/>
      <w:pBdr>
        <w:top w:val="single" w:color="auto" w:sz="4" w:space="0"/>
        <w:left w:val="single" w:color="auto" w:sz="4" w:space="0"/>
        <w:right w:val="single" w:color="auto" w:sz="4" w:space="0"/>
      </w:pBdr>
      <w:adjustRightInd/>
      <w:snapToGrid/>
      <w:spacing w:before="100" w:beforeAutospacing="1" w:after="100" w:afterAutospacing="1" w:line="240" w:lineRule="auto"/>
      <w:ind w:firstLine="0" w:firstLineChars="0"/>
      <w:jc w:val="center"/>
    </w:pPr>
    <w:rPr>
      <w:rFonts w:ascii="Times New Roman" w:hAnsi="Times New Roman"/>
      <w:snapToGrid/>
      <w:sz w:val="20"/>
    </w:rPr>
  </w:style>
  <w:style w:type="paragraph" w:customStyle="1" w:styleId="124">
    <w:name w:val="正文（布）"/>
    <w:basedOn w:val="1"/>
    <w:link w:val="157"/>
    <w:qFormat/>
    <w:uiPriority w:val="0"/>
    <w:pPr>
      <w:adjustRightInd/>
      <w:snapToGrid/>
    </w:pPr>
    <w:rPr>
      <w:rFonts w:ascii="仿宋_GB2312" w:hAnsi="Times New Roman"/>
      <w:snapToGrid/>
      <w:kern w:val="2"/>
      <w:szCs w:val="28"/>
    </w:rPr>
  </w:style>
  <w:style w:type="paragraph" w:customStyle="1" w:styleId="125">
    <w:name w:val="xl107"/>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right"/>
      <w:textAlignment w:val="bottom"/>
    </w:pPr>
    <w:rPr>
      <w:rFonts w:ascii="Times New Roman" w:hAnsi="Times New Roman"/>
      <w:snapToGrid/>
      <w:sz w:val="20"/>
    </w:rPr>
  </w:style>
  <w:style w:type="paragraph" w:customStyle="1" w:styleId="126">
    <w:name w:val="xl94"/>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textAlignment w:val="bottom"/>
    </w:pPr>
    <w:rPr>
      <w:rFonts w:ascii="Times New Roman" w:hAnsi="Times New Roman"/>
      <w:snapToGrid/>
      <w:sz w:val="20"/>
    </w:rPr>
  </w:style>
  <w:style w:type="paragraph" w:customStyle="1" w:styleId="127">
    <w:name w:val="xl8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right"/>
      <w:textAlignment w:val="bottom"/>
    </w:pPr>
    <w:rPr>
      <w:rFonts w:ascii="Times New Roman" w:hAnsi="Times New Roman"/>
      <w:snapToGrid/>
      <w:sz w:val="20"/>
    </w:rPr>
  </w:style>
  <w:style w:type="paragraph" w:customStyle="1" w:styleId="128">
    <w:name w:val="样式 正文缩进正文缩进 Char正文缩进1 Char正文缩进1正文（首行缩进两字） Char正文缩进 Char Cha..."/>
    <w:basedOn w:val="7"/>
    <w:qFormat/>
    <w:uiPriority w:val="0"/>
    <w:pPr>
      <w:spacing w:beforeLines="50" w:line="360" w:lineRule="auto"/>
      <w:ind w:firstLine="567" w:firstLineChars="0"/>
      <w:jc w:val="left"/>
    </w:pPr>
    <w:rPr>
      <w:sz w:val="24"/>
      <w:szCs w:val="20"/>
    </w:rPr>
  </w:style>
  <w:style w:type="paragraph" w:customStyle="1" w:styleId="129">
    <w:name w:val="xl110"/>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bottom"/>
    </w:pPr>
    <w:rPr>
      <w:rFonts w:ascii="Times New Roman" w:hAnsi="Times New Roman"/>
      <w:snapToGrid/>
      <w:sz w:val="20"/>
    </w:rPr>
  </w:style>
  <w:style w:type="paragraph" w:customStyle="1" w:styleId="130">
    <w:name w:val="font7"/>
    <w:basedOn w:val="1"/>
    <w:qFormat/>
    <w:uiPriority w:val="0"/>
    <w:pPr>
      <w:widowControl/>
      <w:adjustRightInd/>
      <w:snapToGrid/>
      <w:spacing w:before="100" w:beforeAutospacing="1" w:after="100" w:afterAutospacing="1" w:line="240" w:lineRule="auto"/>
      <w:ind w:firstLine="0" w:firstLineChars="0"/>
      <w:jc w:val="left"/>
    </w:pPr>
    <w:rPr>
      <w:rFonts w:cs="宋体"/>
      <w:snapToGrid/>
      <w:sz w:val="18"/>
      <w:szCs w:val="18"/>
    </w:rPr>
  </w:style>
  <w:style w:type="paragraph" w:customStyle="1" w:styleId="131">
    <w:name w:val="正文小加菲"/>
    <w:basedOn w:val="1"/>
    <w:link w:val="146"/>
    <w:qFormat/>
    <w:uiPriority w:val="0"/>
    <w:pPr>
      <w:autoSpaceDE w:val="0"/>
      <w:autoSpaceDN w:val="0"/>
      <w:snapToGrid/>
      <w:spacing w:line="560" w:lineRule="exact"/>
      <w:jc w:val="left"/>
    </w:pPr>
    <w:rPr>
      <w:rFonts w:ascii="Times New Roman" w:hAnsi="Times New Roman"/>
      <w:snapToGrid/>
      <w:szCs w:val="32"/>
      <w:lang w:val="zh-CN"/>
    </w:rPr>
  </w:style>
  <w:style w:type="paragraph" w:customStyle="1" w:styleId="132">
    <w:name w:val="表文字"/>
    <w:basedOn w:val="1"/>
    <w:qFormat/>
    <w:uiPriority w:val="0"/>
    <w:pPr>
      <w:overflowPunct w:val="0"/>
      <w:autoSpaceDE w:val="0"/>
      <w:autoSpaceDN w:val="0"/>
      <w:snapToGrid/>
      <w:spacing w:line="240" w:lineRule="atLeast"/>
      <w:ind w:firstLine="0" w:firstLineChars="0"/>
      <w:jc w:val="center"/>
      <w:textAlignment w:val="baseline"/>
    </w:pPr>
    <w:rPr>
      <w:rFonts w:ascii="Times New Roman" w:hAnsi="Times New Roman"/>
      <w:snapToGrid/>
      <w:sz w:val="24"/>
    </w:rPr>
  </w:style>
  <w:style w:type="paragraph" w:customStyle="1" w:styleId="133">
    <w:name w:val="xl104"/>
    <w:basedOn w:val="1"/>
    <w:qFormat/>
    <w:uiPriority w:val="0"/>
    <w:pPr>
      <w:widowControl/>
      <w:pBdr>
        <w:top w:val="single" w:color="auto" w:sz="4" w:space="0"/>
        <w:left w:val="single" w:color="auto" w:sz="4" w:space="0"/>
        <w:bottom w:val="single" w:color="auto" w:sz="4" w:space="0"/>
      </w:pBdr>
      <w:adjustRightInd/>
      <w:snapToGrid/>
      <w:spacing w:before="100" w:beforeAutospacing="1" w:after="100" w:afterAutospacing="1" w:line="240" w:lineRule="auto"/>
      <w:ind w:firstLine="0" w:firstLineChars="0"/>
      <w:jc w:val="center"/>
      <w:textAlignment w:val="bottom"/>
    </w:pPr>
    <w:rPr>
      <w:rFonts w:ascii="Times New Roman" w:hAnsi="Times New Roman"/>
      <w:snapToGrid/>
      <w:sz w:val="20"/>
    </w:rPr>
  </w:style>
  <w:style w:type="paragraph" w:customStyle="1" w:styleId="134">
    <w:name w:val="xl7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Times New Roman" w:hAnsi="Times New Roman"/>
      <w:snapToGrid/>
      <w:sz w:val="20"/>
    </w:rPr>
  </w:style>
  <w:style w:type="paragraph" w:customStyle="1" w:styleId="135">
    <w:name w:val="xl120"/>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adjustRightInd/>
      <w:snapToGrid/>
      <w:spacing w:before="100" w:beforeAutospacing="1" w:after="100" w:afterAutospacing="1" w:line="240" w:lineRule="auto"/>
      <w:ind w:firstLine="0" w:firstLineChars="0"/>
      <w:jc w:val="right"/>
      <w:textAlignment w:val="bottom"/>
    </w:pPr>
    <w:rPr>
      <w:rFonts w:ascii="Times New Roman" w:hAnsi="Times New Roman"/>
      <w:snapToGrid/>
      <w:sz w:val="20"/>
    </w:rPr>
  </w:style>
  <w:style w:type="paragraph" w:customStyle="1" w:styleId="136">
    <w:name w:val="xl113"/>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textAlignment w:val="bottom"/>
    </w:pPr>
    <w:rPr>
      <w:rFonts w:ascii="Times New Roman" w:hAnsi="Times New Roman"/>
      <w:snapToGrid/>
      <w:sz w:val="20"/>
    </w:rPr>
  </w:style>
  <w:style w:type="paragraph" w:customStyle="1" w:styleId="137">
    <w:name w:val="xl117"/>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textAlignment w:val="bottom"/>
    </w:pPr>
    <w:rPr>
      <w:rFonts w:ascii="Times New Roman" w:hAnsi="Times New Roman"/>
      <w:snapToGrid/>
      <w:sz w:val="20"/>
    </w:rPr>
  </w:style>
  <w:style w:type="paragraph" w:customStyle="1" w:styleId="138">
    <w:name w:val="xl78"/>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textAlignment w:val="bottom"/>
    </w:pPr>
    <w:rPr>
      <w:rFonts w:ascii="Times New Roman" w:hAnsi="Times New Roman"/>
      <w:snapToGrid/>
      <w:sz w:val="20"/>
    </w:rPr>
  </w:style>
  <w:style w:type="paragraph" w:customStyle="1" w:styleId="139">
    <w:name w:val="xl92"/>
    <w:basedOn w:val="1"/>
    <w:qFormat/>
    <w:uiPriority w:val="0"/>
    <w:pPr>
      <w:widowControl/>
      <w:pBdr>
        <w:top w:val="single" w:color="auto" w:sz="4" w:space="0"/>
        <w:left w:val="single" w:color="auto" w:sz="4" w:space="0"/>
        <w:bottom w:val="single" w:color="auto" w:sz="4" w:space="0"/>
      </w:pBdr>
      <w:adjustRightInd/>
      <w:snapToGrid/>
      <w:spacing w:before="100" w:beforeAutospacing="1" w:after="100" w:afterAutospacing="1" w:line="240" w:lineRule="auto"/>
      <w:ind w:firstLine="0" w:firstLineChars="0"/>
      <w:jc w:val="center"/>
      <w:textAlignment w:val="bottom"/>
    </w:pPr>
    <w:rPr>
      <w:rFonts w:ascii="Times New Roman" w:hAnsi="Times New Roman"/>
      <w:snapToGrid/>
      <w:sz w:val="20"/>
    </w:rPr>
  </w:style>
  <w:style w:type="paragraph" w:customStyle="1" w:styleId="140">
    <w:name w:val="xl83"/>
    <w:basedOn w:val="1"/>
    <w:qFormat/>
    <w:uiPriority w:val="0"/>
    <w:pPr>
      <w:widowControl/>
      <w:pBdr>
        <w:top w:val="single" w:color="auto" w:sz="4" w:space="0"/>
        <w:left w:val="single" w:color="auto" w:sz="4" w:space="0"/>
        <w:bottom w:val="single" w:color="auto" w:sz="4" w:space="0"/>
      </w:pBdr>
      <w:adjustRightInd/>
      <w:snapToGrid/>
      <w:spacing w:before="100" w:beforeAutospacing="1" w:after="100" w:afterAutospacing="1" w:line="240" w:lineRule="auto"/>
      <w:ind w:firstLine="0" w:firstLineChars="0"/>
      <w:jc w:val="center"/>
      <w:textAlignment w:val="bottom"/>
    </w:pPr>
    <w:rPr>
      <w:rFonts w:ascii="Times New Roman" w:hAnsi="Times New Roman"/>
      <w:snapToGrid/>
      <w:sz w:val="20"/>
    </w:rPr>
  </w:style>
  <w:style w:type="paragraph" w:customStyle="1" w:styleId="141">
    <w:name w:val="xl102"/>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right"/>
      <w:textAlignment w:val="bottom"/>
    </w:pPr>
    <w:rPr>
      <w:rFonts w:ascii="Times New Roman" w:hAnsi="Times New Roman"/>
      <w:snapToGrid/>
      <w:sz w:val="20"/>
    </w:rPr>
  </w:style>
  <w:style w:type="paragraph" w:customStyle="1" w:styleId="142">
    <w:name w:val="正文两端对齐"/>
    <w:basedOn w:val="1"/>
    <w:next w:val="1"/>
    <w:qFormat/>
    <w:uiPriority w:val="0"/>
    <w:pPr>
      <w:ind w:firstLine="0" w:firstLineChars="0"/>
    </w:pPr>
    <w:rPr>
      <w:snapToGrid/>
      <w:kern w:val="2"/>
      <w:sz w:val="24"/>
      <w:szCs w:val="28"/>
    </w:rPr>
  </w:style>
  <w:style w:type="paragraph" w:customStyle="1" w:styleId="143">
    <w:name w:val="xl101"/>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bottom"/>
    </w:pPr>
    <w:rPr>
      <w:rFonts w:ascii="Times New Roman" w:hAnsi="Times New Roman"/>
      <w:snapToGrid/>
      <w:sz w:val="20"/>
    </w:rPr>
  </w:style>
  <w:style w:type="paragraph" w:customStyle="1" w:styleId="144">
    <w:name w:val="xl109"/>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bottom"/>
    </w:pPr>
    <w:rPr>
      <w:rFonts w:ascii="Times New Roman" w:hAnsi="Times New Roman"/>
      <w:snapToGrid/>
      <w:sz w:val="20"/>
    </w:rPr>
  </w:style>
  <w:style w:type="paragraph" w:customStyle="1" w:styleId="145">
    <w:name w:val="font6"/>
    <w:basedOn w:val="1"/>
    <w:qFormat/>
    <w:uiPriority w:val="0"/>
    <w:pPr>
      <w:widowControl/>
      <w:adjustRightInd/>
      <w:snapToGrid/>
      <w:spacing w:before="100" w:beforeAutospacing="1" w:after="100" w:afterAutospacing="1" w:line="240" w:lineRule="auto"/>
      <w:ind w:firstLine="0" w:firstLineChars="0"/>
      <w:jc w:val="left"/>
    </w:pPr>
    <w:rPr>
      <w:rFonts w:cs="宋体"/>
      <w:snapToGrid/>
      <w:sz w:val="18"/>
      <w:szCs w:val="18"/>
    </w:rPr>
  </w:style>
  <w:style w:type="character" w:customStyle="1" w:styleId="146">
    <w:name w:val="正文小加菲 Char Char"/>
    <w:link w:val="131"/>
    <w:qFormat/>
    <w:uiPriority w:val="0"/>
    <w:rPr>
      <w:rFonts w:eastAsia="仿宋_GB2312"/>
      <w:sz w:val="28"/>
      <w:szCs w:val="32"/>
      <w:lang w:val="zh-CN"/>
    </w:rPr>
  </w:style>
  <w:style w:type="character" w:customStyle="1" w:styleId="147">
    <w:name w:val="页眉 Char2"/>
    <w:qFormat/>
    <w:uiPriority w:val="0"/>
    <w:rPr>
      <w:rFonts w:ascii="Times New Roman" w:hAnsi="Times New Roman" w:eastAsia="宋体" w:cs="Times New Roman"/>
      <w:sz w:val="18"/>
      <w:szCs w:val="18"/>
    </w:rPr>
  </w:style>
  <w:style w:type="character" w:customStyle="1" w:styleId="148">
    <w:name w:val="8 Char3"/>
    <w:link w:val="115"/>
    <w:qFormat/>
    <w:uiPriority w:val="0"/>
    <w:rPr>
      <w:kern w:val="10"/>
      <w:sz w:val="24"/>
      <w:szCs w:val="24"/>
    </w:rPr>
  </w:style>
  <w:style w:type="character" w:customStyle="1" w:styleId="149">
    <w:name w:val="页脚 Char2"/>
    <w:qFormat/>
    <w:uiPriority w:val="0"/>
    <w:rPr>
      <w:rFonts w:ascii="Times New Roman" w:hAnsi="Times New Roman" w:eastAsia="宋体" w:cs="Times New Roman"/>
      <w:sz w:val="18"/>
      <w:szCs w:val="18"/>
    </w:rPr>
  </w:style>
  <w:style w:type="character" w:customStyle="1" w:styleId="150">
    <w:name w:val="font11"/>
    <w:qFormat/>
    <w:uiPriority w:val="0"/>
    <w:rPr>
      <w:rFonts w:hint="default" w:ascii="Times New Roman" w:hAnsi="Times New Roman" w:cs="Times New Roman"/>
      <w:color w:val="000000"/>
      <w:sz w:val="22"/>
      <w:szCs w:val="22"/>
      <w:u w:val="none"/>
      <w:vertAlign w:val="superscript"/>
    </w:rPr>
  </w:style>
  <w:style w:type="character" w:customStyle="1" w:styleId="151">
    <w:name w:val="纯文本 字符"/>
    <w:link w:val="17"/>
    <w:qFormat/>
    <w:uiPriority w:val="99"/>
    <w:rPr>
      <w:rFonts w:ascii="宋体" w:hAnsi="Courier New" w:eastAsia="宋体"/>
      <w:kern w:val="2"/>
      <w:sz w:val="28"/>
      <w:lang w:val="en-US" w:eastAsia="zh-CN" w:bidi="ar-SA"/>
    </w:rPr>
  </w:style>
  <w:style w:type="character" w:customStyle="1" w:styleId="152">
    <w:name w:val="正文缩进 字符"/>
    <w:link w:val="7"/>
    <w:qFormat/>
    <w:uiPriority w:val="0"/>
    <w:rPr>
      <w:kern w:val="2"/>
      <w:sz w:val="21"/>
      <w:szCs w:val="24"/>
    </w:rPr>
  </w:style>
  <w:style w:type="character" w:customStyle="1" w:styleId="153">
    <w:name w:val="样式 四号 首行缩进:  0.92 厘米 字距调整八号 行距: 固定值 26 磅 Char"/>
    <w:link w:val="107"/>
    <w:qFormat/>
    <w:uiPriority w:val="0"/>
    <w:rPr>
      <w:rFonts w:eastAsia="仿宋_GB2312" w:cs="宋体"/>
      <w:kern w:val="10"/>
      <w:sz w:val="28"/>
    </w:rPr>
  </w:style>
  <w:style w:type="character" w:customStyle="1" w:styleId="154">
    <w:name w:val="font61"/>
    <w:qFormat/>
    <w:uiPriority w:val="0"/>
    <w:rPr>
      <w:rFonts w:hint="default" w:ascii="Times New Roman" w:hAnsi="Times New Roman" w:cs="Times New Roman"/>
      <w:color w:val="000000"/>
      <w:sz w:val="21"/>
      <w:szCs w:val="21"/>
      <w:u w:val="none"/>
    </w:rPr>
  </w:style>
  <w:style w:type="character" w:customStyle="1" w:styleId="155">
    <w:name w:val="正文文本 字符"/>
    <w:link w:val="11"/>
    <w:semiHidden/>
    <w:qFormat/>
    <w:uiPriority w:val="0"/>
    <w:rPr>
      <w:kern w:val="2"/>
      <w:sz w:val="21"/>
      <w:szCs w:val="24"/>
    </w:rPr>
  </w:style>
  <w:style w:type="character" w:customStyle="1" w:styleId="156">
    <w:name w:val="页眉 字符"/>
    <w:link w:val="22"/>
    <w:qFormat/>
    <w:uiPriority w:val="99"/>
    <w:rPr>
      <w:rFonts w:ascii="宋体" w:hAnsi="宋体"/>
      <w:snapToGrid w:val="0"/>
      <w:sz w:val="28"/>
      <w:szCs w:val="18"/>
    </w:rPr>
  </w:style>
  <w:style w:type="character" w:customStyle="1" w:styleId="157">
    <w:name w:val="正文（布） Char"/>
    <w:link w:val="124"/>
    <w:qFormat/>
    <w:uiPriority w:val="0"/>
    <w:rPr>
      <w:rFonts w:ascii="仿宋_GB2312" w:eastAsia="仿宋_GB2312"/>
      <w:kern w:val="2"/>
      <w:sz w:val="28"/>
      <w:szCs w:val="28"/>
    </w:rPr>
  </w:style>
  <w:style w:type="character" w:customStyle="1" w:styleId="158">
    <w:name w:val="font31"/>
    <w:qFormat/>
    <w:uiPriority w:val="0"/>
    <w:rPr>
      <w:rFonts w:hint="default" w:ascii="Times New Roman" w:hAnsi="Times New Roman" w:cs="Times New Roman"/>
      <w:color w:val="000000"/>
      <w:sz w:val="21"/>
      <w:szCs w:val="21"/>
      <w:u w:val="none"/>
    </w:rPr>
  </w:style>
  <w:style w:type="character" w:customStyle="1" w:styleId="159">
    <w:name w:val="apple-converted-space"/>
    <w:basedOn w:val="36"/>
    <w:qFormat/>
    <w:uiPriority w:val="0"/>
  </w:style>
  <w:style w:type="character" w:customStyle="1" w:styleId="160">
    <w:name w:val="font21"/>
    <w:qFormat/>
    <w:uiPriority w:val="0"/>
    <w:rPr>
      <w:rFonts w:ascii="仿宋_GB2312" w:eastAsia="仿宋_GB2312" w:cs="仿宋_GB2312"/>
      <w:color w:val="000000"/>
      <w:sz w:val="21"/>
      <w:szCs w:val="21"/>
      <w:u w:val="none"/>
    </w:rPr>
  </w:style>
  <w:style w:type="character" w:customStyle="1" w:styleId="161">
    <w:name w:val="列表段落 字符"/>
    <w:link w:val="59"/>
    <w:qFormat/>
    <w:uiPriority w:val="0"/>
    <w:rPr>
      <w:kern w:val="2"/>
      <w:sz w:val="21"/>
      <w:szCs w:val="24"/>
    </w:rPr>
  </w:style>
  <w:style w:type="character" w:customStyle="1" w:styleId="162">
    <w:name w:val="表头（布） Char"/>
    <w:link w:val="109"/>
    <w:qFormat/>
    <w:uiPriority w:val="0"/>
    <w:rPr>
      <w:rFonts w:ascii="仿宋_GB2312" w:eastAsia="黑体"/>
      <w:kern w:val="10"/>
      <w:sz w:val="24"/>
      <w:szCs w:val="28"/>
    </w:rPr>
  </w:style>
  <w:style w:type="character" w:customStyle="1" w:styleId="163">
    <w:name w:val="日期 字符"/>
    <w:link w:val="12"/>
    <w:qFormat/>
    <w:uiPriority w:val="0"/>
    <w:rPr>
      <w:kern w:val="2"/>
      <w:sz w:val="24"/>
      <w:szCs w:val="24"/>
    </w:rPr>
  </w:style>
  <w:style w:type="character" w:customStyle="1" w:styleId="164">
    <w:name w:val="标题1（布） Char"/>
    <w:link w:val="52"/>
    <w:qFormat/>
    <w:uiPriority w:val="0"/>
    <w:rPr>
      <w:rFonts w:ascii="仿宋_GB2312" w:eastAsia="黑体"/>
      <w:bCs/>
      <w:kern w:val="44"/>
      <w:sz w:val="36"/>
      <w:szCs w:val="32"/>
    </w:rPr>
  </w:style>
  <w:style w:type="character" w:customStyle="1" w:styleId="165">
    <w:name w:val="页脚 字符"/>
    <w:link w:val="21"/>
    <w:qFormat/>
    <w:uiPriority w:val="99"/>
    <w:rPr>
      <w:rFonts w:ascii="宋体" w:hAnsi="宋体"/>
      <w:snapToGrid w:val="0"/>
      <w:sz w:val="28"/>
      <w:szCs w:val="18"/>
    </w:rPr>
  </w:style>
  <w:style w:type="character" w:customStyle="1" w:styleId="166">
    <w:name w:val="contents"/>
    <w:basedOn w:val="36"/>
    <w:qFormat/>
    <w:uiPriority w:val="0"/>
  </w:style>
  <w:style w:type="character" w:customStyle="1" w:styleId="167">
    <w:name w:val="纯文本 Char1"/>
    <w:qFormat/>
    <w:uiPriority w:val="0"/>
    <w:rPr>
      <w:rFonts w:ascii="宋体" w:hAnsi="Courier New" w:eastAsia="宋体"/>
      <w:kern w:val="2"/>
      <w:sz w:val="21"/>
      <w:lang w:val="en-US" w:eastAsia="zh-CN" w:bidi="ar-SA"/>
    </w:rPr>
  </w:style>
  <w:style w:type="character" w:customStyle="1" w:styleId="168">
    <w:name w:val="正文缩进 Char2"/>
    <w:qFormat/>
    <w:uiPriority w:val="0"/>
    <w:rPr>
      <w:kern w:val="2"/>
      <w:sz w:val="21"/>
      <w:szCs w:val="24"/>
    </w:rPr>
  </w:style>
  <w:style w:type="character" w:customStyle="1" w:styleId="169">
    <w:name w:val="正文11 Char Char"/>
    <w:link w:val="76"/>
    <w:qFormat/>
    <w:uiPriority w:val="0"/>
    <w:rPr>
      <w:rFonts w:eastAsia="仿宋_GB2312"/>
      <w:kern w:val="2"/>
      <w:sz w:val="28"/>
      <w:szCs w:val="28"/>
    </w:rPr>
  </w:style>
  <w:style w:type="character" w:customStyle="1" w:styleId="170">
    <w:name w:val="tpc_content1"/>
    <w:qFormat/>
    <w:uiPriority w:val="0"/>
    <w:rPr>
      <w:sz w:val="20"/>
      <w:szCs w:val="20"/>
    </w:rPr>
  </w:style>
  <w:style w:type="character" w:customStyle="1" w:styleId="171">
    <w:name w:val="description"/>
    <w:basedOn w:val="36"/>
    <w:qFormat/>
    <w:uiPriority w:val="0"/>
  </w:style>
  <w:style w:type="paragraph" w:customStyle="1" w:styleId="172">
    <w:name w:val="封面时间"/>
    <w:basedOn w:val="1"/>
    <w:qFormat/>
    <w:uiPriority w:val="0"/>
    <w:pPr>
      <w:spacing w:line="360" w:lineRule="auto"/>
      <w:ind w:firstLine="0" w:firstLineChars="0"/>
      <w:jc w:val="center"/>
    </w:pPr>
    <w:rPr>
      <w:rFonts w:eastAsia="黑体"/>
      <w:sz w:val="36"/>
      <w:szCs w:val="36"/>
    </w:rPr>
  </w:style>
  <w:style w:type="paragraph" w:customStyle="1" w:styleId="173">
    <w:name w:val="【东天】一级标题"/>
    <w:basedOn w:val="2"/>
    <w:next w:val="1"/>
    <w:qFormat/>
    <w:uiPriority w:val="0"/>
    <w:pPr>
      <w:spacing w:before="300" w:after="120" w:line="520" w:lineRule="exact"/>
    </w:pPr>
    <w:rPr>
      <w:rFonts w:ascii="Times New Roman" w:hAnsi="Times New Roman"/>
      <w:w w:val="90"/>
      <w:szCs w:val="21"/>
    </w:rPr>
  </w:style>
  <w:style w:type="paragraph" w:customStyle="1" w:styleId="174">
    <w:name w:val="【可研】二级标题"/>
    <w:basedOn w:val="3"/>
    <w:next w:val="175"/>
    <w:qFormat/>
    <w:uiPriority w:val="0"/>
    <w:pPr>
      <w:adjustRightInd/>
      <w:snapToGrid/>
      <w:spacing w:before="120" w:beforeLines="120" w:after="60" w:afterLines="60" w:line="520" w:lineRule="exact"/>
    </w:pPr>
    <w:rPr>
      <w:rFonts w:asciiTheme="majorHAnsi" w:hAnsiTheme="majorHAnsi" w:cstheme="majorBidi"/>
      <w:snapToGrid/>
      <w:color w:val="auto"/>
      <w:kern w:val="2"/>
    </w:rPr>
  </w:style>
  <w:style w:type="paragraph" w:customStyle="1" w:styleId="175">
    <w:name w:val="【可研】正文"/>
    <w:basedOn w:val="1"/>
    <w:qFormat/>
    <w:uiPriority w:val="0"/>
    <w:pPr>
      <w:adjustRightInd/>
      <w:snapToGrid/>
    </w:pPr>
    <w:rPr>
      <w:rFonts w:eastAsia="仿宋_GB2312" w:asciiTheme="minorHAnsi" w:hAnsiTheme="minorHAnsi" w:cstheme="minorBidi"/>
      <w:snapToGrid/>
      <w:kern w:val="2"/>
      <w:szCs w:val="22"/>
    </w:rPr>
  </w:style>
  <w:style w:type="paragraph" w:customStyle="1" w:styleId="176">
    <w:name w:val="【可研】图表"/>
    <w:basedOn w:val="1"/>
    <w:next w:val="175"/>
    <w:qFormat/>
    <w:uiPriority w:val="0"/>
    <w:pPr>
      <w:adjustRightInd/>
      <w:snapToGrid/>
      <w:spacing w:line="520" w:lineRule="exact"/>
      <w:ind w:firstLine="0" w:firstLineChars="0"/>
      <w:jc w:val="center"/>
    </w:pPr>
    <w:rPr>
      <w:rFonts w:eastAsia="黑体" w:asciiTheme="minorHAnsi" w:hAnsiTheme="minorHAnsi" w:cstheme="minorBidi"/>
      <w:snapToGrid/>
      <w:kern w:val="2"/>
      <w:sz w:val="24"/>
      <w:szCs w:val="22"/>
    </w:rPr>
  </w:style>
  <w:style w:type="table" w:customStyle="1" w:styleId="177">
    <w:name w:val="网格型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table" w:customStyle="1" w:styleId="178">
    <w:name w:val="网格型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table" w:customStyle="1" w:styleId="179">
    <w:name w:val="网格型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paragraph" w:customStyle="1" w:styleId="180">
    <w:name w:val="修订1"/>
    <w:hidden/>
    <w:unhideWhenUsed/>
    <w:qFormat/>
    <w:uiPriority w:val="99"/>
    <w:rPr>
      <w:rFonts w:ascii="宋体" w:hAnsi="宋体" w:eastAsia="仿宋" w:cs="Times New Roman"/>
      <w:snapToGrid w:val="0"/>
      <w:sz w:val="30"/>
      <w:lang w:val="en-US" w:eastAsia="zh-CN" w:bidi="ar-SA"/>
    </w:rPr>
  </w:style>
  <w:style w:type="paragraph" w:customStyle="1" w:styleId="181">
    <w:name w:val="报告正文"/>
    <w:basedOn w:val="1"/>
    <w:qFormat/>
    <w:uiPriority w:val="0"/>
    <w:pPr>
      <w:spacing w:line="600" w:lineRule="exact"/>
      <w:ind w:firstLine="200"/>
    </w:pPr>
    <w:rPr>
      <w:rFonts w:ascii="Times New Roman" w:hAnsi="Times New Roman"/>
      <w:color w:val="auto"/>
      <w:kern w:val="2"/>
      <w:sz w:val="30"/>
    </w:rPr>
  </w:style>
  <w:style w:type="paragraph" w:customStyle="1" w:styleId="182">
    <w:name w:val="【新】图表"/>
    <w:basedOn w:val="1"/>
    <w:next w:val="1"/>
    <w:qFormat/>
    <w:uiPriority w:val="0"/>
    <w:pPr>
      <w:ind w:firstLine="0" w:firstLineChars="0"/>
      <w:jc w:val="center"/>
    </w:pPr>
    <w:rPr>
      <w:rFonts w:eastAsia="黑体"/>
      <w:sz w:val="24"/>
      <w:szCs w:val="22"/>
      <w14:ligatures w14:val="none"/>
    </w:rPr>
  </w:style>
  <w:style w:type="paragraph" w:customStyle="1" w:styleId="183">
    <w:name w:val="标题3"/>
    <w:basedOn w:val="4"/>
    <w:next w:val="1"/>
    <w:qFormat/>
    <w:uiPriority w:val="0"/>
    <w:pPr>
      <w:adjustRightInd w:val="0"/>
      <w:snapToGrid w:val="0"/>
      <w:spacing w:before="0" w:after="0" w:line="720" w:lineRule="exact"/>
      <w:ind w:firstLine="0" w:firstLineChars="0"/>
      <w:jc w:val="left"/>
    </w:pPr>
    <w:rPr>
      <w:rFonts w:ascii="Times New Roman" w:hAnsi="Times New Roman" w:eastAsia="黑体" w:cs="Times New Roman"/>
      <w:color w:val="auto"/>
      <w:kern w:val="0"/>
      <w:sz w:val="30"/>
      <w14:ligatures w14:val="none"/>
    </w:rPr>
  </w:style>
  <w:style w:type="paragraph" w:customStyle="1" w:styleId="184">
    <w:name w:val="标题2"/>
    <w:basedOn w:val="3"/>
    <w:next w:val="1"/>
    <w:qFormat/>
    <w:uiPriority w:val="0"/>
    <w:pPr>
      <w:adjustRightInd w:val="0"/>
      <w:snapToGrid w:val="0"/>
      <w:spacing w:before="0" w:after="0" w:line="720" w:lineRule="exact"/>
      <w:ind w:firstLine="0" w:firstLineChars="0"/>
    </w:pPr>
    <w:rPr>
      <w:rFonts w:ascii="Times New Roman" w:hAnsi="Times New Roman" w:eastAsia="黑体" w:cs="Times New Roman"/>
      <w:snapToGrid w:val="0"/>
      <w:color w:val="000000"/>
      <w:kern w:val="0"/>
      <w:sz w:val="32"/>
      <w:szCs w:val="32"/>
      <w14:ligatures w14: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52</Pages>
  <Words>10860</Words>
  <Characters>11719</Characters>
  <Lines>354</Lines>
  <Paragraphs>99</Paragraphs>
  <TotalTime>21</TotalTime>
  <ScaleCrop>false</ScaleCrop>
  <LinksUpToDate>false</LinksUpToDate>
  <CharactersWithSpaces>11815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2023-09-21T03:46:00Z</dcterms:created>
  <dc:creator>xxj</dc:creator>
  <cp:lastModifiedBy>木头</cp:lastModifiedBy>
  <cp:lastPrinted>2024-11-26T07:22:00Z</cp:lastPrinted>
  <dcterms:modified xsi:type="dcterms:W3CDTF">2024-11-27T09:38:06Z</dcterms:modified>
  <dc:title>yy</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0834B352861348AC883FA7C16A487ABF_13</vt:lpwstr>
  </property>
</Properties>
</file>