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default" w:ascii="Times New Roman" w:hAnsi="Times New Roman" w:eastAsia="方正小标宋简体" w:cs="Times New Roman"/>
          <w:sz w:val="44"/>
          <w:szCs w:val="44"/>
        </w:rPr>
      </w:pPr>
    </w:p>
    <w:p>
      <w:pPr>
        <w:pStyle w:val="8"/>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桃江县20</w:t>
      </w:r>
      <w:r>
        <w:rPr>
          <w:rFonts w:hint="default" w:ascii="Times New Roman" w:hAnsi="Times New Roman" w:eastAsia="方正小标宋简体" w:cs="Times New Roman"/>
          <w:sz w:val="44"/>
          <w:szCs w:val="44"/>
          <w:lang w:val="en-US" w:eastAsia="zh-CN"/>
        </w:rPr>
        <w:t>23</w:t>
      </w:r>
      <w:r>
        <w:rPr>
          <w:rFonts w:hint="default" w:ascii="Times New Roman" w:hAnsi="Times New Roman" w:eastAsia="方正小标宋简体" w:cs="Times New Roman"/>
          <w:sz w:val="44"/>
          <w:szCs w:val="44"/>
        </w:rPr>
        <w:t>年</w:t>
      </w:r>
      <w:r>
        <w:rPr>
          <w:rFonts w:hint="default" w:ascii="Times New Roman" w:hAnsi="Times New Roman" w:eastAsia="方正小标宋简体" w:cs="Times New Roman"/>
          <w:sz w:val="44"/>
          <w:szCs w:val="44"/>
          <w:lang w:eastAsia="zh-CN"/>
        </w:rPr>
        <w:t>度</w:t>
      </w:r>
      <w:r>
        <w:rPr>
          <w:rFonts w:hint="default" w:ascii="Times New Roman" w:hAnsi="Times New Roman" w:eastAsia="方正小标宋简体" w:cs="Times New Roman"/>
          <w:sz w:val="44"/>
          <w:szCs w:val="44"/>
        </w:rPr>
        <w:t>基本公共卫生服务项目</w:t>
      </w: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sz w:val="44"/>
          <w:szCs w:val="44"/>
          <w:lang w:eastAsia="zh-CN"/>
        </w:rPr>
        <w:t>绩效自评报告</w:t>
      </w:r>
    </w:p>
    <w:p>
      <w:pPr>
        <w:keepNext w:val="0"/>
        <w:keepLines w:val="0"/>
        <w:pageBreakBefore w:val="0"/>
        <w:widowControl w:val="0"/>
        <w:kinsoku/>
        <w:wordWrap/>
        <w:overflowPunct/>
        <w:topLinePunct w:val="0"/>
        <w:bidi w:val="0"/>
        <w:spacing w:line="590" w:lineRule="exact"/>
        <w:ind w:firstLine="640" w:firstLineChars="200"/>
        <w:jc w:val="both"/>
        <w:textAlignment w:val="auto"/>
        <w:rPr>
          <w:rFonts w:hint="default" w:ascii="Times New Roman" w:hAnsi="Times New Roman" w:eastAsia="仿宋_GB2312" w:cs="Times New Roman"/>
          <w:color w:val="auto"/>
          <w:sz w:val="32"/>
          <w:szCs w:val="32"/>
        </w:rPr>
      </w:pPr>
    </w:p>
    <w:p>
      <w:pPr>
        <w:spacing w:line="560" w:lineRule="exact"/>
        <w:ind w:firstLine="627" w:firstLineChars="196"/>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w:t>
      </w:r>
      <w:r>
        <w:rPr>
          <w:rFonts w:hint="default" w:ascii="Times New Roman" w:hAnsi="Times New Roman" w:eastAsia="黑体" w:cs="Times New Roman"/>
          <w:sz w:val="32"/>
          <w:szCs w:val="32"/>
          <w:lang w:eastAsia="zh-CN"/>
        </w:rPr>
        <w:t>绩效目标分解下达情况</w:t>
      </w:r>
    </w:p>
    <w:p>
      <w:pPr>
        <w:spacing w:line="560" w:lineRule="exact"/>
        <w:ind w:firstLine="627" w:firstLineChars="196"/>
        <w:rPr>
          <w:rFonts w:hint="eastAsia"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rPr>
        <w:t>（一）项目概况</w:t>
      </w:r>
      <w:r>
        <w:rPr>
          <w:rFonts w:hint="eastAsia" w:ascii="Times New Roman" w:hAnsi="Times New Roman" w:eastAsia="楷体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 基本公共卫生服务项目是由国家出资购买，基层医疗卫生机构具体实施，以儿童、孕产妇、老年人、慢性疾病患者等为重点人群，面向全体居民免费提供的基本公共卫生服务。项目从2009年开始实施，人均经费从2009年的15元逐年提高到2023年的89元（原基本公共卫生服务内容的人均经费补助标准为80元，重大公共卫生服务内容人均经费补助标准为9元）。</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 目前，原基本公共卫生服务项目内容共有12大类，分别为居民健康档案管理、健康教育、预防接种、0-6岁儿童健康管理、孕产妇健康管理、老年人健康管理、高血压和2型糖尿病等慢性病患者健康管理、严重精神障碍患者健康管理、肺结核患者健康管理、中医药健康管理、传染病及突发公共卫生事件报告和处理、卫生计生监督协管。</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 项目由县级卫生健康行政部门组织，各乡镇（中心）卫生院、村卫生室为项目实施的具体单位。</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（二）项目绩效目标</w:t>
      </w:r>
      <w:r>
        <w:rPr>
          <w:rFonts w:hint="eastAsia" w:ascii="Times New Roman" w:hAnsi="Times New Roman" w:eastAsia="楷体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 项目绩效总目标。2023年，持续贯彻“措施要扎实、工作要落实、数据要真实、结果可核实”的要求继续实施12大类项目，完成2023年工作任务指标。居民规范化电子健康档案覆盖率保持在62%以上，适龄儿童国家免疫规划疫苗接种率保持在90%以上，0-6岁儿童健康管理率、眼保健和视力筛查率均达到90%以上，孕产妇系统管理率达到90%以上，65岁及以上老年人城乡社区规范健康管理服务率达到62%以上，高血压和糖尿病患者完成省定任务数，规范管理率达到62%以上，社区在册居家严重精神障碍患者健康管理率达到80%以上，肺结核患者管理率达到90%以上，老年人、儿童中医药健康管理率分别达到70%和77%以上，传染病及突发公共卫生事件报告率分别达到95%以上。</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 项目绩效阶段性目标。2023年3月、7月、10月、12月分别完成一季度、半年度、三季度和年度项目工作考核。6月底前，将不少于50%的资金拨付至基层医疗卫生机构；12月底前将所有补助资金全部拨付到提供服务的基层医疗卫生机构。</w:t>
      </w:r>
    </w:p>
    <w:p>
      <w:pPr>
        <w:spacing w:line="580" w:lineRule="exact"/>
        <w:ind w:firstLine="630"/>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rPr>
        <w:t>二、</w:t>
      </w:r>
      <w:r>
        <w:rPr>
          <w:rFonts w:hint="default" w:ascii="Times New Roman" w:hAnsi="Times New Roman" w:eastAsia="黑体" w:cs="Times New Roman"/>
          <w:sz w:val="32"/>
          <w:szCs w:val="32"/>
          <w:lang w:eastAsia="zh-CN"/>
        </w:rPr>
        <w:t>绩效情况分析</w:t>
      </w:r>
    </w:p>
    <w:p>
      <w:pPr>
        <w:spacing w:line="580" w:lineRule="exact"/>
        <w:ind w:firstLine="630"/>
        <w:rPr>
          <w:rFonts w:hint="default" w:ascii="Times New Roman" w:hAnsi="Times New Roman" w:eastAsia="楷体" w:cs="Times New Roman"/>
          <w:sz w:val="32"/>
          <w:szCs w:val="32"/>
          <w:lang w:eastAsia="zh-CN"/>
        </w:rPr>
      </w:pPr>
      <w:r>
        <w:rPr>
          <w:rFonts w:hint="default" w:ascii="Times New Roman" w:hAnsi="Times New Roman" w:eastAsia="楷体" w:cs="Times New Roman"/>
          <w:sz w:val="32"/>
          <w:szCs w:val="32"/>
        </w:rPr>
        <w:t>（一）</w:t>
      </w:r>
      <w:r>
        <w:rPr>
          <w:rFonts w:hint="default" w:ascii="Times New Roman" w:hAnsi="Times New Roman" w:eastAsia="楷体" w:cs="Times New Roman"/>
          <w:sz w:val="32"/>
          <w:szCs w:val="32"/>
          <w:lang w:eastAsia="zh-CN"/>
        </w:rPr>
        <w:t>资金投入情况</w:t>
      </w:r>
      <w:r>
        <w:rPr>
          <w:rFonts w:hint="eastAsia" w:ascii="Times New Roman" w:hAnsi="Times New Roman" w:eastAsia="楷体"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按照国家2023年基本公共卫生服务项目补助标准，我县常住人口68.12万，国家和省级财政拨付到我县的基本公共卫生服务项目经费，加上县级财政配套的项目资金共计5449.6万元（不包含9元重大公卫经费），达到人均80元的标准，已全部到位。</w:t>
      </w:r>
    </w:p>
    <w:p>
      <w:pPr>
        <w:spacing w:line="580" w:lineRule="exact"/>
        <w:ind w:firstLine="630"/>
        <w:rPr>
          <w:rFonts w:hint="default" w:ascii="Times New Roman" w:hAnsi="Times New Roman" w:eastAsia="楷体" w:cs="Times New Roman"/>
          <w:sz w:val="32"/>
          <w:szCs w:val="32"/>
          <w:lang w:eastAsia="zh-CN"/>
        </w:rPr>
      </w:pP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eastAsia="zh-CN"/>
        </w:rPr>
        <w:t>二</w:t>
      </w: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eastAsia="zh-CN"/>
        </w:rPr>
        <w:t>资金管理情况</w:t>
      </w:r>
      <w:r>
        <w:rPr>
          <w:rFonts w:hint="eastAsia" w:ascii="Times New Roman" w:hAnsi="Times New Roman" w:eastAsia="楷体"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我县基本公共卫生服务经费严格按项目资金管理办法实行专款专用。其中40%的资金按照乡村两级任务分工，签订项目购买协议书，根据考核结果拨付补助经费。县卫健局、县财政局联合印发了《2023年基本公共卫生服务项目绩点制管理及资金分配方案》，全县所有乡镇卫生院、村卫生室持续实行基本公共卫生服务项目绩点制管理。</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auto"/>
          <w:sz w:val="32"/>
          <w:szCs w:val="32"/>
        </w:rPr>
        <w:t>全县可分配资金为5</w:t>
      </w:r>
      <w:r>
        <w:rPr>
          <w:rFonts w:hint="default" w:ascii="Times New Roman" w:hAnsi="Times New Roman" w:eastAsia="仿宋_GB2312" w:cs="Times New Roman"/>
          <w:color w:val="auto"/>
          <w:sz w:val="32"/>
          <w:szCs w:val="32"/>
          <w:lang w:val="en-US" w:eastAsia="zh-CN"/>
        </w:rPr>
        <w:t>449.6</w:t>
      </w:r>
      <w:r>
        <w:rPr>
          <w:rFonts w:hint="default" w:ascii="Times New Roman" w:hAnsi="Times New Roman" w:eastAsia="仿宋_GB2312" w:cs="Times New Roman"/>
          <w:color w:val="auto"/>
          <w:sz w:val="32"/>
          <w:szCs w:val="32"/>
        </w:rPr>
        <w:t>万元，其中</w:t>
      </w:r>
      <w:r>
        <w:rPr>
          <w:rFonts w:hint="default" w:ascii="Times New Roman" w:hAnsi="Times New Roman" w:eastAsia="仿宋_GB2312" w:cs="Times New Roman"/>
          <w:color w:val="auto"/>
          <w:sz w:val="32"/>
          <w:szCs w:val="32"/>
          <w:lang w:eastAsia="zh-CN"/>
        </w:rPr>
        <w:t>乡镇（中心）卫生院</w:t>
      </w:r>
      <w:r>
        <w:rPr>
          <w:rFonts w:hint="default" w:ascii="Times New Roman" w:hAnsi="Times New Roman" w:eastAsia="仿宋_GB2312" w:cs="Times New Roman"/>
          <w:color w:val="auto"/>
          <w:sz w:val="32"/>
          <w:szCs w:val="32"/>
        </w:rPr>
        <w:t>60%为3</w:t>
      </w:r>
      <w:r>
        <w:rPr>
          <w:rFonts w:hint="default" w:ascii="Times New Roman" w:hAnsi="Times New Roman" w:eastAsia="仿宋_GB2312" w:cs="Times New Roman"/>
          <w:color w:val="auto"/>
          <w:sz w:val="32"/>
          <w:szCs w:val="32"/>
          <w:lang w:val="en-US" w:eastAsia="zh-CN"/>
        </w:rPr>
        <w:t>269.</w:t>
      </w:r>
      <w:r>
        <w:rPr>
          <w:rFonts w:hint="default" w:ascii="Times New Roman" w:hAnsi="Times New Roman" w:eastAsia="仿宋_GB2312" w:cs="Times New Roman"/>
          <w:sz w:val="32"/>
          <w:szCs w:val="32"/>
          <w:lang w:val="en-US" w:eastAsia="zh-CN"/>
        </w:rPr>
        <w:t>76</w:t>
      </w:r>
      <w:r>
        <w:rPr>
          <w:rFonts w:hint="default" w:ascii="Times New Roman" w:hAnsi="Times New Roman" w:eastAsia="仿宋_GB2312" w:cs="Times New Roman"/>
          <w:color w:val="auto"/>
          <w:sz w:val="32"/>
          <w:szCs w:val="32"/>
        </w:rPr>
        <w:t>万元，村卫生室40%为2</w:t>
      </w:r>
      <w:r>
        <w:rPr>
          <w:rFonts w:hint="default" w:ascii="Times New Roman" w:hAnsi="Times New Roman" w:eastAsia="仿宋_GB2312" w:cs="Times New Roman"/>
          <w:color w:val="auto"/>
          <w:sz w:val="32"/>
          <w:szCs w:val="32"/>
          <w:lang w:val="en-US" w:eastAsia="zh-CN"/>
        </w:rPr>
        <w:t>179.84</w:t>
      </w:r>
      <w:r>
        <w:rPr>
          <w:rFonts w:hint="default" w:ascii="Times New Roman" w:hAnsi="Times New Roman" w:eastAsia="仿宋_GB2312" w:cs="Times New Roman"/>
          <w:color w:val="auto"/>
          <w:sz w:val="32"/>
          <w:szCs w:val="32"/>
        </w:rPr>
        <w:t>万元。</w:t>
      </w:r>
      <w:r>
        <w:rPr>
          <w:rFonts w:hint="default" w:ascii="Times New Roman" w:hAnsi="Times New Roman" w:eastAsia="仿宋_GB2312" w:cs="Times New Roman"/>
          <w:color w:val="auto"/>
          <w:sz w:val="32"/>
          <w:szCs w:val="32"/>
          <w:lang w:val="en-US" w:eastAsia="zh-CN"/>
        </w:rPr>
        <w:t>县财政局分4次每季度分别下拨资金1371.2万元、1714万元、1362.4万元、1002万元，</w:t>
      </w:r>
      <w:r>
        <w:rPr>
          <w:rFonts w:hint="default" w:ascii="Times New Roman" w:hAnsi="Times New Roman" w:eastAsia="仿宋_GB2312" w:cs="Times New Roman"/>
          <w:sz w:val="32"/>
          <w:szCs w:val="32"/>
          <w:lang w:val="en-US" w:eastAsia="zh-CN"/>
        </w:rPr>
        <w:t>资金</w:t>
      </w:r>
      <w:r>
        <w:rPr>
          <w:rFonts w:hint="default" w:ascii="Times New Roman" w:hAnsi="Times New Roman" w:eastAsia="仿宋_GB2312" w:cs="Times New Roman"/>
          <w:color w:val="auto"/>
          <w:sz w:val="32"/>
          <w:szCs w:val="32"/>
          <w:lang w:val="en-US" w:eastAsia="zh-CN"/>
        </w:rPr>
        <w:t>下拨到位率100%。</w:t>
      </w:r>
      <w:r>
        <w:rPr>
          <w:rFonts w:hint="default" w:ascii="Times New Roman" w:hAnsi="Times New Roman" w:eastAsia="仿宋_GB2312" w:cs="Times New Roman"/>
          <w:sz w:val="32"/>
          <w:szCs w:val="32"/>
          <w:lang w:val="en-US" w:eastAsia="zh-CN"/>
        </w:rPr>
        <w:t>2023年全县村卫生室项目经费补助达到了人均32元的标准。</w:t>
      </w:r>
    </w:p>
    <w:p>
      <w:pPr>
        <w:spacing w:line="580" w:lineRule="exact"/>
        <w:ind w:firstLine="630"/>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总体绩效目标完成情况。</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2023年度我县已全面完成国家基本公共卫生服务项目绩效目标任务。</w:t>
      </w:r>
      <w:r>
        <w:rPr>
          <w:rFonts w:hint="eastAsia" w:ascii="Times New Roman" w:hAnsi="Times New Roman" w:eastAsia="仿宋_GB2312" w:cs="Times New Roman"/>
          <w:sz w:val="32"/>
          <w:szCs w:val="32"/>
          <w:lang w:val="en-US" w:eastAsia="zh-CN"/>
        </w:rPr>
        <w:t>居民规范化电子健康档案覆盖率99.48%；</w:t>
      </w:r>
      <w:r>
        <w:rPr>
          <w:rFonts w:hint="default" w:ascii="Times New Roman" w:hAnsi="Times New Roman" w:eastAsia="仿宋_GB2312" w:cs="Times New Roman"/>
          <w:sz w:val="32"/>
          <w:szCs w:val="32"/>
          <w:lang w:val="en-US" w:eastAsia="zh-CN"/>
        </w:rPr>
        <w:t>适龄儿童国家免疫规划疫苗</w:t>
      </w:r>
      <w:r>
        <w:rPr>
          <w:rFonts w:hint="default" w:ascii="Times New Roman" w:hAnsi="Times New Roman" w:eastAsia="仿宋" w:cs="Times New Roman"/>
          <w:sz w:val="32"/>
          <w:szCs w:val="32"/>
        </w:rPr>
        <w:t>接种率9</w:t>
      </w:r>
      <w:r>
        <w:rPr>
          <w:rFonts w:hint="default" w:ascii="Times New Roman" w:hAnsi="Times New Roman" w:eastAsia="仿宋" w:cs="Times New Roman"/>
          <w:sz w:val="32"/>
          <w:szCs w:val="32"/>
          <w:lang w:val="en-US" w:eastAsia="zh-CN"/>
        </w:rPr>
        <w:t>5</w:t>
      </w:r>
      <w:r>
        <w:rPr>
          <w:rFonts w:hint="default" w:ascii="Times New Roman" w:hAnsi="Times New Roman" w:eastAsia="仿宋" w:cs="Times New Roman"/>
          <w:sz w:val="32"/>
          <w:szCs w:val="32"/>
        </w:rPr>
        <w:t>%</w:t>
      </w:r>
      <w:r>
        <w:rPr>
          <w:rFonts w:hint="default"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auto"/>
          <w:sz w:val="32"/>
          <w:szCs w:val="32"/>
          <w:lang w:val="en-US" w:eastAsia="zh-CN"/>
        </w:rPr>
        <w:t>7</w:t>
      </w:r>
      <w:r>
        <w:rPr>
          <w:rFonts w:hint="default" w:ascii="Times New Roman" w:hAnsi="Times New Roman" w:eastAsia="仿宋_GB2312" w:cs="Times New Roman"/>
          <w:color w:val="auto"/>
          <w:sz w:val="32"/>
          <w:szCs w:val="32"/>
        </w:rPr>
        <w:t>岁</w:t>
      </w:r>
      <w:r>
        <w:rPr>
          <w:rFonts w:hint="default" w:ascii="Times New Roman" w:hAnsi="Times New Roman" w:eastAsia="仿宋_GB2312" w:cs="Times New Roman"/>
          <w:color w:val="auto"/>
          <w:sz w:val="32"/>
          <w:szCs w:val="32"/>
          <w:lang w:eastAsia="zh-CN"/>
        </w:rPr>
        <w:t>以下</w:t>
      </w:r>
      <w:r>
        <w:rPr>
          <w:rFonts w:hint="default" w:ascii="Times New Roman" w:hAnsi="Times New Roman" w:eastAsia="仿宋_GB2312" w:cs="Times New Roman"/>
          <w:kern w:val="0"/>
          <w:sz w:val="32"/>
          <w:szCs w:val="32"/>
        </w:rPr>
        <w:t>儿童</w:t>
      </w:r>
      <w:r>
        <w:rPr>
          <w:rFonts w:hint="default" w:ascii="Times New Roman" w:hAnsi="Times New Roman" w:eastAsia="仿宋_GB2312" w:cs="Times New Roman"/>
          <w:kern w:val="0"/>
          <w:sz w:val="32"/>
          <w:szCs w:val="32"/>
          <w:lang w:eastAsia="zh-CN"/>
        </w:rPr>
        <w:t>健康</w:t>
      </w:r>
      <w:r>
        <w:rPr>
          <w:rFonts w:hint="default" w:ascii="Times New Roman" w:hAnsi="Times New Roman" w:eastAsia="仿宋_GB2312" w:cs="Times New Roman"/>
          <w:kern w:val="0"/>
          <w:sz w:val="32"/>
          <w:szCs w:val="32"/>
        </w:rPr>
        <w:t>管理率</w:t>
      </w:r>
      <w:r>
        <w:rPr>
          <w:rFonts w:hint="default" w:ascii="Times New Roman" w:hAnsi="Times New Roman" w:eastAsia="仿宋_GB2312" w:cs="Times New Roman"/>
          <w:color w:val="auto"/>
          <w:sz w:val="32"/>
          <w:szCs w:val="32"/>
        </w:rPr>
        <w:t>9</w:t>
      </w:r>
      <w:r>
        <w:rPr>
          <w:rFonts w:hint="eastAsia" w:ascii="Times New Roman" w:hAnsi="Times New Roman" w:eastAsia="仿宋_GB2312" w:cs="Times New Roman"/>
          <w:color w:val="auto"/>
          <w:sz w:val="32"/>
          <w:szCs w:val="32"/>
          <w:lang w:val="en-US" w:eastAsia="zh-CN"/>
        </w:rPr>
        <w:t>7.41</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bCs/>
          <w:color w:val="000000"/>
          <w:kern w:val="0"/>
          <w:sz w:val="32"/>
          <w:szCs w:val="32"/>
          <w:lang w:eastAsia="zh-CN"/>
        </w:rPr>
        <w:t>，</w:t>
      </w:r>
      <w:r>
        <w:rPr>
          <w:rFonts w:hint="default" w:ascii="Times New Roman" w:hAnsi="Times New Roman" w:eastAsia="仿宋_GB2312" w:cs="Times New Roman"/>
          <w:bCs/>
          <w:color w:val="000000"/>
          <w:kern w:val="0"/>
          <w:sz w:val="32"/>
          <w:szCs w:val="32"/>
          <w:lang w:val="en-US" w:eastAsia="zh-CN"/>
        </w:rPr>
        <w:t>0-6岁儿童</w:t>
      </w:r>
      <w:r>
        <w:rPr>
          <w:rFonts w:hint="default" w:ascii="Times New Roman" w:hAnsi="Times New Roman" w:eastAsia="仿宋_GB2312" w:cs="Times New Roman"/>
          <w:color w:val="000000"/>
          <w:kern w:val="0"/>
          <w:sz w:val="32"/>
          <w:szCs w:val="32"/>
        </w:rPr>
        <w:t>眼保健和视力筛查覆盖率</w:t>
      </w:r>
      <w:r>
        <w:rPr>
          <w:rFonts w:hint="default" w:ascii="Times New Roman" w:hAnsi="Times New Roman" w:eastAsia="仿宋_GB2312" w:cs="Times New Roman"/>
          <w:color w:val="auto"/>
          <w:kern w:val="0"/>
          <w:sz w:val="32"/>
          <w:szCs w:val="32"/>
        </w:rPr>
        <w:t>9</w:t>
      </w:r>
      <w:r>
        <w:rPr>
          <w:rFonts w:hint="eastAsia" w:ascii="Times New Roman" w:hAnsi="Times New Roman" w:eastAsia="仿宋_GB2312" w:cs="Times New Roman"/>
          <w:color w:val="auto"/>
          <w:kern w:val="0"/>
          <w:sz w:val="32"/>
          <w:szCs w:val="32"/>
          <w:lang w:val="en-US" w:eastAsia="zh-CN"/>
        </w:rPr>
        <w:t>7.41</w:t>
      </w:r>
      <w:r>
        <w:rPr>
          <w:rFonts w:hint="default" w:ascii="Times New Roman" w:hAnsi="Times New Roman" w:eastAsia="仿宋_GB2312" w:cs="Times New Roman"/>
          <w:color w:val="auto"/>
          <w:kern w:val="0"/>
          <w:sz w:val="32"/>
          <w:szCs w:val="32"/>
        </w:rPr>
        <w:t>%</w:t>
      </w:r>
      <w:r>
        <w:rPr>
          <w:rFonts w:hint="default"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auto"/>
          <w:sz w:val="32"/>
          <w:szCs w:val="32"/>
        </w:rPr>
        <w:t>孕产妇</w:t>
      </w:r>
      <w:r>
        <w:rPr>
          <w:rFonts w:hint="default" w:ascii="Times New Roman" w:hAnsi="Times New Roman" w:eastAsia="仿宋_GB2312" w:cs="Times New Roman"/>
          <w:color w:val="auto"/>
          <w:sz w:val="32"/>
          <w:szCs w:val="32"/>
          <w:lang w:eastAsia="zh-CN"/>
        </w:rPr>
        <w:t>系统</w:t>
      </w:r>
      <w:r>
        <w:rPr>
          <w:rFonts w:hint="default" w:ascii="Times New Roman" w:hAnsi="Times New Roman" w:eastAsia="仿宋_GB2312" w:cs="Times New Roman"/>
          <w:color w:val="auto"/>
          <w:sz w:val="32"/>
          <w:szCs w:val="32"/>
        </w:rPr>
        <w:t>管理率</w:t>
      </w:r>
      <w:r>
        <w:rPr>
          <w:rFonts w:hint="default" w:ascii="Times New Roman" w:hAnsi="Times New Roman" w:eastAsia="仿宋_GB2312" w:cs="Times New Roman"/>
          <w:color w:val="auto"/>
          <w:sz w:val="32"/>
          <w:szCs w:val="32"/>
          <w:lang w:val="en-US" w:eastAsia="zh-CN"/>
        </w:rPr>
        <w:t>99.9</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000000"/>
          <w:sz w:val="32"/>
          <w:szCs w:val="32"/>
          <w:lang w:val="en-US" w:eastAsia="zh-CN"/>
        </w:rPr>
        <w:t>；3岁以下儿童系统管理率97.3%；65岁及以上</w:t>
      </w:r>
      <w:r>
        <w:rPr>
          <w:rFonts w:hint="default" w:ascii="Times New Roman" w:hAnsi="Times New Roman" w:eastAsia="仿宋_GB2312" w:cs="Times New Roman"/>
          <w:color w:val="000000"/>
          <w:kern w:val="0"/>
          <w:sz w:val="32"/>
          <w:szCs w:val="32"/>
        </w:rPr>
        <w:t>老年人</w:t>
      </w:r>
      <w:r>
        <w:rPr>
          <w:rFonts w:hint="default" w:ascii="Times New Roman" w:hAnsi="Times New Roman" w:eastAsia="仿宋_GB2312" w:cs="Times New Roman"/>
          <w:color w:val="000000"/>
          <w:kern w:val="0"/>
          <w:sz w:val="32"/>
          <w:szCs w:val="32"/>
          <w:lang w:eastAsia="zh-CN"/>
        </w:rPr>
        <w:t>城乡社区规范健康</w:t>
      </w:r>
      <w:r>
        <w:rPr>
          <w:rFonts w:hint="default" w:ascii="Times New Roman" w:hAnsi="Times New Roman" w:eastAsia="仿宋_GB2312" w:cs="Times New Roman"/>
          <w:color w:val="000000"/>
          <w:kern w:val="0"/>
          <w:sz w:val="32"/>
          <w:szCs w:val="32"/>
        </w:rPr>
        <w:t>管理</w:t>
      </w:r>
      <w:r>
        <w:rPr>
          <w:rFonts w:hint="default" w:ascii="Times New Roman" w:hAnsi="Times New Roman" w:eastAsia="仿宋_GB2312" w:cs="Times New Roman"/>
          <w:color w:val="000000"/>
          <w:kern w:val="0"/>
          <w:sz w:val="32"/>
          <w:szCs w:val="32"/>
          <w:lang w:eastAsia="zh-CN"/>
        </w:rPr>
        <w:t>服务</w:t>
      </w:r>
      <w:r>
        <w:rPr>
          <w:rFonts w:hint="default" w:ascii="Times New Roman" w:hAnsi="Times New Roman" w:eastAsia="仿宋_GB2312" w:cs="Times New Roman"/>
          <w:color w:val="000000"/>
          <w:kern w:val="0"/>
          <w:sz w:val="32"/>
          <w:szCs w:val="32"/>
        </w:rPr>
        <w:t>率</w:t>
      </w:r>
      <w:r>
        <w:rPr>
          <w:rFonts w:hint="default" w:ascii="Times New Roman" w:hAnsi="Times New Roman" w:eastAsia="仿宋_GB2312" w:cs="Times New Roman"/>
          <w:color w:val="000000"/>
          <w:kern w:val="0"/>
          <w:sz w:val="32"/>
          <w:szCs w:val="32"/>
          <w:lang w:val="en-US" w:eastAsia="zh-CN"/>
        </w:rPr>
        <w:t>63.45</w:t>
      </w:r>
      <w:r>
        <w:rPr>
          <w:rFonts w:hint="default" w:ascii="Times New Roman" w:hAnsi="Times New Roman" w:eastAsia="仿宋_GB2312" w:cs="Times New Roman"/>
          <w:color w:val="000000"/>
          <w:kern w:val="0"/>
          <w:sz w:val="32"/>
          <w:szCs w:val="32"/>
        </w:rPr>
        <w:t>%</w:t>
      </w:r>
      <w:r>
        <w:rPr>
          <w:rFonts w:hint="default"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rPr>
        <w:t>高血压</w:t>
      </w:r>
      <w:r>
        <w:rPr>
          <w:rFonts w:hint="default" w:ascii="Times New Roman" w:hAnsi="Times New Roman" w:eastAsia="仿宋_GB2312" w:cs="Times New Roman"/>
          <w:color w:val="000000"/>
          <w:kern w:val="0"/>
          <w:sz w:val="32"/>
          <w:szCs w:val="32"/>
          <w:lang w:eastAsia="zh-CN"/>
        </w:rPr>
        <w:t>患者基层</w:t>
      </w:r>
      <w:r>
        <w:rPr>
          <w:rFonts w:hint="default" w:ascii="Times New Roman" w:hAnsi="Times New Roman" w:eastAsia="仿宋_GB2312" w:cs="Times New Roman"/>
          <w:color w:val="000000"/>
          <w:kern w:val="0"/>
          <w:sz w:val="32"/>
          <w:szCs w:val="32"/>
        </w:rPr>
        <w:t>规范管理</w:t>
      </w:r>
      <w:r>
        <w:rPr>
          <w:rFonts w:hint="default" w:ascii="Times New Roman" w:hAnsi="Times New Roman" w:eastAsia="仿宋_GB2312" w:cs="Times New Roman"/>
          <w:color w:val="000000"/>
          <w:kern w:val="0"/>
          <w:sz w:val="32"/>
          <w:szCs w:val="32"/>
          <w:lang w:eastAsia="zh-CN"/>
        </w:rPr>
        <w:t>服务</w:t>
      </w:r>
      <w:r>
        <w:rPr>
          <w:rFonts w:hint="default" w:ascii="Times New Roman" w:hAnsi="Times New Roman" w:eastAsia="仿宋_GB2312" w:cs="Times New Roman"/>
          <w:color w:val="000000"/>
          <w:kern w:val="0"/>
          <w:sz w:val="32"/>
          <w:szCs w:val="32"/>
        </w:rPr>
        <w:t>率</w:t>
      </w:r>
      <w:r>
        <w:rPr>
          <w:rFonts w:hint="default" w:ascii="Times New Roman" w:hAnsi="Times New Roman" w:eastAsia="仿宋_GB2312" w:cs="Times New Roman"/>
          <w:sz w:val="32"/>
          <w:szCs w:val="32"/>
          <w:lang w:val="en-US" w:eastAsia="zh-CN"/>
        </w:rPr>
        <w:t>73.73%；</w:t>
      </w:r>
      <w:r>
        <w:rPr>
          <w:rFonts w:hint="default" w:ascii="Times New Roman" w:hAnsi="Times New Roman" w:eastAsia="仿宋_GB2312" w:cs="Times New Roman"/>
          <w:color w:val="000000"/>
          <w:kern w:val="0"/>
          <w:sz w:val="32"/>
          <w:szCs w:val="32"/>
        </w:rPr>
        <w:t>糖尿病患者</w:t>
      </w:r>
      <w:r>
        <w:rPr>
          <w:rFonts w:hint="default" w:ascii="Times New Roman" w:hAnsi="Times New Roman" w:eastAsia="仿宋_GB2312" w:cs="Times New Roman"/>
          <w:color w:val="000000"/>
          <w:kern w:val="0"/>
          <w:sz w:val="32"/>
          <w:szCs w:val="32"/>
          <w:lang w:eastAsia="zh-CN"/>
        </w:rPr>
        <w:t>基层规范管理</w:t>
      </w:r>
      <w:r>
        <w:rPr>
          <w:rFonts w:hint="default" w:ascii="Times New Roman" w:hAnsi="Times New Roman" w:eastAsia="仿宋_GB2312" w:cs="Times New Roman"/>
          <w:sz w:val="32"/>
          <w:szCs w:val="32"/>
          <w:lang w:val="en-US" w:eastAsia="zh-CN"/>
        </w:rPr>
        <w:t>服务</w:t>
      </w:r>
      <w:r>
        <w:rPr>
          <w:rFonts w:hint="default" w:ascii="Times New Roman" w:hAnsi="Times New Roman" w:eastAsia="仿宋_GB2312" w:cs="Times New Roman"/>
          <w:color w:val="000000"/>
          <w:kern w:val="0"/>
          <w:sz w:val="32"/>
          <w:szCs w:val="32"/>
          <w:lang w:val="en-US" w:eastAsia="zh-CN"/>
        </w:rPr>
        <w:t>率</w:t>
      </w:r>
      <w:r>
        <w:rPr>
          <w:rFonts w:hint="default" w:ascii="Times New Roman" w:hAnsi="Times New Roman" w:eastAsia="仿宋_GB2312" w:cs="Times New Roman"/>
          <w:sz w:val="32"/>
          <w:szCs w:val="32"/>
          <w:lang w:val="en-US" w:eastAsia="zh-CN"/>
        </w:rPr>
        <w:t>75.92%</w:t>
      </w:r>
      <w:r>
        <w:rPr>
          <w:rFonts w:hint="default"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eastAsia="zh-CN"/>
        </w:rPr>
        <w:t>肺结核患者管理率</w:t>
      </w:r>
      <w:r>
        <w:rPr>
          <w:rFonts w:hint="default" w:ascii="Times New Roman" w:hAnsi="Times New Roman" w:eastAsia="仿宋_GB2312" w:cs="Times New Roman"/>
          <w:sz w:val="32"/>
          <w:szCs w:val="32"/>
          <w:lang w:val="en-US" w:eastAsia="zh-CN"/>
        </w:rPr>
        <w:t>90</w:t>
      </w:r>
      <w:r>
        <w:rPr>
          <w:rFonts w:hint="eastAsia" w:ascii="Times New Roman" w:hAnsi="Times New Roman" w:eastAsia="仿宋_GB2312" w:cs="Times New Roman"/>
          <w:sz w:val="32"/>
          <w:szCs w:val="32"/>
          <w:lang w:val="en-US" w:eastAsia="zh-CN"/>
        </w:rPr>
        <w:t>9.48</w:t>
      </w:r>
      <w:r>
        <w:rPr>
          <w:rFonts w:hint="default" w:ascii="Times New Roman" w:hAnsi="Times New Roman" w:eastAsia="仿宋_GB2312" w:cs="Times New Roman"/>
          <w:color w:val="000000"/>
          <w:kern w:val="0"/>
          <w:sz w:val="32"/>
          <w:szCs w:val="32"/>
          <w:lang w:val="en-US" w:eastAsia="zh-CN"/>
        </w:rPr>
        <w:t>%；社区在册居家</w:t>
      </w:r>
      <w:r>
        <w:rPr>
          <w:rFonts w:hint="default" w:ascii="Times New Roman" w:hAnsi="Times New Roman" w:eastAsia="仿宋_GB2312" w:cs="Times New Roman"/>
          <w:sz w:val="32"/>
          <w:szCs w:val="32"/>
        </w:rPr>
        <w:t>严重精神障碍患者</w:t>
      </w:r>
      <w:r>
        <w:rPr>
          <w:rFonts w:hint="default" w:ascii="Times New Roman" w:hAnsi="Times New Roman" w:eastAsia="仿宋_GB2312" w:cs="Times New Roman"/>
          <w:sz w:val="32"/>
          <w:szCs w:val="32"/>
          <w:lang w:eastAsia="zh-CN"/>
        </w:rPr>
        <w:t>健康</w:t>
      </w:r>
      <w:r>
        <w:rPr>
          <w:rFonts w:hint="default" w:ascii="Times New Roman" w:hAnsi="Times New Roman" w:eastAsia="仿宋_GB2312" w:cs="Times New Roman"/>
          <w:color w:val="000000"/>
          <w:kern w:val="0"/>
          <w:sz w:val="32"/>
          <w:szCs w:val="32"/>
        </w:rPr>
        <w:t>管理率</w:t>
      </w:r>
      <w:r>
        <w:rPr>
          <w:rFonts w:hint="eastAsia" w:ascii="Times New Roman" w:hAnsi="Times New Roman" w:eastAsia="仿宋_GB2312" w:cs="Times New Roman"/>
          <w:color w:val="auto"/>
          <w:sz w:val="32"/>
          <w:szCs w:val="32"/>
          <w:lang w:val="en-US" w:eastAsia="zh-CN"/>
        </w:rPr>
        <w:t>82.83</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sz w:val="32"/>
          <w:szCs w:val="32"/>
          <w:lang w:val="en-US" w:eastAsia="zh-CN"/>
        </w:rPr>
        <w:t>65岁及以上老年人</w:t>
      </w:r>
      <w:r>
        <w:rPr>
          <w:rFonts w:hint="default" w:ascii="Times New Roman" w:hAnsi="Times New Roman" w:eastAsia="仿宋_GB2312" w:cs="Times New Roman"/>
          <w:sz w:val="32"/>
          <w:szCs w:val="32"/>
        </w:rPr>
        <w:t>中医药健康</w:t>
      </w:r>
      <w:r>
        <w:rPr>
          <w:rFonts w:hint="default" w:ascii="Times New Roman" w:hAnsi="Times New Roman" w:eastAsia="仿宋_GB2312" w:cs="Times New Roman"/>
          <w:sz w:val="32"/>
          <w:szCs w:val="32"/>
          <w:lang w:val="en-US" w:eastAsia="zh-CN"/>
        </w:rPr>
        <w:t>管理</w:t>
      </w:r>
      <w:r>
        <w:rPr>
          <w:rFonts w:hint="default" w:ascii="Times New Roman" w:hAnsi="Times New Roman" w:eastAsia="仿宋_GB2312" w:cs="Times New Roman"/>
          <w:sz w:val="32"/>
          <w:szCs w:val="32"/>
          <w:lang w:val="zh-CN" w:eastAsia="zh-CN"/>
        </w:rPr>
        <w:t>率</w:t>
      </w:r>
      <w:r>
        <w:rPr>
          <w:rFonts w:hint="default" w:ascii="Times New Roman" w:hAnsi="Times New Roman" w:eastAsia="仿宋_GB2312" w:cs="Times New Roman"/>
          <w:color w:val="auto"/>
          <w:sz w:val="32"/>
          <w:szCs w:val="32"/>
          <w:lang w:val="en-US" w:eastAsia="zh-CN"/>
        </w:rPr>
        <w:t>75.88</w:t>
      </w:r>
      <w:r>
        <w:rPr>
          <w:rFonts w:hint="default" w:ascii="Times New Roman" w:hAnsi="Times New Roman" w:eastAsia="仿宋_GB2312" w:cs="Times New Roman"/>
          <w:color w:val="auto"/>
          <w:sz w:val="32"/>
          <w:szCs w:val="32"/>
          <w:lang w:val="zh-CN" w:eastAsia="zh-CN"/>
        </w:rPr>
        <w:t>%</w:t>
      </w:r>
      <w:r>
        <w:rPr>
          <w:rFonts w:hint="default" w:ascii="Times New Roman" w:hAnsi="Times New Roman" w:eastAsia="仿宋_GB2312" w:cs="Times New Roman"/>
          <w:sz w:val="32"/>
          <w:szCs w:val="32"/>
          <w:lang w:val="en-US" w:eastAsia="zh-CN"/>
        </w:rPr>
        <w:t>、0-36个月儿童</w:t>
      </w:r>
      <w:r>
        <w:rPr>
          <w:rFonts w:hint="default" w:ascii="Times New Roman" w:hAnsi="Times New Roman" w:eastAsia="仿宋_GB2312" w:cs="Times New Roman"/>
          <w:sz w:val="32"/>
          <w:szCs w:val="32"/>
        </w:rPr>
        <w:t>中医药健康管理</w:t>
      </w:r>
      <w:r>
        <w:rPr>
          <w:rFonts w:hint="default" w:ascii="Times New Roman" w:hAnsi="Times New Roman" w:eastAsia="仿宋_GB2312" w:cs="Times New Roman"/>
          <w:color w:val="000000"/>
          <w:sz w:val="32"/>
          <w:szCs w:val="32"/>
          <w:lang w:val="zh-CN" w:eastAsia="zh-CN"/>
        </w:rPr>
        <w:t>率</w:t>
      </w:r>
      <w:r>
        <w:rPr>
          <w:rFonts w:hint="default" w:ascii="Times New Roman" w:hAnsi="Times New Roman" w:eastAsia="仿宋_GB2312" w:cs="Times New Roman"/>
          <w:color w:val="000000"/>
          <w:sz w:val="32"/>
          <w:szCs w:val="32"/>
          <w:lang w:val="en-US" w:eastAsia="zh-CN"/>
        </w:rPr>
        <w:t>88.69</w:t>
      </w:r>
      <w:r>
        <w:rPr>
          <w:rFonts w:hint="default" w:ascii="Times New Roman" w:hAnsi="Times New Roman" w:eastAsia="仿宋_GB2312" w:cs="Times New Roman"/>
          <w:color w:val="000000"/>
          <w:sz w:val="32"/>
          <w:szCs w:val="32"/>
          <w:lang w:val="zh-CN" w:eastAsia="zh-CN"/>
        </w:rPr>
        <w:t>%；</w:t>
      </w:r>
      <w:r>
        <w:rPr>
          <w:rFonts w:hint="default" w:ascii="Times New Roman" w:hAnsi="Times New Roman" w:eastAsia="仿宋_GB2312" w:cs="Times New Roman"/>
          <w:color w:val="000000"/>
          <w:kern w:val="0"/>
          <w:sz w:val="32"/>
          <w:szCs w:val="32"/>
        </w:rPr>
        <w:t>传染病</w:t>
      </w:r>
      <w:r>
        <w:rPr>
          <w:rFonts w:hint="default" w:ascii="Times New Roman" w:hAnsi="Times New Roman" w:eastAsia="仿宋_GB2312" w:cs="Times New Roman"/>
          <w:color w:val="000000"/>
          <w:kern w:val="0"/>
          <w:sz w:val="32"/>
          <w:szCs w:val="32"/>
          <w:lang w:eastAsia="zh-CN"/>
        </w:rPr>
        <w:t>及</w:t>
      </w:r>
      <w:r>
        <w:rPr>
          <w:rFonts w:hint="default" w:ascii="Times New Roman" w:hAnsi="Times New Roman" w:eastAsia="仿宋_GB2312" w:cs="Times New Roman"/>
          <w:color w:val="000000"/>
          <w:sz w:val="32"/>
          <w:szCs w:val="32"/>
          <w:lang w:val="en-US" w:eastAsia="zh-CN"/>
        </w:rPr>
        <w:t>突发公共卫生事件报告率100%</w:t>
      </w:r>
      <w:r>
        <w:rPr>
          <w:rFonts w:hint="default" w:ascii="Times New Roman" w:hAnsi="Times New Roman" w:eastAsia="仿宋_GB2312" w:cs="Times New Roman"/>
          <w:color w:val="000000"/>
          <w:kern w:val="0"/>
          <w:sz w:val="32"/>
          <w:szCs w:val="32"/>
        </w:rPr>
        <w:t>。</w:t>
      </w:r>
    </w:p>
    <w:p>
      <w:pPr>
        <w:spacing w:line="580" w:lineRule="exact"/>
        <w:ind w:firstLine="630"/>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四</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绩效指标完成情况。</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color w:val="auto"/>
          <w:sz w:val="32"/>
          <w:szCs w:val="32"/>
          <w:lang w:val="en-US" w:eastAsia="zh-CN"/>
        </w:rPr>
        <w:t>1．居民健康档案</w:t>
      </w:r>
      <w:r>
        <w:rPr>
          <w:rFonts w:hint="default" w:ascii="Times New Roman" w:hAnsi="Times New Roman" w:eastAsia="仿宋_GB2312" w:cs="Times New Roman"/>
          <w:sz w:val="32"/>
          <w:szCs w:val="32"/>
          <w:lang w:val="en-US" w:eastAsia="zh-CN"/>
        </w:rPr>
        <w:t>管理</w:t>
      </w:r>
      <w:r>
        <w:rPr>
          <w:rFonts w:hint="default" w:ascii="Times New Roman" w:hAnsi="Times New Roman" w:eastAsia="仿宋_GB2312" w:cs="Times New Roman"/>
          <w:b w:val="0"/>
          <w:bCs w:val="0"/>
          <w:color w:val="auto"/>
          <w:sz w:val="32"/>
          <w:szCs w:val="32"/>
          <w:lang w:val="en-US" w:eastAsia="zh-CN"/>
        </w:rPr>
        <w:t>服务。</w:t>
      </w:r>
      <w:r>
        <w:rPr>
          <w:rFonts w:hint="default" w:ascii="Times New Roman" w:hAnsi="Times New Roman" w:eastAsia="仿宋_GB2312" w:cs="Times New Roman"/>
          <w:sz w:val="32"/>
          <w:szCs w:val="32"/>
          <w:lang w:val="en-US" w:eastAsia="zh-CN"/>
        </w:rPr>
        <w:t>2023年，</w:t>
      </w:r>
      <w:r>
        <w:rPr>
          <w:rFonts w:hint="default" w:ascii="Times New Roman" w:hAnsi="Times New Roman" w:eastAsia="仿宋_GB2312" w:cs="Times New Roman"/>
          <w:sz w:val="32"/>
          <w:szCs w:val="32"/>
        </w:rPr>
        <w:t>在管</w:t>
      </w:r>
      <w:r>
        <w:rPr>
          <w:rFonts w:hint="default" w:ascii="Times New Roman" w:hAnsi="Times New Roman" w:eastAsia="仿宋_GB2312" w:cs="Times New Roman"/>
          <w:sz w:val="32"/>
          <w:szCs w:val="32"/>
          <w:lang w:eastAsia="zh-CN"/>
        </w:rPr>
        <w:t>电子健康</w:t>
      </w:r>
      <w:r>
        <w:rPr>
          <w:rFonts w:hint="default" w:ascii="Times New Roman" w:hAnsi="Times New Roman" w:eastAsia="仿宋_GB2312" w:cs="Times New Roman"/>
          <w:sz w:val="32"/>
          <w:szCs w:val="32"/>
        </w:rPr>
        <w:t>档案</w:t>
      </w:r>
      <w:r>
        <w:rPr>
          <w:rFonts w:hint="default" w:ascii="Times New Roman" w:hAnsi="Times New Roman" w:eastAsia="仿宋_GB2312" w:cs="Times New Roman"/>
          <w:sz w:val="32"/>
          <w:szCs w:val="32"/>
          <w:lang w:val="en-US" w:eastAsia="zh-CN"/>
        </w:rPr>
        <w:t>678575</w:t>
      </w:r>
      <w:r>
        <w:rPr>
          <w:rFonts w:hint="default" w:ascii="Times New Roman" w:hAnsi="Times New Roman" w:eastAsia="仿宋_GB2312" w:cs="Times New Roman"/>
          <w:sz w:val="32"/>
          <w:szCs w:val="32"/>
        </w:rPr>
        <w:t>份，电子健康档案建档率</w:t>
      </w:r>
      <w:r>
        <w:rPr>
          <w:rFonts w:hint="default" w:ascii="Times New Roman" w:hAnsi="Times New Roman" w:eastAsia="仿宋_GB2312" w:cs="Times New Roman"/>
          <w:sz w:val="32"/>
          <w:szCs w:val="32"/>
          <w:lang w:val="en-US" w:eastAsia="zh-CN"/>
        </w:rPr>
        <w:t>99.61%</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居民规范化电子健康档案覆盖率99.48%，</w:t>
      </w:r>
      <w:r>
        <w:rPr>
          <w:rFonts w:hint="default" w:ascii="Times New Roman" w:hAnsi="Times New Roman" w:eastAsia="仿宋_GB2312" w:cs="Times New Roman"/>
          <w:sz w:val="32"/>
          <w:szCs w:val="32"/>
        </w:rPr>
        <w:t>动态</w:t>
      </w:r>
      <w:r>
        <w:rPr>
          <w:rFonts w:hint="default" w:ascii="Times New Roman" w:hAnsi="Times New Roman" w:eastAsia="仿宋_GB2312" w:cs="Times New Roman"/>
          <w:sz w:val="32"/>
          <w:szCs w:val="32"/>
          <w:lang w:eastAsia="zh-CN"/>
        </w:rPr>
        <w:t>更新</w:t>
      </w:r>
      <w:r>
        <w:rPr>
          <w:rFonts w:hint="default" w:ascii="Times New Roman" w:hAnsi="Times New Roman" w:eastAsia="仿宋_GB2312" w:cs="Times New Roman"/>
          <w:sz w:val="32"/>
          <w:szCs w:val="32"/>
          <w:lang w:val="en-US" w:eastAsia="zh-CN"/>
        </w:rPr>
        <w:t>598921</w:t>
      </w:r>
      <w:r>
        <w:rPr>
          <w:rFonts w:hint="default" w:ascii="Times New Roman" w:hAnsi="Times New Roman" w:eastAsia="仿宋_GB2312" w:cs="Times New Roman"/>
          <w:sz w:val="32"/>
          <w:szCs w:val="32"/>
        </w:rPr>
        <w:t>份，档案使用率</w:t>
      </w:r>
      <w:r>
        <w:rPr>
          <w:rFonts w:hint="default" w:ascii="Times New Roman" w:hAnsi="Times New Roman" w:eastAsia="仿宋_GB2312" w:cs="Times New Roman"/>
          <w:sz w:val="32"/>
          <w:szCs w:val="32"/>
          <w:lang w:val="en-US" w:eastAsia="zh-CN"/>
        </w:rPr>
        <w:t>88.26</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lang w:val="en-US" w:eastAsia="zh-CN"/>
        </w:rPr>
        <w:t>2．健康教育服务。</w:t>
      </w:r>
      <w:r>
        <w:rPr>
          <w:rFonts w:hint="default" w:ascii="Times New Roman" w:hAnsi="Times New Roman" w:eastAsia="仿宋_GB2312" w:cs="Times New Roman"/>
          <w:b w:val="0"/>
          <w:bCs w:val="0"/>
          <w:color w:val="auto"/>
          <w:sz w:val="32"/>
          <w:szCs w:val="32"/>
        </w:rPr>
        <w:t>全县共设置健康</w:t>
      </w:r>
      <w:r>
        <w:rPr>
          <w:rFonts w:hint="default" w:ascii="Times New Roman" w:hAnsi="Times New Roman" w:eastAsia="仿宋_GB2312" w:cs="Times New Roman"/>
          <w:b w:val="0"/>
          <w:bCs w:val="0"/>
          <w:sz w:val="32"/>
          <w:szCs w:val="32"/>
        </w:rPr>
        <w:t>教育</w:t>
      </w:r>
      <w:r>
        <w:rPr>
          <w:rFonts w:hint="default" w:ascii="Times New Roman" w:hAnsi="Times New Roman" w:eastAsia="仿宋_GB2312" w:cs="Times New Roman"/>
          <w:b w:val="0"/>
          <w:bCs w:val="0"/>
          <w:color w:val="auto"/>
          <w:sz w:val="32"/>
          <w:szCs w:val="32"/>
        </w:rPr>
        <w:t>宣传栏3</w:t>
      </w:r>
      <w:r>
        <w:rPr>
          <w:rFonts w:hint="default" w:ascii="Times New Roman" w:hAnsi="Times New Roman" w:eastAsia="仿宋_GB2312" w:cs="Times New Roman"/>
          <w:b w:val="0"/>
          <w:bCs w:val="0"/>
          <w:color w:val="auto"/>
          <w:sz w:val="32"/>
          <w:szCs w:val="32"/>
          <w:lang w:val="en-US" w:eastAsia="zh-CN"/>
        </w:rPr>
        <w:t>35</w:t>
      </w:r>
      <w:r>
        <w:rPr>
          <w:rFonts w:hint="default" w:ascii="Times New Roman" w:hAnsi="Times New Roman" w:eastAsia="仿宋_GB2312" w:cs="Times New Roman"/>
          <w:b w:val="0"/>
          <w:bCs w:val="0"/>
          <w:color w:val="auto"/>
          <w:sz w:val="32"/>
          <w:szCs w:val="32"/>
        </w:rPr>
        <w:t>个、内容更新</w:t>
      </w:r>
      <w:r>
        <w:rPr>
          <w:rFonts w:hint="default" w:ascii="Times New Roman" w:hAnsi="Times New Roman" w:eastAsia="仿宋_GB2312" w:cs="Times New Roman"/>
          <w:b w:val="0"/>
          <w:bCs w:val="0"/>
          <w:color w:val="auto"/>
          <w:sz w:val="32"/>
          <w:szCs w:val="32"/>
          <w:lang w:val="en-US" w:eastAsia="zh-CN"/>
        </w:rPr>
        <w:t>1834</w:t>
      </w:r>
      <w:r>
        <w:rPr>
          <w:rFonts w:hint="default" w:ascii="Times New Roman" w:hAnsi="Times New Roman" w:eastAsia="仿宋_GB2312" w:cs="Times New Roman"/>
          <w:b w:val="0"/>
          <w:bCs w:val="0"/>
          <w:color w:val="auto"/>
          <w:sz w:val="32"/>
          <w:szCs w:val="32"/>
        </w:rPr>
        <w:t>次，举办健康知识讲座16</w:t>
      </w:r>
      <w:r>
        <w:rPr>
          <w:rFonts w:hint="default" w:ascii="Times New Roman" w:hAnsi="Times New Roman" w:eastAsia="仿宋_GB2312" w:cs="Times New Roman"/>
          <w:b w:val="0"/>
          <w:bCs w:val="0"/>
          <w:color w:val="auto"/>
          <w:sz w:val="32"/>
          <w:szCs w:val="32"/>
          <w:lang w:val="en-US" w:eastAsia="zh-CN"/>
        </w:rPr>
        <w:t>88</w:t>
      </w:r>
      <w:r>
        <w:rPr>
          <w:rFonts w:hint="default" w:ascii="Times New Roman" w:hAnsi="Times New Roman" w:eastAsia="仿宋_GB2312" w:cs="Times New Roman"/>
          <w:b w:val="0"/>
          <w:bCs w:val="0"/>
          <w:color w:val="auto"/>
          <w:sz w:val="32"/>
          <w:szCs w:val="32"/>
        </w:rPr>
        <w:t>次，</w:t>
      </w:r>
      <w:r>
        <w:rPr>
          <w:rFonts w:hint="default" w:ascii="Times New Roman" w:hAnsi="Times New Roman" w:eastAsia="仿宋_GB2312" w:cs="Times New Roman"/>
          <w:sz w:val="32"/>
          <w:szCs w:val="32"/>
          <w:lang w:val="en-US" w:eastAsia="zh-CN"/>
        </w:rPr>
        <w:t>接受</w:t>
      </w:r>
      <w:r>
        <w:rPr>
          <w:rFonts w:hint="default" w:ascii="Times New Roman" w:hAnsi="Times New Roman" w:eastAsia="仿宋_GB2312" w:cs="Times New Roman"/>
          <w:b w:val="0"/>
          <w:bCs w:val="0"/>
          <w:color w:val="auto"/>
          <w:sz w:val="32"/>
          <w:szCs w:val="32"/>
        </w:rPr>
        <w:t>服务5</w:t>
      </w:r>
      <w:r>
        <w:rPr>
          <w:rFonts w:hint="default" w:ascii="Times New Roman" w:hAnsi="Times New Roman" w:eastAsia="仿宋_GB2312" w:cs="Times New Roman"/>
          <w:b w:val="0"/>
          <w:bCs w:val="0"/>
          <w:color w:val="auto"/>
          <w:sz w:val="32"/>
          <w:szCs w:val="32"/>
          <w:lang w:val="en-US" w:eastAsia="zh-CN"/>
        </w:rPr>
        <w:t>451</w:t>
      </w:r>
      <w:r>
        <w:rPr>
          <w:rFonts w:hint="default" w:ascii="Times New Roman" w:hAnsi="Times New Roman" w:eastAsia="仿宋_GB2312" w:cs="Times New Roman"/>
          <w:b w:val="0"/>
          <w:bCs w:val="0"/>
          <w:color w:val="auto"/>
          <w:sz w:val="32"/>
          <w:szCs w:val="32"/>
        </w:rPr>
        <w:t>8人次；公众健康咨询161次；播放音像</w:t>
      </w:r>
      <w:r>
        <w:rPr>
          <w:rFonts w:hint="default" w:ascii="Times New Roman" w:hAnsi="Times New Roman" w:eastAsia="仿宋_GB2312" w:cs="Times New Roman"/>
          <w:b w:val="0"/>
          <w:bCs w:val="0"/>
          <w:color w:val="auto"/>
          <w:sz w:val="32"/>
          <w:szCs w:val="32"/>
          <w:lang w:eastAsia="zh-CN"/>
        </w:rPr>
        <w:t>资料种类</w:t>
      </w:r>
      <w:r>
        <w:rPr>
          <w:rFonts w:hint="default" w:ascii="Times New Roman" w:hAnsi="Times New Roman" w:eastAsia="仿宋_GB2312" w:cs="Times New Roman"/>
          <w:b w:val="0"/>
          <w:bCs w:val="0"/>
          <w:color w:val="auto"/>
          <w:sz w:val="32"/>
          <w:szCs w:val="32"/>
        </w:rPr>
        <w:t>2</w:t>
      </w:r>
      <w:r>
        <w:rPr>
          <w:rFonts w:hint="default" w:ascii="Times New Roman" w:hAnsi="Times New Roman" w:eastAsia="仿宋_GB2312" w:cs="Times New Roman"/>
          <w:b w:val="0"/>
          <w:bCs w:val="0"/>
          <w:color w:val="auto"/>
          <w:sz w:val="32"/>
          <w:szCs w:val="32"/>
          <w:lang w:val="en-US" w:eastAsia="zh-CN"/>
        </w:rPr>
        <w:t>99</w:t>
      </w:r>
      <w:r>
        <w:rPr>
          <w:rFonts w:hint="default" w:ascii="Times New Roman" w:hAnsi="Times New Roman" w:eastAsia="仿宋_GB2312" w:cs="Times New Roman"/>
          <w:b w:val="0"/>
          <w:bCs w:val="0"/>
          <w:color w:val="auto"/>
          <w:sz w:val="32"/>
          <w:szCs w:val="32"/>
        </w:rPr>
        <w:t>种</w:t>
      </w:r>
      <w:r>
        <w:rPr>
          <w:rFonts w:hint="default" w:ascii="Times New Roman" w:hAnsi="Times New Roman" w:eastAsia="仿宋_GB2312" w:cs="Times New Roman"/>
          <w:b w:val="0"/>
          <w:bCs w:val="0"/>
          <w:color w:val="auto"/>
          <w:sz w:val="32"/>
          <w:szCs w:val="32"/>
          <w:lang w:val="en-US" w:eastAsia="zh-CN"/>
        </w:rPr>
        <w:t>5302</w:t>
      </w:r>
      <w:r>
        <w:rPr>
          <w:rFonts w:hint="default" w:ascii="Times New Roman" w:hAnsi="Times New Roman" w:eastAsia="仿宋_GB2312" w:cs="Times New Roman"/>
          <w:b w:val="0"/>
          <w:bCs w:val="0"/>
          <w:color w:val="auto"/>
          <w:sz w:val="32"/>
          <w:szCs w:val="32"/>
        </w:rPr>
        <w:t>次；发放健康教育资料种类</w:t>
      </w:r>
      <w:r>
        <w:rPr>
          <w:rFonts w:hint="default" w:ascii="Times New Roman" w:hAnsi="Times New Roman" w:eastAsia="仿宋_GB2312" w:cs="Times New Roman"/>
          <w:b w:val="0"/>
          <w:bCs w:val="0"/>
          <w:color w:val="auto"/>
          <w:sz w:val="32"/>
          <w:szCs w:val="32"/>
          <w:lang w:val="en-US" w:eastAsia="zh-CN"/>
        </w:rPr>
        <w:t>326</w:t>
      </w:r>
      <w:r>
        <w:rPr>
          <w:rFonts w:hint="default" w:ascii="Times New Roman" w:hAnsi="Times New Roman" w:eastAsia="仿宋_GB2312" w:cs="Times New Roman"/>
          <w:b w:val="0"/>
          <w:bCs w:val="0"/>
          <w:color w:val="auto"/>
          <w:sz w:val="32"/>
          <w:szCs w:val="32"/>
        </w:rPr>
        <w:t>种6</w:t>
      </w:r>
      <w:r>
        <w:rPr>
          <w:rFonts w:hint="default" w:ascii="Times New Roman" w:hAnsi="Times New Roman" w:eastAsia="仿宋_GB2312" w:cs="Times New Roman"/>
          <w:b w:val="0"/>
          <w:bCs w:val="0"/>
          <w:color w:val="auto"/>
          <w:sz w:val="32"/>
          <w:szCs w:val="32"/>
          <w:lang w:val="en-US" w:eastAsia="zh-CN"/>
        </w:rPr>
        <w:t>01853</w:t>
      </w:r>
      <w:r>
        <w:rPr>
          <w:rFonts w:hint="default" w:ascii="Times New Roman" w:hAnsi="Times New Roman" w:eastAsia="仿宋_GB2312" w:cs="Times New Roman"/>
          <w:b w:val="0"/>
          <w:bCs w:val="0"/>
          <w:color w:val="auto"/>
          <w:sz w:val="32"/>
          <w:szCs w:val="32"/>
        </w:rPr>
        <w:t>份。</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lang w:val="en-US" w:eastAsia="zh-CN"/>
        </w:rPr>
        <w:t>3．预防接种服务。</w:t>
      </w:r>
      <w:r>
        <w:rPr>
          <w:rFonts w:hint="default" w:ascii="Times New Roman" w:hAnsi="Times New Roman" w:eastAsia="仿宋_GB2312" w:cs="Times New Roman"/>
          <w:b w:val="0"/>
          <w:bCs w:val="0"/>
          <w:sz w:val="32"/>
          <w:szCs w:val="32"/>
        </w:rPr>
        <w:t>全县适龄儿童国家</w:t>
      </w:r>
      <w:r>
        <w:rPr>
          <w:rFonts w:hint="default" w:ascii="Times New Roman" w:hAnsi="Times New Roman" w:eastAsia="仿宋_GB2312" w:cs="Times New Roman"/>
          <w:sz w:val="32"/>
          <w:szCs w:val="32"/>
          <w:lang w:val="en-US" w:eastAsia="zh-CN"/>
        </w:rPr>
        <w:t>免疫</w:t>
      </w:r>
      <w:r>
        <w:rPr>
          <w:rFonts w:hint="default" w:ascii="Times New Roman" w:hAnsi="Times New Roman" w:eastAsia="仿宋_GB2312" w:cs="Times New Roman"/>
          <w:b w:val="0"/>
          <w:bCs w:val="0"/>
          <w:sz w:val="32"/>
          <w:szCs w:val="32"/>
        </w:rPr>
        <w:t>规划疫苗接种</w:t>
      </w:r>
      <w:r>
        <w:rPr>
          <w:rFonts w:hint="default" w:ascii="Times New Roman" w:hAnsi="Times New Roman" w:eastAsia="仿宋_GB2312" w:cs="Times New Roman"/>
          <w:b w:val="0"/>
          <w:bCs w:val="0"/>
          <w:sz w:val="32"/>
          <w:szCs w:val="32"/>
          <w:lang w:val="en-US" w:eastAsia="zh-CN"/>
        </w:rPr>
        <w:t>76031</w:t>
      </w:r>
      <w:r>
        <w:rPr>
          <w:rFonts w:hint="default" w:ascii="Times New Roman" w:hAnsi="Times New Roman" w:eastAsia="仿宋_GB2312" w:cs="Times New Roman"/>
          <w:b w:val="0"/>
          <w:bCs w:val="0"/>
          <w:sz w:val="32"/>
          <w:szCs w:val="32"/>
        </w:rPr>
        <w:t>针次，免疫规划疫苗单苗</w:t>
      </w:r>
      <w:r>
        <w:rPr>
          <w:rFonts w:hint="default" w:ascii="Times New Roman" w:hAnsi="Times New Roman" w:eastAsia="仿宋_GB2312" w:cs="Times New Roman"/>
          <w:sz w:val="32"/>
          <w:szCs w:val="32"/>
          <w:lang w:val="en-US" w:eastAsia="zh-CN"/>
        </w:rPr>
        <w:t>接种率</w:t>
      </w:r>
      <w:r>
        <w:rPr>
          <w:rFonts w:hint="default" w:ascii="Times New Roman" w:hAnsi="Times New Roman" w:eastAsia="仿宋_GB2312" w:cs="Times New Roman"/>
          <w:b w:val="0"/>
          <w:bCs w:val="0"/>
          <w:sz w:val="32"/>
          <w:szCs w:val="32"/>
        </w:rPr>
        <w:t>均达到95%以上。</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lang w:val="en-US" w:eastAsia="zh-CN"/>
        </w:rPr>
        <w:t>4．0-6岁儿童健康管理服务。</w:t>
      </w:r>
      <w:r>
        <w:rPr>
          <w:rFonts w:hint="default" w:ascii="Times New Roman" w:hAnsi="Times New Roman" w:eastAsia="仿宋_GB2312" w:cs="Times New Roman"/>
          <w:b w:val="0"/>
          <w:bCs w:val="0"/>
          <w:sz w:val="32"/>
          <w:szCs w:val="32"/>
        </w:rPr>
        <w:t>全县</w:t>
      </w:r>
      <w:r>
        <w:rPr>
          <w:rFonts w:hint="default" w:ascii="Times New Roman" w:hAnsi="Times New Roman" w:eastAsia="仿宋_GB2312" w:cs="Times New Roman"/>
          <w:sz w:val="32"/>
          <w:szCs w:val="32"/>
          <w:lang w:val="en-US" w:eastAsia="zh-CN"/>
        </w:rPr>
        <w:t>新生儿</w:t>
      </w:r>
      <w:r>
        <w:rPr>
          <w:rFonts w:hint="default" w:ascii="Times New Roman" w:hAnsi="Times New Roman" w:eastAsia="仿宋_GB2312" w:cs="Times New Roman"/>
          <w:b w:val="0"/>
          <w:bCs w:val="0"/>
          <w:sz w:val="32"/>
          <w:szCs w:val="32"/>
        </w:rPr>
        <w:t>访视率99.</w:t>
      </w:r>
      <w:r>
        <w:rPr>
          <w:rFonts w:hint="default" w:ascii="Times New Roman" w:hAnsi="Times New Roman" w:eastAsia="仿宋_GB2312" w:cs="Times New Roman"/>
          <w:b w:val="0"/>
          <w:bCs w:val="0"/>
          <w:sz w:val="32"/>
          <w:szCs w:val="32"/>
          <w:lang w:val="en-US" w:eastAsia="zh-CN"/>
        </w:rPr>
        <w:t>6</w:t>
      </w:r>
      <w:r>
        <w:rPr>
          <w:rFonts w:hint="default" w:ascii="Times New Roman" w:hAnsi="Times New Roman" w:eastAsia="仿宋_GB2312" w:cs="Times New Roman"/>
          <w:b w:val="0"/>
          <w:bCs w:val="0"/>
          <w:sz w:val="32"/>
          <w:szCs w:val="32"/>
        </w:rPr>
        <w:t>%，0-6岁儿童健康管理率9</w:t>
      </w:r>
      <w:r>
        <w:rPr>
          <w:rFonts w:hint="eastAsia" w:ascii="Times New Roman" w:hAnsi="Times New Roman" w:eastAsia="仿宋_GB2312" w:cs="Times New Roman"/>
          <w:b w:val="0"/>
          <w:bCs w:val="0"/>
          <w:sz w:val="32"/>
          <w:szCs w:val="32"/>
          <w:lang w:val="en-US" w:eastAsia="zh-CN"/>
        </w:rPr>
        <w:t>7.41</w:t>
      </w: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眼保健和视力筛查覆盖率9</w:t>
      </w:r>
      <w:r>
        <w:rPr>
          <w:rFonts w:hint="eastAsia" w:ascii="Times New Roman" w:hAnsi="Times New Roman" w:eastAsia="仿宋_GB2312" w:cs="Times New Roman"/>
          <w:b w:val="0"/>
          <w:bCs w:val="0"/>
          <w:sz w:val="32"/>
          <w:szCs w:val="32"/>
          <w:lang w:val="en-US" w:eastAsia="zh-CN"/>
        </w:rPr>
        <w:t>7.41</w:t>
      </w:r>
      <w:r>
        <w:rPr>
          <w:rFonts w:hint="default"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color w:val="000000"/>
          <w:sz w:val="32"/>
          <w:szCs w:val="32"/>
          <w:lang w:val="en-US" w:eastAsia="zh-CN"/>
        </w:rPr>
        <w:t>3岁以下儿童系统管理率97.3%</w:t>
      </w:r>
      <w:r>
        <w:rPr>
          <w:rFonts w:hint="default" w:ascii="Times New Roman" w:hAnsi="Times New Roman" w:eastAsia="仿宋_GB2312" w:cs="Times New Roman"/>
          <w:b w:val="0"/>
          <w:bCs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 w:cs="Times New Roman"/>
          <w:b w:val="0"/>
          <w:bCs w:val="0"/>
          <w:sz w:val="32"/>
          <w:szCs w:val="32"/>
          <w:lang w:val="en-US" w:eastAsia="zh-CN"/>
        </w:rPr>
      </w:pPr>
      <w:r>
        <w:rPr>
          <w:rFonts w:hint="default" w:ascii="Times New Roman" w:hAnsi="Times New Roman" w:eastAsia="仿宋_GB2312" w:cs="Times New Roman"/>
          <w:b w:val="0"/>
          <w:bCs w:val="0"/>
          <w:color w:val="auto"/>
          <w:sz w:val="32"/>
          <w:szCs w:val="32"/>
          <w:lang w:val="en-US" w:eastAsia="zh-CN"/>
        </w:rPr>
        <w:t>5．孕产妇健康管理服务。</w:t>
      </w:r>
      <w:r>
        <w:rPr>
          <w:rFonts w:hint="default" w:ascii="Times New Roman" w:hAnsi="Times New Roman" w:eastAsia="仿宋" w:cs="Times New Roman"/>
          <w:b w:val="0"/>
          <w:bCs w:val="0"/>
          <w:sz w:val="32"/>
          <w:szCs w:val="32"/>
        </w:rPr>
        <w:t>全县孕产妇</w:t>
      </w:r>
      <w:r>
        <w:rPr>
          <w:rFonts w:hint="default" w:ascii="Times New Roman" w:hAnsi="Times New Roman" w:eastAsia="仿宋" w:cs="Times New Roman"/>
          <w:b w:val="0"/>
          <w:bCs w:val="0"/>
          <w:sz w:val="32"/>
          <w:szCs w:val="32"/>
          <w:lang w:eastAsia="zh-CN"/>
        </w:rPr>
        <w:t>系统</w:t>
      </w:r>
      <w:r>
        <w:rPr>
          <w:rFonts w:hint="default" w:ascii="Times New Roman" w:hAnsi="Times New Roman" w:eastAsia="仿宋" w:cs="Times New Roman"/>
          <w:b w:val="0"/>
          <w:bCs w:val="0"/>
          <w:sz w:val="32"/>
          <w:szCs w:val="32"/>
        </w:rPr>
        <w:t>管理率</w:t>
      </w:r>
      <w:r>
        <w:rPr>
          <w:rFonts w:hint="default" w:ascii="Times New Roman" w:hAnsi="Times New Roman" w:eastAsia="仿宋" w:cs="Times New Roman"/>
          <w:b w:val="0"/>
          <w:bCs w:val="0"/>
          <w:sz w:val="32"/>
          <w:szCs w:val="32"/>
          <w:lang w:val="en-US" w:eastAsia="zh-CN"/>
        </w:rPr>
        <w:t>99.9</w:t>
      </w:r>
      <w:r>
        <w:rPr>
          <w:rFonts w:hint="default" w:ascii="Times New Roman" w:hAnsi="Times New Roman" w:eastAsia="仿宋" w:cs="Times New Roman"/>
          <w:b w:val="0"/>
          <w:bCs w:val="0"/>
          <w:sz w:val="32"/>
          <w:szCs w:val="32"/>
        </w:rPr>
        <w:t>%，产后访视率</w:t>
      </w:r>
      <w:r>
        <w:rPr>
          <w:rFonts w:hint="default" w:ascii="Times New Roman" w:hAnsi="Times New Roman" w:eastAsia="仿宋" w:cs="Times New Roman"/>
          <w:b w:val="0"/>
          <w:bCs w:val="0"/>
          <w:sz w:val="32"/>
          <w:szCs w:val="32"/>
          <w:lang w:val="en-US" w:eastAsia="zh-CN"/>
        </w:rPr>
        <w:t>100</w:t>
      </w:r>
      <w:r>
        <w:rPr>
          <w:rFonts w:hint="default" w:ascii="Times New Roman" w:hAnsi="Times New Roman" w:eastAsia="仿宋" w:cs="Times New Roman"/>
          <w:b w:val="0"/>
          <w:bCs w:val="0"/>
          <w:sz w:val="32"/>
          <w:szCs w:val="32"/>
        </w:rPr>
        <w:t>%</w:t>
      </w:r>
      <w:r>
        <w:rPr>
          <w:rFonts w:hint="default" w:ascii="Times New Roman" w:hAnsi="Times New Roman" w:eastAsia="仿宋" w:cs="Times New Roman"/>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7030A0"/>
          <w:sz w:val="32"/>
          <w:szCs w:val="32"/>
          <w:lang w:val="en-US" w:eastAsia="zh-CN"/>
        </w:rPr>
      </w:pPr>
      <w:r>
        <w:rPr>
          <w:rFonts w:hint="default" w:ascii="Times New Roman" w:hAnsi="Times New Roman" w:eastAsia="仿宋_GB2312" w:cs="Times New Roman"/>
          <w:b w:val="0"/>
          <w:bCs w:val="0"/>
          <w:color w:val="auto"/>
          <w:sz w:val="32"/>
          <w:szCs w:val="32"/>
          <w:lang w:val="en-US" w:eastAsia="zh-CN"/>
        </w:rPr>
        <w:t>6．老年人健康管理服务。建档</w:t>
      </w:r>
      <w:r>
        <w:rPr>
          <w:rFonts w:hint="default" w:ascii="Times New Roman" w:hAnsi="Times New Roman" w:eastAsia="仿宋_GB2312" w:cs="Times New Roman"/>
          <w:sz w:val="32"/>
          <w:szCs w:val="32"/>
          <w:lang w:val="en-US" w:eastAsia="zh-CN"/>
        </w:rPr>
        <w:t>管理</w:t>
      </w:r>
      <w:r>
        <w:rPr>
          <w:rFonts w:hint="default" w:ascii="Times New Roman" w:hAnsi="Times New Roman" w:eastAsia="仿宋_GB2312" w:cs="Times New Roman"/>
          <w:b w:val="0"/>
          <w:bCs w:val="0"/>
          <w:sz w:val="32"/>
          <w:szCs w:val="32"/>
        </w:rPr>
        <w:t>65岁及以上老年人</w:t>
      </w:r>
      <w:r>
        <w:rPr>
          <w:rFonts w:hint="default" w:ascii="Times New Roman" w:hAnsi="Times New Roman" w:eastAsia="仿宋_GB2312" w:cs="Times New Roman"/>
          <w:b w:val="0"/>
          <w:bCs w:val="0"/>
          <w:sz w:val="32"/>
          <w:szCs w:val="32"/>
          <w:lang w:val="en-US" w:eastAsia="zh-CN"/>
        </w:rPr>
        <w:t>126462人，规范管理80240人，</w:t>
      </w:r>
      <w:r>
        <w:rPr>
          <w:rFonts w:hint="default" w:ascii="Times New Roman" w:hAnsi="Times New Roman" w:eastAsia="仿宋_GB2312" w:cs="Times New Roman"/>
          <w:b w:val="0"/>
          <w:bCs w:val="0"/>
          <w:sz w:val="32"/>
          <w:szCs w:val="32"/>
          <w:lang w:eastAsia="zh-CN"/>
        </w:rPr>
        <w:t>规范</w:t>
      </w:r>
      <w:r>
        <w:rPr>
          <w:rFonts w:hint="default" w:ascii="Times New Roman" w:hAnsi="Times New Roman" w:eastAsia="仿宋_GB2312" w:cs="Times New Roman"/>
          <w:sz w:val="32"/>
          <w:szCs w:val="32"/>
          <w:lang w:val="en-US" w:eastAsia="zh-CN"/>
        </w:rPr>
        <w:t>管理率</w:t>
      </w:r>
      <w:r>
        <w:rPr>
          <w:rFonts w:hint="default" w:ascii="Times New Roman" w:hAnsi="Times New Roman" w:eastAsia="仿宋_GB2312" w:cs="Times New Roman"/>
          <w:b w:val="0"/>
          <w:bCs w:val="0"/>
          <w:sz w:val="32"/>
          <w:szCs w:val="32"/>
          <w:lang w:val="en-US" w:eastAsia="zh-CN"/>
        </w:rPr>
        <w:t>63.45</w:t>
      </w:r>
      <w:r>
        <w:rPr>
          <w:rFonts w:hint="default" w:ascii="Times New Roman" w:hAnsi="Times New Roman" w:eastAsia="仿宋_GB2312" w:cs="Times New Roman"/>
          <w:b w:val="0"/>
          <w:bCs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7．慢性病患者健康管理服务。</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1</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高血压患者。</w:t>
      </w:r>
      <w:r>
        <w:rPr>
          <w:rFonts w:hint="default" w:ascii="Times New Roman" w:hAnsi="Times New Roman" w:eastAsia="仿宋_GB2312" w:cs="Times New Roman"/>
          <w:b w:val="0"/>
          <w:bCs w:val="0"/>
          <w:sz w:val="32"/>
          <w:szCs w:val="32"/>
          <w:lang w:eastAsia="zh-CN"/>
        </w:rPr>
        <w:t>建档管理</w:t>
      </w:r>
      <w:r>
        <w:rPr>
          <w:rFonts w:hint="default" w:ascii="Times New Roman" w:hAnsi="Times New Roman" w:eastAsia="仿宋_GB2312" w:cs="Times New Roman"/>
          <w:sz w:val="32"/>
          <w:szCs w:val="32"/>
          <w:lang w:val="en-US" w:eastAsia="zh-CN"/>
        </w:rPr>
        <w:t>高血压</w:t>
      </w:r>
      <w:r>
        <w:rPr>
          <w:rFonts w:hint="default" w:ascii="Times New Roman" w:hAnsi="Times New Roman" w:eastAsia="仿宋_GB2312" w:cs="Times New Roman"/>
          <w:b w:val="0"/>
          <w:bCs w:val="0"/>
          <w:sz w:val="32"/>
          <w:szCs w:val="32"/>
        </w:rPr>
        <w:t>患者</w:t>
      </w:r>
      <w:r>
        <w:rPr>
          <w:rFonts w:hint="eastAsia" w:ascii="Times New Roman" w:hAnsi="Times New Roman" w:eastAsia="仿宋_GB2312" w:cs="Times New Roman"/>
          <w:b w:val="0"/>
          <w:bCs w:val="0"/>
          <w:sz w:val="32"/>
          <w:szCs w:val="32"/>
          <w:lang w:val="en-US" w:eastAsia="zh-CN"/>
        </w:rPr>
        <w:t>75205</w:t>
      </w:r>
      <w:r>
        <w:rPr>
          <w:rFonts w:hint="default" w:ascii="Times New Roman" w:hAnsi="Times New Roman" w:eastAsia="仿宋_GB2312" w:cs="Times New Roman"/>
          <w:b w:val="0"/>
          <w:bCs w:val="0"/>
          <w:sz w:val="32"/>
          <w:szCs w:val="32"/>
          <w:lang w:val="en-US" w:eastAsia="zh-CN"/>
        </w:rPr>
        <w:t>人，</w:t>
      </w:r>
      <w:r>
        <w:rPr>
          <w:rFonts w:hint="default" w:ascii="Times New Roman" w:hAnsi="Times New Roman" w:eastAsia="仿宋_GB2312" w:cs="Times New Roman"/>
          <w:b w:val="0"/>
          <w:bCs w:val="0"/>
          <w:sz w:val="32"/>
          <w:szCs w:val="32"/>
          <w:lang w:eastAsia="zh-CN"/>
        </w:rPr>
        <w:t>规范</w:t>
      </w:r>
      <w:r>
        <w:rPr>
          <w:rFonts w:hint="default" w:ascii="Times New Roman" w:hAnsi="Times New Roman" w:eastAsia="仿宋_GB2312" w:cs="Times New Roman"/>
          <w:b w:val="0"/>
          <w:bCs w:val="0"/>
          <w:sz w:val="32"/>
          <w:szCs w:val="32"/>
        </w:rPr>
        <w:t>管理</w:t>
      </w:r>
      <w:r>
        <w:rPr>
          <w:rFonts w:hint="eastAsia" w:ascii="Times New Roman" w:hAnsi="Times New Roman" w:eastAsia="仿宋_GB2312" w:cs="Times New Roman"/>
          <w:b w:val="0"/>
          <w:bCs w:val="0"/>
          <w:sz w:val="32"/>
          <w:szCs w:val="32"/>
          <w:lang w:val="en-US" w:eastAsia="zh-CN"/>
        </w:rPr>
        <w:t>55449</w:t>
      </w:r>
      <w:r>
        <w:rPr>
          <w:rFonts w:hint="default" w:ascii="Times New Roman" w:hAnsi="Times New Roman" w:eastAsia="仿宋_GB2312" w:cs="Times New Roman"/>
          <w:b w:val="0"/>
          <w:bCs w:val="0"/>
          <w:sz w:val="32"/>
          <w:szCs w:val="32"/>
        </w:rPr>
        <w:t>人，规范管理率</w:t>
      </w:r>
      <w:r>
        <w:rPr>
          <w:rFonts w:hint="default" w:ascii="Times New Roman" w:hAnsi="Times New Roman" w:eastAsia="仿宋_GB2312" w:cs="Times New Roman"/>
          <w:b w:val="0"/>
          <w:bCs w:val="0"/>
          <w:sz w:val="32"/>
          <w:szCs w:val="32"/>
          <w:lang w:val="en-US" w:eastAsia="zh-CN"/>
        </w:rPr>
        <w:t>73.73</w:t>
      </w:r>
      <w:r>
        <w:rPr>
          <w:rFonts w:hint="default" w:ascii="Times New Roman" w:hAnsi="Times New Roman" w:eastAsia="仿宋_GB2312" w:cs="Times New Roman"/>
          <w:b w:val="0"/>
          <w:bCs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2</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糖尿病患者。</w:t>
      </w:r>
      <w:r>
        <w:rPr>
          <w:rFonts w:hint="default" w:ascii="Times New Roman" w:hAnsi="Times New Roman" w:eastAsia="仿宋_GB2312" w:cs="Times New Roman"/>
          <w:b w:val="0"/>
          <w:bCs w:val="0"/>
          <w:sz w:val="32"/>
          <w:szCs w:val="32"/>
          <w:lang w:eastAsia="zh-CN"/>
        </w:rPr>
        <w:t>建档管理</w:t>
      </w:r>
      <w:r>
        <w:rPr>
          <w:rFonts w:hint="default" w:ascii="Times New Roman" w:hAnsi="Times New Roman" w:eastAsia="仿宋_GB2312" w:cs="Times New Roman"/>
          <w:sz w:val="32"/>
          <w:szCs w:val="32"/>
          <w:lang w:val="en-US" w:eastAsia="zh-CN"/>
        </w:rPr>
        <w:t>糖尿病</w:t>
      </w:r>
      <w:r>
        <w:rPr>
          <w:rFonts w:hint="default" w:ascii="Times New Roman" w:hAnsi="Times New Roman" w:eastAsia="仿宋_GB2312" w:cs="Times New Roman"/>
          <w:b w:val="0"/>
          <w:bCs w:val="0"/>
          <w:sz w:val="32"/>
          <w:szCs w:val="32"/>
        </w:rPr>
        <w:t>患者</w:t>
      </w:r>
      <w:r>
        <w:rPr>
          <w:rFonts w:hint="default" w:ascii="Times New Roman" w:hAnsi="Times New Roman" w:eastAsia="仿宋_GB2312" w:cs="Times New Roman"/>
          <w:b w:val="0"/>
          <w:bCs w:val="0"/>
          <w:sz w:val="32"/>
          <w:szCs w:val="32"/>
          <w:lang w:val="en-US" w:eastAsia="zh-CN"/>
        </w:rPr>
        <w:t>30696人，</w:t>
      </w:r>
      <w:r>
        <w:rPr>
          <w:rFonts w:hint="default" w:ascii="Times New Roman" w:hAnsi="Times New Roman" w:eastAsia="仿宋_GB2312" w:cs="Times New Roman"/>
          <w:b w:val="0"/>
          <w:bCs w:val="0"/>
          <w:sz w:val="32"/>
          <w:szCs w:val="32"/>
          <w:lang w:eastAsia="zh-CN"/>
        </w:rPr>
        <w:t>规范</w:t>
      </w:r>
      <w:r>
        <w:rPr>
          <w:rFonts w:hint="default" w:ascii="Times New Roman" w:hAnsi="Times New Roman" w:eastAsia="仿宋_GB2312" w:cs="Times New Roman"/>
          <w:b w:val="0"/>
          <w:bCs w:val="0"/>
          <w:sz w:val="32"/>
          <w:szCs w:val="32"/>
        </w:rPr>
        <w:t>管理</w:t>
      </w:r>
      <w:r>
        <w:rPr>
          <w:rFonts w:hint="default" w:ascii="Times New Roman" w:hAnsi="Times New Roman" w:eastAsia="仿宋_GB2312" w:cs="Times New Roman"/>
          <w:b w:val="0"/>
          <w:bCs w:val="0"/>
          <w:sz w:val="32"/>
          <w:szCs w:val="32"/>
          <w:lang w:val="en-US" w:eastAsia="zh-CN"/>
        </w:rPr>
        <w:t>23305</w:t>
      </w:r>
      <w:r>
        <w:rPr>
          <w:rFonts w:hint="default" w:ascii="Times New Roman" w:hAnsi="Times New Roman" w:eastAsia="仿宋_GB2312" w:cs="Times New Roman"/>
          <w:b w:val="0"/>
          <w:bCs w:val="0"/>
          <w:sz w:val="32"/>
          <w:szCs w:val="32"/>
        </w:rPr>
        <w:t>人，规范管理率</w:t>
      </w:r>
      <w:r>
        <w:rPr>
          <w:rFonts w:hint="default" w:ascii="Times New Roman" w:hAnsi="Times New Roman" w:eastAsia="仿宋_GB2312" w:cs="Times New Roman"/>
          <w:b w:val="0"/>
          <w:bCs w:val="0"/>
          <w:sz w:val="32"/>
          <w:szCs w:val="32"/>
          <w:lang w:val="en-US" w:eastAsia="zh-CN"/>
        </w:rPr>
        <w:t>75.92</w:t>
      </w:r>
      <w:r>
        <w:rPr>
          <w:rFonts w:hint="default" w:ascii="Times New Roman" w:hAnsi="Times New Roman" w:eastAsia="仿宋_GB2312" w:cs="Times New Roman"/>
          <w:b w:val="0"/>
          <w:bCs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lang w:eastAsia="zh-CN"/>
        </w:rPr>
      </w:pPr>
      <w:r>
        <w:rPr>
          <w:rFonts w:hint="default" w:ascii="Times New Roman" w:hAnsi="Times New Roman" w:eastAsia="仿宋_GB2312" w:cs="Times New Roman"/>
          <w:b w:val="0"/>
          <w:bCs w:val="0"/>
          <w:color w:val="auto"/>
          <w:sz w:val="32"/>
          <w:szCs w:val="32"/>
          <w:lang w:val="en-US" w:eastAsia="zh-CN"/>
        </w:rPr>
        <w:t>8．严重精神障碍患者管理服务。</w:t>
      </w:r>
      <w:r>
        <w:rPr>
          <w:rFonts w:hint="eastAsia" w:ascii="Times New Roman" w:hAnsi="Times New Roman" w:eastAsia="仿宋_GB2312" w:cs="Times New Roman"/>
          <w:b w:val="0"/>
          <w:bCs w:val="0"/>
          <w:color w:val="auto"/>
          <w:sz w:val="32"/>
          <w:szCs w:val="32"/>
          <w:lang w:val="en-US" w:eastAsia="zh-CN"/>
        </w:rPr>
        <w:t>辖区内登记</w:t>
      </w:r>
      <w:r>
        <w:rPr>
          <w:rFonts w:hint="default" w:ascii="Times New Roman" w:hAnsi="Times New Roman" w:eastAsia="仿宋_GB2312" w:cs="Times New Roman"/>
          <w:b w:val="0"/>
          <w:bCs w:val="0"/>
          <w:color w:val="auto"/>
          <w:sz w:val="32"/>
          <w:szCs w:val="32"/>
          <w:lang w:val="en-US" w:eastAsia="zh-CN"/>
        </w:rPr>
        <w:t>在册</w:t>
      </w:r>
      <w:r>
        <w:rPr>
          <w:rFonts w:hint="eastAsia" w:ascii="Times New Roman" w:hAnsi="Times New Roman" w:eastAsia="仿宋_GB2312" w:cs="Times New Roman"/>
          <w:b w:val="0"/>
          <w:bCs w:val="0"/>
          <w:color w:val="auto"/>
          <w:sz w:val="32"/>
          <w:szCs w:val="32"/>
          <w:lang w:val="en-US" w:eastAsia="zh-CN"/>
        </w:rPr>
        <w:t>的确诊</w:t>
      </w:r>
      <w:r>
        <w:rPr>
          <w:rFonts w:hint="default" w:ascii="Times New Roman" w:hAnsi="Times New Roman" w:eastAsia="仿宋_GB2312" w:cs="Times New Roman"/>
          <w:b w:val="0"/>
          <w:bCs w:val="0"/>
          <w:sz w:val="32"/>
          <w:szCs w:val="32"/>
          <w:lang w:val="en-US" w:eastAsia="zh-CN"/>
        </w:rPr>
        <w:t>严重精神障碍患者389</w:t>
      </w:r>
      <w:r>
        <w:rPr>
          <w:rFonts w:hint="eastAsia" w:ascii="Times New Roman" w:hAnsi="Times New Roman" w:eastAsia="仿宋_GB2312" w:cs="Times New Roman"/>
          <w:b w:val="0"/>
          <w:bCs w:val="0"/>
          <w:sz w:val="32"/>
          <w:szCs w:val="32"/>
          <w:lang w:val="en-US" w:eastAsia="zh-CN"/>
        </w:rPr>
        <w:t>7</w:t>
      </w:r>
      <w:r>
        <w:rPr>
          <w:rFonts w:hint="default" w:ascii="Times New Roman" w:hAnsi="Times New Roman" w:eastAsia="仿宋_GB2312" w:cs="Times New Roman"/>
          <w:b w:val="0"/>
          <w:bCs w:val="0"/>
          <w:sz w:val="32"/>
          <w:szCs w:val="32"/>
          <w:lang w:val="en-US" w:eastAsia="zh-CN"/>
        </w:rPr>
        <w:t>人，</w:t>
      </w:r>
      <w:r>
        <w:rPr>
          <w:rFonts w:hint="default" w:ascii="Times New Roman" w:hAnsi="Times New Roman" w:eastAsia="仿宋_GB2312" w:cs="Times New Roman"/>
          <w:b w:val="0"/>
          <w:bCs w:val="0"/>
          <w:sz w:val="32"/>
          <w:szCs w:val="32"/>
        </w:rPr>
        <w:t>规范管理</w:t>
      </w:r>
      <w:r>
        <w:rPr>
          <w:rFonts w:hint="default" w:ascii="Times New Roman" w:hAnsi="Times New Roman" w:eastAsia="仿宋_GB2312" w:cs="Times New Roman"/>
          <w:b w:val="0"/>
          <w:bCs w:val="0"/>
          <w:sz w:val="32"/>
          <w:szCs w:val="32"/>
          <w:lang w:val="en-US" w:eastAsia="zh-CN"/>
        </w:rPr>
        <w:t>3</w:t>
      </w:r>
      <w:r>
        <w:rPr>
          <w:rFonts w:hint="eastAsia" w:ascii="Times New Roman" w:hAnsi="Times New Roman" w:eastAsia="仿宋_GB2312" w:cs="Times New Roman"/>
          <w:b w:val="0"/>
          <w:bCs w:val="0"/>
          <w:sz w:val="32"/>
          <w:szCs w:val="32"/>
          <w:lang w:val="en-US" w:eastAsia="zh-CN"/>
        </w:rPr>
        <w:t>228</w:t>
      </w:r>
      <w:r>
        <w:rPr>
          <w:rFonts w:hint="default" w:ascii="Times New Roman" w:hAnsi="Times New Roman" w:eastAsia="仿宋_GB2312" w:cs="Times New Roman"/>
          <w:b w:val="0"/>
          <w:bCs w:val="0"/>
          <w:sz w:val="32"/>
          <w:szCs w:val="32"/>
        </w:rPr>
        <w:t>人，规范管理率</w:t>
      </w:r>
      <w:r>
        <w:rPr>
          <w:rFonts w:hint="eastAsia" w:ascii="Times New Roman" w:hAnsi="Times New Roman" w:eastAsia="仿宋_GB2312" w:cs="Times New Roman"/>
          <w:b w:val="0"/>
          <w:bCs w:val="0"/>
          <w:sz w:val="32"/>
          <w:szCs w:val="32"/>
          <w:lang w:val="en-US" w:eastAsia="zh-CN"/>
        </w:rPr>
        <w:t>82.83</w:t>
      </w: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000000"/>
          <w:sz w:val="32"/>
          <w:szCs w:val="32"/>
          <w:lang w:val="en-US" w:eastAsia="zh-CN"/>
        </w:rPr>
      </w:pPr>
      <w:r>
        <w:rPr>
          <w:rFonts w:hint="default" w:ascii="Times New Roman" w:hAnsi="Times New Roman" w:eastAsia="仿宋_GB2312" w:cs="Times New Roman"/>
          <w:b w:val="0"/>
          <w:bCs w:val="0"/>
          <w:color w:val="auto"/>
          <w:sz w:val="32"/>
          <w:szCs w:val="32"/>
          <w:lang w:val="en-US" w:eastAsia="zh-CN"/>
        </w:rPr>
        <w:t>9．肺结核患者健康管理服务。</w:t>
      </w:r>
      <w:r>
        <w:rPr>
          <w:rFonts w:hint="default" w:ascii="Times New Roman" w:hAnsi="Times New Roman" w:eastAsia="仿宋_GB2312" w:cs="Times New Roman"/>
          <w:b w:val="0"/>
          <w:bCs w:val="0"/>
          <w:sz w:val="32"/>
          <w:szCs w:val="32"/>
        </w:rPr>
        <w:t>新发</w:t>
      </w:r>
      <w:r>
        <w:rPr>
          <w:rFonts w:hint="default" w:ascii="Times New Roman" w:hAnsi="Times New Roman" w:eastAsia="仿宋_GB2312" w:cs="Times New Roman"/>
          <w:sz w:val="32"/>
          <w:szCs w:val="32"/>
          <w:lang w:val="en-US" w:eastAsia="zh-CN"/>
        </w:rPr>
        <w:t>活动</w:t>
      </w:r>
      <w:r>
        <w:rPr>
          <w:rFonts w:hint="default" w:ascii="Times New Roman" w:hAnsi="Times New Roman" w:eastAsia="仿宋_GB2312" w:cs="Times New Roman"/>
          <w:b w:val="0"/>
          <w:bCs w:val="0"/>
          <w:sz w:val="32"/>
          <w:szCs w:val="32"/>
        </w:rPr>
        <w:t>性肺结核患者3</w:t>
      </w:r>
      <w:r>
        <w:rPr>
          <w:rFonts w:hint="default" w:ascii="Times New Roman" w:hAnsi="Times New Roman" w:eastAsia="仿宋_GB2312" w:cs="Times New Roman"/>
          <w:b w:val="0"/>
          <w:bCs w:val="0"/>
          <w:sz w:val="32"/>
          <w:szCs w:val="32"/>
          <w:lang w:val="en-US" w:eastAsia="zh-CN"/>
        </w:rPr>
        <w:t>72</w:t>
      </w:r>
      <w:r>
        <w:rPr>
          <w:rFonts w:hint="default" w:ascii="Times New Roman" w:hAnsi="Times New Roman" w:eastAsia="仿宋_GB2312" w:cs="Times New Roman"/>
          <w:b w:val="0"/>
          <w:bCs w:val="0"/>
          <w:sz w:val="32"/>
          <w:szCs w:val="32"/>
        </w:rPr>
        <w:t>例，管理率</w:t>
      </w:r>
      <w:r>
        <w:rPr>
          <w:rFonts w:hint="default" w:ascii="Times New Roman" w:hAnsi="Times New Roman" w:eastAsia="仿宋_GB2312" w:cs="Times New Roman"/>
          <w:b w:val="0"/>
          <w:bCs w:val="0"/>
          <w:sz w:val="32"/>
          <w:szCs w:val="32"/>
          <w:lang w:val="en-US" w:eastAsia="zh-CN"/>
        </w:rPr>
        <w:t>和</w:t>
      </w:r>
      <w:r>
        <w:rPr>
          <w:rFonts w:hint="default" w:ascii="Times New Roman" w:hAnsi="Times New Roman" w:eastAsia="仿宋_GB2312" w:cs="Times New Roman"/>
          <w:b w:val="0"/>
          <w:bCs w:val="0"/>
          <w:sz w:val="32"/>
          <w:szCs w:val="32"/>
          <w:lang w:eastAsia="zh-CN"/>
        </w:rPr>
        <w:t>规范服药率均达</w:t>
      </w:r>
      <w:r>
        <w:rPr>
          <w:rFonts w:hint="default" w:ascii="Times New Roman" w:hAnsi="Times New Roman" w:eastAsia="仿宋_GB2312" w:cs="Times New Roman"/>
          <w:b w:val="0"/>
          <w:bCs w:val="0"/>
          <w:sz w:val="32"/>
          <w:szCs w:val="32"/>
          <w:lang w:val="en-US" w:eastAsia="zh-CN"/>
        </w:rPr>
        <w:t>90%</w:t>
      </w:r>
      <w:r>
        <w:rPr>
          <w:rFonts w:hint="eastAsia" w:ascii="Times New Roman" w:hAnsi="Times New Roman" w:eastAsia="仿宋_GB2312" w:cs="Times New Roman"/>
          <w:b w:val="0"/>
          <w:bCs w:val="0"/>
          <w:sz w:val="32"/>
          <w:szCs w:val="32"/>
          <w:lang w:val="en-US" w:eastAsia="zh-CN"/>
        </w:rPr>
        <w:t>以上</w:t>
      </w:r>
      <w:r>
        <w:rPr>
          <w:rFonts w:hint="default" w:ascii="Times New Roman" w:hAnsi="Times New Roman" w:eastAsia="仿宋_GB2312" w:cs="Times New Roman"/>
          <w:b w:val="0"/>
          <w:bCs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val="0"/>
          <w:bCs w:val="0"/>
          <w:color w:val="auto"/>
          <w:sz w:val="32"/>
          <w:szCs w:val="32"/>
          <w:lang w:val="en-US" w:eastAsia="zh-CN"/>
        </w:rPr>
        <w:t>10．</w:t>
      </w:r>
      <w:r>
        <w:rPr>
          <w:rFonts w:hint="default" w:ascii="Times New Roman" w:hAnsi="Times New Roman" w:eastAsia="仿宋_GB2312" w:cs="Times New Roman"/>
          <w:b w:val="0"/>
          <w:bCs w:val="0"/>
          <w:color w:val="auto"/>
          <w:sz w:val="32"/>
          <w:szCs w:val="32"/>
          <w:lang w:val="zh-CN" w:eastAsia="zh-CN"/>
        </w:rPr>
        <w:t>中医药健康管理服务。</w:t>
      </w:r>
      <w:r>
        <w:rPr>
          <w:rFonts w:hint="default" w:ascii="Times New Roman" w:hAnsi="Times New Roman" w:eastAsia="仿宋_GB2312" w:cs="Times New Roman"/>
          <w:b w:val="0"/>
          <w:bCs w:val="0"/>
          <w:sz w:val="32"/>
          <w:szCs w:val="32"/>
          <w:lang w:val="zh-CN"/>
        </w:rPr>
        <w:t>完成65岁及以上老年人</w:t>
      </w:r>
      <w:r>
        <w:rPr>
          <w:rFonts w:hint="default" w:ascii="Times New Roman" w:hAnsi="Times New Roman" w:eastAsia="仿宋_GB2312" w:cs="Times New Roman"/>
          <w:b w:val="0"/>
          <w:bCs w:val="0"/>
          <w:sz w:val="32"/>
          <w:szCs w:val="32"/>
        </w:rPr>
        <w:t>中医药健康管理</w:t>
      </w:r>
      <w:r>
        <w:rPr>
          <w:rFonts w:hint="default" w:ascii="Times New Roman" w:hAnsi="Times New Roman" w:eastAsia="仿宋_GB2312" w:cs="Times New Roman"/>
          <w:b w:val="0"/>
          <w:bCs w:val="0"/>
          <w:sz w:val="32"/>
          <w:szCs w:val="32"/>
          <w:lang w:val="en-US" w:eastAsia="zh-CN"/>
        </w:rPr>
        <w:t>91945</w:t>
      </w:r>
      <w:r>
        <w:rPr>
          <w:rFonts w:hint="default" w:ascii="Times New Roman" w:hAnsi="Times New Roman" w:eastAsia="仿宋_GB2312" w:cs="Times New Roman"/>
          <w:b w:val="0"/>
          <w:bCs w:val="0"/>
          <w:sz w:val="32"/>
          <w:szCs w:val="32"/>
          <w:lang w:val="zh-CN"/>
        </w:rPr>
        <w:t>人，管理率</w:t>
      </w:r>
      <w:r>
        <w:rPr>
          <w:rFonts w:hint="default" w:ascii="Times New Roman" w:hAnsi="Times New Roman" w:eastAsia="仿宋_GB2312" w:cs="Times New Roman"/>
          <w:b w:val="0"/>
          <w:bCs w:val="0"/>
          <w:sz w:val="32"/>
          <w:szCs w:val="32"/>
        </w:rPr>
        <w:t>7</w:t>
      </w:r>
      <w:r>
        <w:rPr>
          <w:rFonts w:hint="default" w:ascii="Times New Roman" w:hAnsi="Times New Roman" w:eastAsia="仿宋_GB2312" w:cs="Times New Roman"/>
          <w:b w:val="0"/>
          <w:bCs w:val="0"/>
          <w:sz w:val="32"/>
          <w:szCs w:val="32"/>
          <w:lang w:val="en-US" w:eastAsia="zh-CN"/>
        </w:rPr>
        <w:t>5.88</w:t>
      </w:r>
      <w:r>
        <w:rPr>
          <w:rFonts w:hint="default" w:ascii="Times New Roman" w:hAnsi="Times New Roman" w:eastAsia="仿宋_GB2312" w:cs="Times New Roman"/>
          <w:b w:val="0"/>
          <w:bCs w:val="0"/>
          <w:sz w:val="32"/>
          <w:szCs w:val="32"/>
          <w:lang w:val="zh-CN"/>
        </w:rPr>
        <w:t>%。0-36个月儿童中医药健康管理</w:t>
      </w:r>
      <w:r>
        <w:rPr>
          <w:rFonts w:hint="default" w:ascii="Times New Roman" w:hAnsi="Times New Roman" w:eastAsia="仿宋_GB2312" w:cs="Times New Roman"/>
          <w:b w:val="0"/>
          <w:bCs w:val="0"/>
          <w:sz w:val="32"/>
          <w:szCs w:val="32"/>
          <w:lang w:val="en-US" w:eastAsia="zh-CN"/>
        </w:rPr>
        <w:t>15654</w:t>
      </w:r>
      <w:r>
        <w:rPr>
          <w:rFonts w:hint="default" w:ascii="Times New Roman" w:hAnsi="Times New Roman" w:eastAsia="仿宋_GB2312" w:cs="Times New Roman"/>
          <w:b w:val="0"/>
          <w:bCs w:val="0"/>
          <w:sz w:val="32"/>
          <w:szCs w:val="32"/>
          <w:lang w:val="zh-CN"/>
        </w:rPr>
        <w:t>人，管理率</w:t>
      </w:r>
      <w:r>
        <w:rPr>
          <w:rFonts w:hint="default" w:ascii="Times New Roman" w:hAnsi="Times New Roman" w:eastAsia="仿宋_GB2312" w:cs="Times New Roman"/>
          <w:b w:val="0"/>
          <w:bCs w:val="0"/>
          <w:sz w:val="32"/>
          <w:szCs w:val="32"/>
          <w:lang w:val="en-US" w:eastAsia="zh-CN"/>
        </w:rPr>
        <w:t>88.69</w:t>
      </w:r>
      <w:r>
        <w:rPr>
          <w:rFonts w:hint="default" w:ascii="Times New Roman" w:hAnsi="Times New Roman" w:eastAsia="仿宋_GB2312" w:cs="Times New Roman"/>
          <w:b w:val="0"/>
          <w:bCs w:val="0"/>
          <w:sz w:val="32"/>
          <w:szCs w:val="32"/>
          <w:lang w:val="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color w:val="auto"/>
          <w:sz w:val="32"/>
          <w:szCs w:val="32"/>
          <w:lang w:val="en-US" w:eastAsia="zh-CN"/>
        </w:rPr>
        <w:t>11．传染病及突发公共卫生事件报告和处理服务。</w:t>
      </w:r>
      <w:r>
        <w:rPr>
          <w:rFonts w:hint="default" w:ascii="Times New Roman" w:hAnsi="Times New Roman" w:eastAsia="仿宋_GB2312" w:cs="Times New Roman"/>
          <w:b w:val="0"/>
          <w:bCs w:val="0"/>
          <w:sz w:val="32"/>
          <w:szCs w:val="32"/>
          <w:lang w:val="en-US" w:eastAsia="zh-CN"/>
        </w:rPr>
        <w:t>全县</w:t>
      </w:r>
      <w:r>
        <w:rPr>
          <w:rFonts w:hint="default" w:ascii="Times New Roman" w:hAnsi="Times New Roman" w:eastAsia="仿宋_GB2312" w:cs="Times New Roman"/>
          <w:b w:val="0"/>
          <w:bCs w:val="0"/>
          <w:sz w:val="32"/>
          <w:szCs w:val="32"/>
        </w:rPr>
        <w:t>突发公共卫生事件及相关信息报告报告率、及时率、处置率</w:t>
      </w:r>
      <w:r>
        <w:rPr>
          <w:rFonts w:hint="default" w:ascii="Times New Roman" w:hAnsi="Times New Roman" w:eastAsia="仿宋_GB2312" w:cs="Times New Roman"/>
          <w:b w:val="0"/>
          <w:bCs w:val="0"/>
          <w:sz w:val="32"/>
          <w:szCs w:val="32"/>
          <w:lang w:val="en-US" w:eastAsia="zh-CN"/>
        </w:rPr>
        <w:t>均为</w:t>
      </w:r>
      <w:r>
        <w:rPr>
          <w:rFonts w:hint="default" w:ascii="Times New Roman" w:hAnsi="Times New Roman" w:eastAsia="仿宋_GB2312" w:cs="Times New Roman"/>
          <w:b w:val="0"/>
          <w:bCs w:val="0"/>
          <w:sz w:val="32"/>
          <w:szCs w:val="32"/>
        </w:rPr>
        <w:t>100%。</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cs="Times New Roman"/>
          <w:lang w:val="en-US" w:eastAsia="zh-CN"/>
        </w:rPr>
      </w:pPr>
      <w:r>
        <w:rPr>
          <w:rFonts w:hint="default" w:ascii="Times New Roman" w:hAnsi="Times New Roman" w:eastAsia="仿宋_GB2312" w:cs="Times New Roman"/>
          <w:b w:val="0"/>
          <w:bCs w:val="0"/>
          <w:color w:val="auto"/>
          <w:sz w:val="32"/>
          <w:szCs w:val="32"/>
          <w:lang w:val="en-US" w:eastAsia="zh-CN"/>
        </w:rPr>
        <w:t>12．卫生计生监督协管服务。</w:t>
      </w:r>
      <w:r>
        <w:rPr>
          <w:rFonts w:hint="default" w:ascii="Times New Roman" w:hAnsi="Times New Roman" w:eastAsia="仿宋_GB2312" w:cs="Times New Roman"/>
          <w:b w:val="0"/>
          <w:bCs w:val="0"/>
          <w:sz w:val="32"/>
          <w:szCs w:val="32"/>
        </w:rPr>
        <w:t>对辖区内</w:t>
      </w:r>
      <w:r>
        <w:rPr>
          <w:rFonts w:hint="default" w:ascii="Times New Roman" w:hAnsi="Times New Roman" w:eastAsia="仿宋_GB2312" w:cs="Times New Roman"/>
          <w:b w:val="0"/>
          <w:bCs w:val="0"/>
          <w:sz w:val="32"/>
          <w:szCs w:val="32"/>
          <w:lang w:val="en-US" w:eastAsia="zh-CN"/>
        </w:rPr>
        <w:t>991</w:t>
      </w:r>
      <w:r>
        <w:rPr>
          <w:rFonts w:hint="default" w:ascii="Times New Roman" w:hAnsi="Times New Roman" w:eastAsia="仿宋_GB2312" w:cs="Times New Roman"/>
          <w:b w:val="0"/>
          <w:bCs w:val="0"/>
          <w:sz w:val="32"/>
          <w:szCs w:val="32"/>
        </w:rPr>
        <w:t>家协管对象进行</w:t>
      </w:r>
      <w:r>
        <w:rPr>
          <w:rFonts w:hint="default" w:ascii="Times New Roman" w:hAnsi="Times New Roman" w:eastAsia="仿宋_GB2312" w:cs="Times New Roman"/>
          <w:b w:val="0"/>
          <w:bCs w:val="0"/>
          <w:sz w:val="32"/>
          <w:szCs w:val="32"/>
          <w:lang w:val="zh-CN"/>
        </w:rPr>
        <w:t>了巡查，</w:t>
      </w:r>
      <w:r>
        <w:rPr>
          <w:rFonts w:hint="default" w:ascii="Times New Roman" w:hAnsi="Times New Roman" w:eastAsia="仿宋_GB2312" w:cs="Times New Roman"/>
          <w:b w:val="0"/>
          <w:bCs w:val="0"/>
          <w:sz w:val="32"/>
          <w:szCs w:val="32"/>
        </w:rPr>
        <w:t>巡</w:t>
      </w:r>
      <w:r>
        <w:rPr>
          <w:rFonts w:hint="default" w:ascii="Times New Roman" w:hAnsi="Times New Roman" w:eastAsia="仿宋_GB2312" w:cs="Times New Roman"/>
          <w:b w:val="0"/>
          <w:bCs w:val="0"/>
          <w:sz w:val="32"/>
          <w:szCs w:val="32"/>
          <w:lang w:eastAsia="zh-CN"/>
        </w:rPr>
        <w:t>查</w:t>
      </w:r>
      <w:r>
        <w:rPr>
          <w:rFonts w:hint="default" w:ascii="Times New Roman" w:hAnsi="Times New Roman" w:eastAsia="仿宋_GB2312" w:cs="Times New Roman"/>
          <w:b w:val="0"/>
          <w:bCs w:val="0"/>
          <w:sz w:val="32"/>
          <w:szCs w:val="32"/>
          <w:lang w:val="en-US" w:eastAsia="zh-CN"/>
        </w:rPr>
        <w:t>3604</w:t>
      </w:r>
      <w:r>
        <w:rPr>
          <w:rFonts w:hint="default" w:ascii="Times New Roman" w:hAnsi="Times New Roman" w:eastAsia="仿宋_GB2312" w:cs="Times New Roman"/>
          <w:b w:val="0"/>
          <w:bCs w:val="0"/>
          <w:sz w:val="32"/>
          <w:szCs w:val="32"/>
        </w:rPr>
        <w:t>次，报告信息4</w:t>
      </w:r>
      <w:r>
        <w:rPr>
          <w:rFonts w:hint="default" w:ascii="Times New Roman" w:hAnsi="Times New Roman" w:eastAsia="仿宋_GB2312" w:cs="Times New Roman"/>
          <w:b w:val="0"/>
          <w:bCs w:val="0"/>
          <w:sz w:val="32"/>
          <w:szCs w:val="32"/>
          <w:lang w:val="en-US" w:eastAsia="zh-CN"/>
        </w:rPr>
        <w:t>84</w:t>
      </w:r>
      <w:r>
        <w:rPr>
          <w:rFonts w:hint="default" w:ascii="Times New Roman" w:hAnsi="Times New Roman" w:eastAsia="仿宋_GB2312" w:cs="Times New Roman"/>
          <w:b w:val="0"/>
          <w:bCs w:val="0"/>
          <w:sz w:val="32"/>
          <w:szCs w:val="32"/>
        </w:rPr>
        <w:t>条</w:t>
      </w:r>
      <w:r>
        <w:rPr>
          <w:rFonts w:hint="default" w:ascii="Times New Roman" w:hAnsi="Times New Roman" w:eastAsia="仿宋_GB2312" w:cs="Times New Roman"/>
          <w:b w:val="0"/>
          <w:bCs w:val="0"/>
          <w:sz w:val="32"/>
          <w:szCs w:val="32"/>
          <w:lang w:eastAsia="zh-CN"/>
        </w:rPr>
        <w:t>，报告率</w:t>
      </w:r>
      <w:r>
        <w:rPr>
          <w:rFonts w:hint="default" w:ascii="Times New Roman" w:hAnsi="Times New Roman" w:eastAsia="仿宋_GB2312" w:cs="Times New Roman"/>
          <w:b w:val="0"/>
          <w:bCs w:val="0"/>
          <w:sz w:val="32"/>
          <w:szCs w:val="32"/>
          <w:lang w:val="en-US" w:eastAsia="zh-CN"/>
        </w:rPr>
        <w:t>100%</w:t>
      </w:r>
      <w:r>
        <w:rPr>
          <w:rFonts w:hint="default" w:ascii="Times New Roman" w:hAnsi="Times New Roman" w:eastAsia="仿宋_GB2312" w:cs="Times New Roman"/>
          <w:b w:val="0"/>
          <w:bCs w:val="0"/>
          <w:sz w:val="32"/>
          <w:szCs w:val="32"/>
        </w:rPr>
        <w:t>。</w:t>
      </w:r>
    </w:p>
    <w:p>
      <w:pPr>
        <w:spacing w:line="580" w:lineRule="exact"/>
        <w:ind w:firstLine="630"/>
        <w:rPr>
          <w:rFonts w:hint="default" w:ascii="Times New Roman" w:hAnsi="Times New Roman" w:cs="Times New Roman"/>
          <w:lang w:val="en-US" w:eastAsia="zh-CN"/>
        </w:rPr>
      </w:pPr>
      <w:r>
        <w:rPr>
          <w:rFonts w:hint="default" w:ascii="Times New Roman" w:hAnsi="Times New Roman" w:eastAsia="黑体" w:cs="Times New Roman"/>
          <w:color w:val="000000"/>
          <w:kern w:val="0"/>
          <w:sz w:val="32"/>
          <w:szCs w:val="32"/>
        </w:rPr>
        <w:t>三、主要经验及做法</w:t>
      </w:r>
    </w:p>
    <w:p>
      <w:pPr>
        <w:keepNext w:val="0"/>
        <w:keepLines w:val="0"/>
        <w:pageBreakBefore w:val="0"/>
        <w:widowControl w:val="0"/>
        <w:numPr>
          <w:ilvl w:val="0"/>
          <w:numId w:val="0"/>
        </w:numPr>
        <w:kinsoku/>
        <w:wordWrap/>
        <w:overflowPunct/>
        <w:topLinePunct w:val="0"/>
        <w:bidi w:val="0"/>
        <w:adjustRightInd/>
        <w:snapToGrid/>
        <w:spacing w:line="594" w:lineRule="exact"/>
        <w:ind w:firstLine="420"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lang w:val="en-US" w:eastAsia="zh-CN"/>
        </w:rPr>
        <w:t xml:space="preserve">  </w:t>
      </w:r>
      <w:r>
        <w:rPr>
          <w:rFonts w:hint="default" w:ascii="Times New Roman" w:hAnsi="Times New Roman" w:eastAsia="楷体_GB2312" w:cs="Times New Roman"/>
          <w:b w:val="0"/>
          <w:bCs/>
          <w:color w:val="000000"/>
          <w:sz w:val="32"/>
          <w:szCs w:val="32"/>
          <w:lang w:eastAsia="zh-CN"/>
        </w:rPr>
        <w:t>（一）</w:t>
      </w:r>
      <w:r>
        <w:rPr>
          <w:rFonts w:hint="default" w:ascii="Times New Roman" w:hAnsi="Times New Roman" w:eastAsia="楷体_GB2312" w:cs="Times New Roman"/>
          <w:sz w:val="32"/>
          <w:szCs w:val="32"/>
          <w:lang w:eastAsia="zh-CN"/>
        </w:rPr>
        <w:t>组织管理更加健全。</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1. 持续健全公共卫生服务体系。</w:t>
      </w:r>
      <w:r>
        <w:rPr>
          <w:rFonts w:hint="default" w:ascii="Times New Roman" w:hAnsi="Times New Roman" w:eastAsia="仿宋_GB2312" w:cs="Times New Roman"/>
          <w:color w:val="000000"/>
          <w:sz w:val="32"/>
          <w:szCs w:val="32"/>
        </w:rPr>
        <w:t>县</w:t>
      </w:r>
      <w:r>
        <w:rPr>
          <w:rFonts w:hint="default" w:ascii="Times New Roman" w:hAnsi="Times New Roman" w:eastAsia="仿宋_GB2312" w:cs="Times New Roman"/>
          <w:color w:val="000000"/>
          <w:sz w:val="32"/>
          <w:szCs w:val="32"/>
          <w:lang w:val="en-US" w:eastAsia="zh-CN"/>
        </w:rPr>
        <w:t>级</w:t>
      </w:r>
      <w:r>
        <w:rPr>
          <w:rFonts w:hint="default" w:ascii="Times New Roman" w:hAnsi="Times New Roman" w:eastAsia="仿宋_GB2312" w:cs="Times New Roman"/>
          <w:color w:val="000000"/>
          <w:sz w:val="32"/>
          <w:szCs w:val="32"/>
        </w:rPr>
        <w:t>成立了基本</w:t>
      </w:r>
      <w:r>
        <w:rPr>
          <w:rFonts w:hint="default" w:ascii="Times New Roman" w:hAnsi="Times New Roman" w:eastAsia="仿宋_GB2312" w:cs="Times New Roman"/>
          <w:color w:val="000000"/>
          <w:sz w:val="32"/>
          <w:szCs w:val="32"/>
          <w:lang w:eastAsia="zh-CN"/>
        </w:rPr>
        <w:t>公共卫生</w:t>
      </w:r>
      <w:r>
        <w:rPr>
          <w:rFonts w:hint="default" w:ascii="Times New Roman" w:hAnsi="Times New Roman" w:eastAsia="仿宋_GB2312" w:cs="Times New Roman"/>
          <w:color w:val="000000"/>
          <w:sz w:val="32"/>
          <w:szCs w:val="32"/>
        </w:rPr>
        <w:t>服务项目领导小组，</w:t>
      </w:r>
      <w:r>
        <w:rPr>
          <w:rFonts w:hint="default" w:ascii="Times New Roman" w:hAnsi="Times New Roman" w:eastAsia="仿宋_GB2312" w:cs="Times New Roman"/>
          <w:sz w:val="32"/>
          <w:szCs w:val="32"/>
        </w:rPr>
        <w:t>县卫</w:t>
      </w:r>
      <w:r>
        <w:rPr>
          <w:rFonts w:hint="default" w:ascii="Times New Roman" w:hAnsi="Times New Roman" w:eastAsia="仿宋_GB2312" w:cs="Times New Roman"/>
          <w:sz w:val="32"/>
          <w:szCs w:val="32"/>
          <w:lang w:val="en-US" w:eastAsia="zh-CN"/>
        </w:rPr>
        <w:t>健</w:t>
      </w:r>
      <w:r>
        <w:rPr>
          <w:rFonts w:hint="default" w:ascii="Times New Roman" w:hAnsi="Times New Roman" w:eastAsia="仿宋_GB2312" w:cs="Times New Roman"/>
          <w:sz w:val="32"/>
          <w:szCs w:val="32"/>
        </w:rPr>
        <w:t>局</w:t>
      </w:r>
      <w:r>
        <w:rPr>
          <w:rFonts w:hint="default" w:ascii="Times New Roman" w:hAnsi="Times New Roman" w:eastAsia="仿宋_GB2312" w:cs="Times New Roman"/>
          <w:sz w:val="32"/>
          <w:szCs w:val="32"/>
          <w:lang w:eastAsia="zh-CN"/>
        </w:rPr>
        <w:t>组建了系统内部的领导机构，</w:t>
      </w:r>
      <w:r>
        <w:rPr>
          <w:rFonts w:hint="default" w:ascii="Times New Roman" w:hAnsi="Times New Roman" w:eastAsia="仿宋_GB2312" w:cs="Times New Roman"/>
          <w:color w:val="000000"/>
          <w:kern w:val="0"/>
          <w:sz w:val="32"/>
          <w:szCs w:val="32"/>
          <w:lang w:eastAsia="zh-CN"/>
        </w:rPr>
        <w:t>县级公卫指导单位</w:t>
      </w:r>
      <w:r>
        <w:rPr>
          <w:rFonts w:hint="default" w:ascii="Times New Roman" w:hAnsi="Times New Roman" w:eastAsia="仿宋_GB2312" w:cs="Times New Roman"/>
          <w:color w:val="000000"/>
          <w:kern w:val="0"/>
          <w:sz w:val="32"/>
          <w:szCs w:val="32"/>
          <w:lang w:val="en-US" w:eastAsia="zh-CN"/>
        </w:rPr>
        <w:t>明确了基本公卫指导科室</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乡镇卫生院设立了公卫职能科室，村级</w:t>
      </w:r>
      <w:r>
        <w:rPr>
          <w:rFonts w:hint="default" w:ascii="Times New Roman" w:hAnsi="Times New Roman" w:eastAsia="仿宋_GB2312" w:cs="Times New Roman"/>
          <w:sz w:val="32"/>
          <w:szCs w:val="32"/>
          <w:lang w:val="en-US" w:eastAsia="zh-CN"/>
        </w:rPr>
        <w:t>组建了公共卫生委员会，基本</w:t>
      </w:r>
      <w:r>
        <w:rPr>
          <w:rFonts w:hint="default" w:ascii="Times New Roman" w:hAnsi="Times New Roman" w:eastAsia="仿宋_GB2312" w:cs="Times New Roman"/>
          <w:sz w:val="32"/>
          <w:szCs w:val="32"/>
        </w:rPr>
        <w:t>形成了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党委政府领导、部门分工协作、专业机构业务指导、基层机构具体落实</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的分工协作机制。</w:t>
      </w:r>
      <w:r>
        <w:rPr>
          <w:rFonts w:hint="default" w:ascii="Times New Roman" w:hAnsi="Times New Roman" w:eastAsia="仿宋_GB2312" w:cs="Times New Roman"/>
          <w:sz w:val="32"/>
          <w:szCs w:val="32"/>
          <w:lang w:eastAsia="zh-CN"/>
        </w:rPr>
        <w:t>同时</w:t>
      </w:r>
      <w:r>
        <w:rPr>
          <w:rFonts w:hint="default" w:ascii="Times New Roman" w:hAnsi="Times New Roman" w:eastAsia="仿宋_GB2312" w:cs="Times New Roman"/>
          <w:sz w:val="32"/>
          <w:szCs w:val="32"/>
          <w:lang w:val="en-US" w:eastAsia="zh-CN"/>
        </w:rPr>
        <w:t>县、乡镇两级都</w:t>
      </w:r>
      <w:r>
        <w:rPr>
          <w:rFonts w:hint="default" w:ascii="Times New Roman" w:hAnsi="Times New Roman" w:eastAsia="仿宋_GB2312" w:cs="Times New Roman"/>
          <w:sz w:val="32"/>
          <w:szCs w:val="32"/>
        </w:rPr>
        <w:t>将基本</w:t>
      </w:r>
      <w:r>
        <w:rPr>
          <w:rFonts w:hint="default" w:ascii="Times New Roman" w:hAnsi="Times New Roman" w:eastAsia="仿宋_GB2312" w:cs="Times New Roman"/>
          <w:sz w:val="32"/>
          <w:szCs w:val="32"/>
          <w:lang w:eastAsia="zh-CN"/>
        </w:rPr>
        <w:t>公共卫生服务</w:t>
      </w:r>
      <w:r>
        <w:rPr>
          <w:rFonts w:hint="default" w:ascii="Times New Roman" w:hAnsi="Times New Roman" w:eastAsia="仿宋_GB2312" w:cs="Times New Roman"/>
          <w:sz w:val="32"/>
          <w:szCs w:val="32"/>
        </w:rPr>
        <w:t>工作</w:t>
      </w:r>
      <w:r>
        <w:rPr>
          <w:rFonts w:hint="default" w:ascii="Times New Roman" w:hAnsi="Times New Roman" w:eastAsia="仿宋_GB2312" w:cs="Times New Roman"/>
          <w:sz w:val="32"/>
          <w:szCs w:val="32"/>
          <w:lang w:val="en-US" w:eastAsia="zh-CN"/>
        </w:rPr>
        <w:t>分别</w:t>
      </w:r>
      <w:r>
        <w:rPr>
          <w:rFonts w:hint="default" w:ascii="Times New Roman" w:hAnsi="Times New Roman" w:eastAsia="仿宋_GB2312" w:cs="Times New Roman"/>
          <w:sz w:val="32"/>
          <w:szCs w:val="32"/>
        </w:rPr>
        <w:t>纳入</w:t>
      </w:r>
      <w:r>
        <w:rPr>
          <w:rFonts w:hint="default" w:ascii="Times New Roman" w:hAnsi="Times New Roman" w:eastAsia="仿宋_GB2312" w:cs="Times New Roman"/>
          <w:sz w:val="32"/>
          <w:szCs w:val="32"/>
          <w:lang w:val="en-US" w:eastAsia="zh-CN"/>
        </w:rPr>
        <w:t>了乡镇、</w:t>
      </w:r>
      <w:r>
        <w:rPr>
          <w:rFonts w:hint="default" w:ascii="Times New Roman" w:hAnsi="Times New Roman" w:eastAsia="仿宋_GB2312" w:cs="Times New Roman"/>
          <w:sz w:val="32"/>
          <w:szCs w:val="32"/>
        </w:rPr>
        <w:t>村</w:t>
      </w:r>
      <w:r>
        <w:rPr>
          <w:rFonts w:hint="default" w:ascii="Times New Roman" w:hAnsi="Times New Roman" w:eastAsia="仿宋_GB2312" w:cs="Times New Roman"/>
          <w:sz w:val="32"/>
          <w:szCs w:val="32"/>
          <w:lang w:val="en-US" w:eastAsia="zh-CN"/>
        </w:rPr>
        <w:t>两级</w:t>
      </w:r>
      <w:r>
        <w:rPr>
          <w:rFonts w:hint="default" w:ascii="Times New Roman" w:hAnsi="Times New Roman" w:eastAsia="仿宋_GB2312" w:cs="Times New Roman"/>
          <w:sz w:val="32"/>
          <w:szCs w:val="32"/>
        </w:rPr>
        <w:t>绩效考核</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增强了协调联动和工作效能</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auto"/>
          <w:sz w:val="32"/>
          <w:szCs w:val="32"/>
          <w:lang w:val="en-US" w:eastAsia="zh-CN"/>
        </w:rPr>
        <w:t xml:space="preserve">2. </w:t>
      </w:r>
      <w:r>
        <w:rPr>
          <w:rFonts w:hint="default" w:ascii="Times New Roman" w:hAnsi="Times New Roman" w:eastAsia="仿宋_GB2312" w:cs="Times New Roman"/>
          <w:color w:val="auto"/>
          <w:sz w:val="32"/>
          <w:szCs w:val="32"/>
          <w:lang w:eastAsia="zh-CN"/>
        </w:rPr>
        <w:t>持续加强公共卫生</w:t>
      </w:r>
      <w:r>
        <w:rPr>
          <w:rFonts w:hint="default" w:ascii="Times New Roman" w:hAnsi="Times New Roman" w:eastAsia="仿宋_GB2312" w:cs="Times New Roman"/>
          <w:color w:val="auto"/>
          <w:sz w:val="32"/>
          <w:szCs w:val="32"/>
        </w:rPr>
        <w:t>队伍</w:t>
      </w:r>
      <w:r>
        <w:rPr>
          <w:rFonts w:hint="default" w:ascii="Times New Roman" w:hAnsi="Times New Roman" w:eastAsia="仿宋_GB2312" w:cs="Times New Roman"/>
          <w:color w:val="auto"/>
          <w:sz w:val="32"/>
          <w:szCs w:val="32"/>
          <w:lang w:eastAsia="zh-CN"/>
        </w:rPr>
        <w:t>配备</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sz w:val="32"/>
          <w:szCs w:val="32"/>
        </w:rPr>
        <w:t>县疾控中心等6个</w:t>
      </w:r>
      <w:r>
        <w:rPr>
          <w:rFonts w:hint="default" w:ascii="Times New Roman" w:hAnsi="Times New Roman" w:eastAsia="仿宋_GB2312" w:cs="Times New Roman"/>
          <w:sz w:val="32"/>
          <w:szCs w:val="32"/>
          <w:lang w:eastAsia="zh-CN"/>
        </w:rPr>
        <w:t>公卫指导</w:t>
      </w:r>
      <w:r>
        <w:rPr>
          <w:rFonts w:hint="default" w:ascii="Times New Roman" w:hAnsi="Times New Roman" w:eastAsia="仿宋_GB2312" w:cs="Times New Roman"/>
          <w:sz w:val="32"/>
          <w:szCs w:val="32"/>
        </w:rPr>
        <w:t>单位按照每</w:t>
      </w:r>
      <w:r>
        <w:rPr>
          <w:rFonts w:hint="default" w:ascii="Times New Roman" w:hAnsi="Times New Roman" w:eastAsia="仿宋_GB2312" w:cs="Times New Roman"/>
          <w:sz w:val="32"/>
          <w:szCs w:val="32"/>
          <w:lang w:eastAsia="zh-CN"/>
        </w:rPr>
        <w:t>项目至少</w:t>
      </w:r>
      <w:r>
        <w:rPr>
          <w:rFonts w:hint="default" w:ascii="Times New Roman" w:hAnsi="Times New Roman" w:eastAsia="仿宋_GB2312" w:cs="Times New Roman"/>
          <w:sz w:val="32"/>
          <w:szCs w:val="32"/>
        </w:rPr>
        <w:t>配备</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名</w:t>
      </w:r>
      <w:r>
        <w:rPr>
          <w:rFonts w:hint="default" w:ascii="Times New Roman" w:hAnsi="Times New Roman" w:eastAsia="仿宋_GB2312" w:cs="Times New Roman"/>
          <w:sz w:val="32"/>
          <w:szCs w:val="32"/>
          <w:lang w:eastAsia="zh-CN"/>
        </w:rPr>
        <w:t>专业技术人员的要求</w:t>
      </w:r>
      <w:r>
        <w:rPr>
          <w:rFonts w:hint="default" w:ascii="Times New Roman" w:hAnsi="Times New Roman" w:eastAsia="仿宋_GB2312" w:cs="Times New Roman"/>
          <w:sz w:val="32"/>
          <w:szCs w:val="32"/>
        </w:rPr>
        <w:t>，配强</w:t>
      </w:r>
      <w:r>
        <w:rPr>
          <w:rFonts w:hint="default" w:ascii="Times New Roman" w:hAnsi="Times New Roman" w:eastAsia="仿宋_GB2312" w:cs="Times New Roman"/>
          <w:sz w:val="32"/>
          <w:szCs w:val="32"/>
          <w:lang w:eastAsia="zh-CN"/>
        </w:rPr>
        <w:t>专业指导</w:t>
      </w:r>
      <w:r>
        <w:rPr>
          <w:rFonts w:hint="default" w:ascii="Times New Roman" w:hAnsi="Times New Roman" w:eastAsia="仿宋_GB2312" w:cs="Times New Roman"/>
          <w:sz w:val="32"/>
          <w:szCs w:val="32"/>
        </w:rPr>
        <w:t>人员</w:t>
      </w:r>
      <w:r>
        <w:rPr>
          <w:rFonts w:hint="default" w:ascii="Times New Roman" w:hAnsi="Times New Roman" w:eastAsia="仿宋_GB2312" w:cs="Times New Roman"/>
          <w:sz w:val="32"/>
          <w:szCs w:val="32"/>
          <w:lang w:val="en-US" w:eastAsia="zh-CN"/>
        </w:rPr>
        <w:t>38人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各乡镇卫生院按照每万人口配备3名公卫专干的要求，配</w:t>
      </w:r>
      <w:r>
        <w:rPr>
          <w:rFonts w:hint="default" w:ascii="Times New Roman" w:hAnsi="Times New Roman" w:eastAsia="仿宋_GB2312" w:cs="Times New Roman"/>
          <w:sz w:val="32"/>
          <w:szCs w:val="32"/>
          <w:lang w:eastAsia="zh-CN"/>
        </w:rPr>
        <w:t>备</w:t>
      </w:r>
      <w:r>
        <w:rPr>
          <w:rFonts w:hint="default" w:ascii="Times New Roman" w:hAnsi="Times New Roman" w:eastAsia="仿宋_GB2312" w:cs="Times New Roman"/>
          <w:sz w:val="32"/>
          <w:szCs w:val="32"/>
        </w:rPr>
        <w:t>公卫专干2</w:t>
      </w:r>
      <w:r>
        <w:rPr>
          <w:rFonts w:hint="default"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rPr>
        <w:t>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color w:val="auto"/>
          <w:sz w:val="32"/>
          <w:szCs w:val="32"/>
        </w:rPr>
        <w:t>注册备案的乡村医生 655 人，</w:t>
      </w:r>
      <w:r>
        <w:rPr>
          <w:rFonts w:hint="default" w:ascii="Times New Roman" w:hAnsi="Times New Roman" w:eastAsia="仿宋_GB2312" w:cs="Times New Roman"/>
          <w:color w:val="auto"/>
          <w:sz w:val="32"/>
          <w:szCs w:val="32"/>
          <w:lang w:eastAsia="zh-CN"/>
        </w:rPr>
        <w:t>从事公共卫生的</w:t>
      </w:r>
      <w:r>
        <w:rPr>
          <w:rFonts w:hint="default" w:ascii="Times New Roman" w:hAnsi="Times New Roman" w:eastAsia="仿宋_GB2312" w:cs="Times New Roman"/>
          <w:color w:val="auto"/>
          <w:sz w:val="32"/>
          <w:szCs w:val="32"/>
        </w:rPr>
        <w:t xml:space="preserve">乡村医生 </w:t>
      </w:r>
      <w:r>
        <w:rPr>
          <w:rFonts w:hint="default" w:ascii="Times New Roman" w:hAnsi="Times New Roman" w:eastAsia="仿宋_GB2312" w:cs="Times New Roman"/>
          <w:color w:val="auto"/>
          <w:sz w:val="32"/>
          <w:szCs w:val="32"/>
          <w:lang w:val="en-US" w:eastAsia="zh-CN"/>
        </w:rPr>
        <w:t>462</w:t>
      </w:r>
      <w:r>
        <w:rPr>
          <w:rFonts w:hint="default" w:ascii="Times New Roman" w:hAnsi="Times New Roman" w:eastAsia="仿宋_GB2312" w:cs="Times New Roman"/>
          <w:color w:val="auto"/>
          <w:sz w:val="32"/>
          <w:szCs w:val="32"/>
        </w:rPr>
        <w:t xml:space="preserve"> 人</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sz w:val="32"/>
          <w:szCs w:val="32"/>
          <w:lang w:val="en-US" w:eastAsia="zh-CN"/>
        </w:rPr>
        <w:t>2023年</w:t>
      </w:r>
      <w:r>
        <w:rPr>
          <w:rFonts w:hint="default" w:ascii="Times New Roman" w:hAnsi="Times New Roman" w:eastAsia="仿宋_GB2312" w:cs="Times New Roman"/>
          <w:b w:val="0"/>
          <w:bCs w:val="0"/>
          <w:sz w:val="32"/>
          <w:szCs w:val="32"/>
          <w:lang w:val="en-US" w:eastAsia="zh-CN"/>
        </w:rPr>
        <w:t>通过</w:t>
      </w:r>
      <w:r>
        <w:rPr>
          <w:rFonts w:hint="default" w:ascii="Times New Roman" w:hAnsi="Times New Roman" w:eastAsia="仿宋_GB2312" w:cs="Times New Roman"/>
          <w:sz w:val="32"/>
          <w:szCs w:val="32"/>
          <w:lang w:val="en-US" w:eastAsia="zh-CN"/>
        </w:rPr>
        <w:t>高职</w:t>
      </w:r>
      <w:r>
        <w:rPr>
          <w:rFonts w:hint="default" w:ascii="Times New Roman" w:hAnsi="Times New Roman" w:eastAsia="仿宋_GB2312" w:cs="Times New Roman"/>
          <w:b w:val="0"/>
          <w:bCs w:val="0"/>
          <w:sz w:val="32"/>
          <w:szCs w:val="32"/>
          <w:lang w:val="en-US" w:eastAsia="zh-CN"/>
        </w:rPr>
        <w:t>单招和高考，分别录取10人参加大专层次乡村医生本土化培养，基层医疗卫生机构本土化培养专科层次8人、本科4人，</w:t>
      </w:r>
      <w:r>
        <w:rPr>
          <w:rFonts w:hint="default" w:ascii="Times New Roman" w:hAnsi="Times New Roman" w:eastAsia="仿宋_GB2312" w:cs="Times New Roman"/>
          <w:sz w:val="32"/>
          <w:szCs w:val="32"/>
        </w:rPr>
        <w:t>严格进退机制，稳定</w:t>
      </w:r>
      <w:r>
        <w:rPr>
          <w:rFonts w:hint="default" w:ascii="Times New Roman" w:hAnsi="Times New Roman" w:eastAsia="仿宋_GB2312" w:cs="Times New Roman"/>
          <w:sz w:val="32"/>
          <w:szCs w:val="32"/>
          <w:lang w:eastAsia="zh-CN"/>
        </w:rPr>
        <w:t>和充实公共卫生</w:t>
      </w:r>
      <w:r>
        <w:rPr>
          <w:rFonts w:hint="default" w:ascii="Times New Roman" w:hAnsi="Times New Roman" w:eastAsia="仿宋_GB2312" w:cs="Times New Roman"/>
          <w:sz w:val="32"/>
          <w:szCs w:val="32"/>
        </w:rPr>
        <w:t>服务队伍。</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color w:val="auto"/>
          <w:spacing w:val="-6"/>
          <w:sz w:val="32"/>
          <w:szCs w:val="32"/>
        </w:rPr>
      </w:pPr>
      <w:r>
        <w:rPr>
          <w:rFonts w:hint="default" w:ascii="Times New Roman" w:hAnsi="Times New Roman" w:eastAsia="仿宋_GB2312" w:cs="Times New Roman"/>
          <w:color w:val="auto"/>
          <w:sz w:val="32"/>
          <w:szCs w:val="32"/>
          <w:lang w:val="en-US" w:eastAsia="zh-CN"/>
        </w:rPr>
        <w:t xml:space="preserve">3. </w:t>
      </w:r>
      <w:r>
        <w:rPr>
          <w:rFonts w:hint="default" w:ascii="Times New Roman" w:hAnsi="Times New Roman" w:eastAsia="仿宋_GB2312" w:cs="Times New Roman"/>
          <w:color w:val="auto"/>
          <w:sz w:val="32"/>
          <w:szCs w:val="32"/>
          <w:lang w:eastAsia="zh-CN"/>
        </w:rPr>
        <w:t>持续</w:t>
      </w:r>
      <w:r>
        <w:rPr>
          <w:rFonts w:hint="default" w:ascii="Times New Roman" w:hAnsi="Times New Roman" w:eastAsia="仿宋_GB2312" w:cs="Times New Roman"/>
          <w:color w:val="auto"/>
          <w:sz w:val="32"/>
          <w:szCs w:val="32"/>
          <w:lang w:val="en-US" w:eastAsia="zh-CN"/>
        </w:rPr>
        <w:t>提升基层医疗机构</w:t>
      </w:r>
      <w:r>
        <w:rPr>
          <w:rFonts w:hint="default" w:ascii="Times New Roman" w:hAnsi="Times New Roman" w:eastAsia="仿宋_GB2312" w:cs="Times New Roman"/>
          <w:color w:val="auto"/>
          <w:sz w:val="32"/>
          <w:szCs w:val="32"/>
        </w:rPr>
        <w:t>服务能力</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县局印发</w:t>
      </w:r>
      <w:r>
        <w:rPr>
          <w:rFonts w:hint="default" w:ascii="Times New Roman" w:hAnsi="Times New Roman" w:eastAsia="仿宋_GB2312" w:cs="Times New Roman"/>
          <w:color w:val="auto"/>
          <w:sz w:val="32"/>
          <w:szCs w:val="32"/>
        </w:rPr>
        <w:t>了</w:t>
      </w:r>
      <w:r>
        <w:rPr>
          <w:rFonts w:hint="default" w:ascii="Times New Roman" w:hAnsi="Times New Roman" w:eastAsia="仿宋_GB2312" w:cs="Times New Roman"/>
          <w:color w:val="auto"/>
          <w:sz w:val="32"/>
          <w:szCs w:val="32"/>
          <w:lang w:eastAsia="zh-CN"/>
        </w:rPr>
        <w:t>培训方案，印制了学习资料，开展了线上线下全员培训，</w:t>
      </w:r>
      <w:r>
        <w:rPr>
          <w:rFonts w:hint="default" w:ascii="Times New Roman" w:hAnsi="Times New Roman" w:eastAsia="仿宋_GB2312" w:cs="Times New Roman"/>
          <w:sz w:val="32"/>
          <w:szCs w:val="32"/>
          <w:lang w:val="en-US" w:eastAsia="zh-CN"/>
        </w:rPr>
        <w:t>组织了“云鹊医”“华医网”在线考试，完成了</w:t>
      </w:r>
      <w:r>
        <w:rPr>
          <w:rFonts w:hint="default" w:ascii="Times New Roman" w:hAnsi="Times New Roman" w:eastAsia="仿宋_GB2312" w:cs="Times New Roman"/>
          <w:color w:val="auto"/>
          <w:sz w:val="32"/>
          <w:szCs w:val="32"/>
          <w:lang w:val="en-US" w:eastAsia="zh-CN"/>
        </w:rPr>
        <w:t>一系列能力提升培训项目</w:t>
      </w:r>
      <w:r>
        <w:rPr>
          <w:rFonts w:hint="default" w:ascii="Times New Roman" w:hAnsi="Times New Roman" w:eastAsia="仿宋_GB2312" w:cs="Times New Roman"/>
          <w:sz w:val="32"/>
          <w:szCs w:val="32"/>
        </w:rPr>
        <w:t>。</w:t>
      </w:r>
      <w:r>
        <w:rPr>
          <w:rFonts w:hint="default" w:ascii="Times New Roman" w:hAnsi="Times New Roman" w:eastAsia="仿宋_GB2312" w:cs="Times New Roman"/>
          <w:bCs/>
          <w:color w:val="000000"/>
          <w:sz w:val="32"/>
          <w:szCs w:val="32"/>
        </w:rPr>
        <w:t>县级公卫指导单位在不断加强自身能力建设的同时，</w:t>
      </w:r>
      <w:r>
        <w:rPr>
          <w:rFonts w:hint="default" w:ascii="Times New Roman" w:hAnsi="Times New Roman" w:eastAsia="仿宋_GB2312" w:cs="Times New Roman"/>
          <w:bCs/>
          <w:color w:val="000000"/>
          <w:sz w:val="32"/>
          <w:szCs w:val="32"/>
          <w:lang w:val="en-US" w:eastAsia="zh-CN"/>
        </w:rPr>
        <w:t>积极实施同质化提升培训工程，</w:t>
      </w:r>
      <w:r>
        <w:rPr>
          <w:rFonts w:hint="default" w:ascii="Times New Roman" w:hAnsi="Times New Roman" w:eastAsia="仿宋_GB2312" w:cs="Times New Roman"/>
          <w:bCs/>
          <w:color w:val="000000"/>
          <w:sz w:val="32"/>
          <w:szCs w:val="32"/>
        </w:rPr>
        <w:t>加强了对基层</w:t>
      </w:r>
      <w:r>
        <w:rPr>
          <w:rFonts w:hint="default" w:ascii="Times New Roman" w:hAnsi="Times New Roman" w:eastAsia="仿宋_GB2312" w:cs="Times New Roman"/>
          <w:bCs/>
          <w:color w:val="000000"/>
          <w:sz w:val="32"/>
          <w:szCs w:val="32"/>
          <w:lang w:val="en-US" w:eastAsia="zh-CN"/>
        </w:rPr>
        <w:t>医务</w:t>
      </w:r>
      <w:r>
        <w:rPr>
          <w:rFonts w:hint="default" w:ascii="Times New Roman" w:hAnsi="Times New Roman" w:eastAsia="仿宋_GB2312" w:cs="Times New Roman"/>
          <w:bCs/>
          <w:color w:val="000000"/>
          <w:sz w:val="32"/>
          <w:szCs w:val="32"/>
        </w:rPr>
        <w:t>人员</w:t>
      </w:r>
      <w:r>
        <w:rPr>
          <w:rFonts w:hint="default" w:ascii="Times New Roman" w:hAnsi="Times New Roman" w:eastAsia="仿宋_GB2312" w:cs="Times New Roman"/>
          <w:bCs/>
          <w:color w:val="000000"/>
          <w:sz w:val="32"/>
          <w:szCs w:val="32"/>
          <w:lang w:val="en-US" w:eastAsia="zh-CN"/>
        </w:rPr>
        <w:t>的</w:t>
      </w:r>
      <w:r>
        <w:rPr>
          <w:rFonts w:hint="default" w:ascii="Times New Roman" w:hAnsi="Times New Roman" w:eastAsia="仿宋_GB2312" w:cs="Times New Roman"/>
          <w:bCs/>
          <w:color w:val="000000"/>
          <w:sz w:val="32"/>
          <w:szCs w:val="32"/>
        </w:rPr>
        <w:t>业务培训</w:t>
      </w:r>
      <w:r>
        <w:rPr>
          <w:rFonts w:hint="default" w:ascii="Times New Roman" w:hAnsi="Times New Roman" w:eastAsia="仿宋_GB2312" w:cs="Times New Roman"/>
          <w:bCs/>
          <w:color w:val="000000"/>
          <w:sz w:val="32"/>
          <w:szCs w:val="32"/>
          <w:lang w:val="en-US" w:eastAsia="zh-CN"/>
        </w:rPr>
        <w:t>和</w:t>
      </w:r>
      <w:r>
        <w:rPr>
          <w:rFonts w:hint="default" w:ascii="Times New Roman" w:hAnsi="Times New Roman" w:eastAsia="仿宋_GB2312" w:cs="Times New Roman"/>
          <w:bCs/>
          <w:color w:val="000000"/>
          <w:sz w:val="32"/>
          <w:szCs w:val="32"/>
        </w:rPr>
        <w:t>指导</w:t>
      </w:r>
      <w:r>
        <w:rPr>
          <w:rFonts w:hint="default" w:ascii="Times New Roman" w:hAnsi="Times New Roman" w:eastAsia="仿宋_GB2312" w:cs="Times New Roman"/>
          <w:bCs/>
          <w:color w:val="000000"/>
          <w:sz w:val="32"/>
          <w:szCs w:val="32"/>
          <w:lang w:eastAsia="zh-CN"/>
        </w:rPr>
        <w:t>。</w:t>
      </w:r>
      <w:r>
        <w:rPr>
          <w:rFonts w:hint="default" w:ascii="Times New Roman" w:hAnsi="Times New Roman" w:eastAsia="仿宋_GB2312" w:cs="Times New Roman"/>
          <w:color w:val="auto"/>
          <w:sz w:val="32"/>
          <w:szCs w:val="32"/>
        </w:rPr>
        <w:t>全县15所乡镇卫生院</w:t>
      </w:r>
      <w:r>
        <w:rPr>
          <w:rFonts w:hint="default" w:ascii="Times New Roman" w:hAnsi="Times New Roman" w:eastAsia="仿宋_GB2312" w:cs="Times New Roman"/>
          <w:color w:val="auto"/>
          <w:sz w:val="32"/>
          <w:szCs w:val="32"/>
          <w:lang w:val="en-US" w:eastAsia="zh-CN"/>
        </w:rPr>
        <w:t>通过“优质服务基层行”活动的开展，6所达</w:t>
      </w:r>
      <w:r>
        <w:rPr>
          <w:rFonts w:hint="default" w:ascii="Times New Roman" w:hAnsi="Times New Roman" w:eastAsia="仿宋_GB2312" w:cs="Times New Roman"/>
          <w:color w:val="auto"/>
          <w:spacing w:val="-6"/>
          <w:sz w:val="32"/>
          <w:szCs w:val="32"/>
          <w:lang w:val="en-US" w:eastAsia="zh-CN"/>
        </w:rPr>
        <w:t>到国家推荐标准，9所基本标准，基层医疗卫生服务能力不断提升</w:t>
      </w:r>
      <w:r>
        <w:rPr>
          <w:rFonts w:hint="default" w:ascii="Times New Roman"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仿宋_GB2312" w:cs="Times New Roman"/>
          <w:color w:val="auto"/>
          <w:sz w:val="32"/>
          <w:szCs w:val="32"/>
          <w:lang w:val="en-US" w:eastAsia="zh-CN"/>
        </w:rPr>
        <w:t>4. 持续开展公共卫生服务项目</w:t>
      </w:r>
      <w:r>
        <w:rPr>
          <w:rFonts w:hint="default" w:ascii="Times New Roman" w:hAnsi="Times New Roman" w:eastAsia="仿宋_GB2312" w:cs="Times New Roman"/>
          <w:sz w:val="32"/>
          <w:szCs w:val="32"/>
          <w:lang w:val="en-US" w:eastAsia="zh-CN"/>
        </w:rPr>
        <w:t>宣传</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b w:val="0"/>
          <w:bCs w:val="0"/>
          <w:kern w:val="2"/>
          <w:sz w:val="32"/>
          <w:szCs w:val="32"/>
          <w:lang w:val="en-US" w:eastAsia="zh-CN" w:bidi="ar-SA"/>
        </w:rPr>
        <w:t>开展了</w:t>
      </w:r>
      <w:r>
        <w:rPr>
          <w:rFonts w:hint="default" w:ascii="Times New Roman" w:hAnsi="Times New Roman" w:eastAsia="仿宋_GB2312" w:cs="Times New Roman"/>
          <w:sz w:val="32"/>
          <w:szCs w:val="32"/>
          <w:lang w:eastAsia="zh-CN"/>
        </w:rPr>
        <w:t>“进机关、进学校、进社区、进乡村、进家庭”为主题的“五进”活动</w:t>
      </w:r>
      <w:r>
        <w:rPr>
          <w:rFonts w:hint="default" w:ascii="Times New Roman" w:hAnsi="Times New Roman" w:eastAsia="仿宋_GB2312" w:cs="Times New Roman"/>
          <w:b w:val="0"/>
          <w:bCs w:val="0"/>
          <w:kern w:val="2"/>
          <w:sz w:val="32"/>
          <w:szCs w:val="32"/>
          <w:lang w:val="en-US" w:eastAsia="zh-CN" w:bidi="ar-SA"/>
        </w:rPr>
        <w:t>；通过</w:t>
      </w:r>
      <w:r>
        <w:rPr>
          <w:rFonts w:hint="default" w:ascii="Times New Roman" w:hAnsi="Times New Roman" w:eastAsia="仿宋_GB2312" w:cs="Times New Roman"/>
          <w:b w:val="0"/>
          <w:bCs/>
          <w:color w:val="auto"/>
          <w:spacing w:val="-6"/>
          <w:sz w:val="32"/>
          <w:szCs w:val="32"/>
          <w:lang w:val="en-US" w:eastAsia="zh-CN"/>
        </w:rPr>
        <w:t>“健康桃江”微信公众号，持续宣传基本公卫项目和新冠肺炎疫情常态化工作；在政府网站发布了多篇公共卫生服务材料；及时更新了人员密集区基本公卫项目专题宣传栏</w:t>
      </w:r>
      <w:r>
        <w:rPr>
          <w:rFonts w:hint="default" w:ascii="Times New Roman" w:hAnsi="Times New Roman" w:eastAsia="仿宋_GB2312" w:cs="Times New Roman"/>
          <w:sz w:val="32"/>
          <w:szCs w:val="32"/>
          <w:lang w:val="en-US" w:eastAsia="zh-CN"/>
        </w:rPr>
        <w:t>内容</w:t>
      </w:r>
      <w:r>
        <w:rPr>
          <w:rFonts w:hint="default" w:ascii="Times New Roman" w:hAnsi="Times New Roman" w:eastAsia="仿宋_GB2312" w:cs="Times New Roman"/>
          <w:b w:val="0"/>
          <w:bCs/>
          <w:color w:val="auto"/>
          <w:spacing w:val="-6"/>
          <w:sz w:val="32"/>
          <w:szCs w:val="32"/>
          <w:lang w:val="en-US" w:eastAsia="zh-CN"/>
        </w:rPr>
        <w:t>。乡镇卫生院</w:t>
      </w:r>
      <w:r>
        <w:rPr>
          <w:rFonts w:hint="default" w:ascii="Times New Roman" w:hAnsi="Times New Roman" w:eastAsia="仿宋_GB2312" w:cs="Times New Roman"/>
          <w:b w:val="0"/>
          <w:bCs w:val="0"/>
          <w:kern w:val="2"/>
          <w:sz w:val="32"/>
          <w:szCs w:val="32"/>
          <w:lang w:val="en-US" w:eastAsia="zh-CN" w:bidi="ar-SA"/>
        </w:rPr>
        <w:t>通过设置咨询台、更新宣传栏、张贴宣传画报、发放宣传折页、悬挂宣传横幅、制作宣传音频、流动宣传车、“村村通”等多种方式加强了项目宣传，提高了项目知晓率和满意度。</w:t>
      </w:r>
    </w:p>
    <w:p>
      <w:pPr>
        <w:keepNext w:val="0"/>
        <w:keepLines w:val="0"/>
        <w:pageBreakBefore w:val="0"/>
        <w:widowControl w:val="0"/>
        <w:kinsoku/>
        <w:wordWrap/>
        <w:overflowPunct/>
        <w:topLinePunct w:val="0"/>
        <w:bidi w:val="0"/>
        <w:spacing w:line="590" w:lineRule="exact"/>
        <w:ind w:firstLine="640" w:firstLineChars="200"/>
        <w:jc w:val="both"/>
        <w:textAlignment w:val="auto"/>
        <w:rPr>
          <w:rFonts w:hint="default" w:ascii="Times New Roman" w:hAnsi="Times New Roman" w:eastAsia="楷体_GB2312" w:cs="Times New Roman"/>
          <w:b w:val="0"/>
          <w:bCs/>
          <w:sz w:val="32"/>
          <w:szCs w:val="32"/>
          <w:lang w:eastAsia="zh-CN"/>
        </w:rPr>
      </w:pPr>
      <w:r>
        <w:rPr>
          <w:rFonts w:hint="default" w:ascii="Times New Roman" w:hAnsi="Times New Roman" w:eastAsia="楷体_GB2312" w:cs="Times New Roman"/>
          <w:b w:val="0"/>
          <w:bCs/>
          <w:sz w:val="32"/>
          <w:szCs w:val="32"/>
          <w:lang w:val="en-US" w:eastAsia="zh-CN"/>
        </w:rPr>
        <w:t>（二）管理运行全方位推进。</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楷体_GB2312" w:cs="Times New Roman"/>
          <w:b/>
          <w:bCs w:val="0"/>
          <w:kern w:val="2"/>
          <w:sz w:val="32"/>
          <w:szCs w:val="32"/>
          <w:lang w:val="en-US" w:eastAsia="zh-CN" w:bidi="ar-SA"/>
        </w:rPr>
      </w:pPr>
      <w:r>
        <w:rPr>
          <w:rFonts w:hint="default" w:ascii="Times New Roman" w:hAnsi="Times New Roman" w:eastAsia="仿宋_GB2312" w:cs="Times New Roman"/>
          <w:color w:val="auto"/>
          <w:sz w:val="32"/>
          <w:szCs w:val="32"/>
          <w:lang w:val="en-US" w:eastAsia="zh-CN"/>
        </w:rPr>
        <w:t>1. 强化管理，明确标准。</w:t>
      </w:r>
      <w:r>
        <w:rPr>
          <w:rFonts w:hint="default" w:ascii="Times New Roman" w:hAnsi="Times New Roman" w:eastAsia="仿宋_GB2312" w:cs="Times New Roman"/>
          <w:b w:val="0"/>
          <w:bCs w:val="0"/>
          <w:sz w:val="32"/>
          <w:szCs w:val="32"/>
          <w:lang w:val="en-US" w:eastAsia="zh-CN"/>
        </w:rPr>
        <w:t>印发了</w:t>
      </w:r>
      <w:r>
        <w:rPr>
          <w:rFonts w:hint="default" w:ascii="Times New Roman" w:hAnsi="Times New Roman" w:eastAsia="仿宋_GB2312" w:cs="Times New Roman"/>
          <w:sz w:val="32"/>
          <w:szCs w:val="32"/>
          <w:lang w:eastAsia="zh-CN"/>
        </w:rPr>
        <w:t>《关于做好</w:t>
      </w:r>
      <w:r>
        <w:rPr>
          <w:rFonts w:hint="default" w:ascii="Times New Roman" w:hAnsi="Times New Roman" w:eastAsia="仿宋_GB2312" w:cs="Times New Roman"/>
          <w:sz w:val="32"/>
          <w:szCs w:val="32"/>
          <w:lang w:val="en-US" w:eastAsia="zh-CN"/>
        </w:rPr>
        <w:t>2023年</w:t>
      </w:r>
      <w:r>
        <w:rPr>
          <w:rFonts w:hint="default" w:ascii="Times New Roman" w:hAnsi="Times New Roman" w:eastAsia="仿宋_GB2312" w:cs="Times New Roman"/>
          <w:sz w:val="32"/>
          <w:szCs w:val="32"/>
          <w:lang w:eastAsia="zh-CN"/>
        </w:rPr>
        <w:t>基本公共卫生服务项目的通知》《桃江县20</w:t>
      </w:r>
      <w:r>
        <w:rPr>
          <w:rFonts w:hint="default" w:ascii="Times New Roman" w:hAnsi="Times New Roman" w:eastAsia="仿宋_GB2312" w:cs="Times New Roman"/>
          <w:sz w:val="32"/>
          <w:szCs w:val="32"/>
          <w:lang w:val="en-US" w:eastAsia="zh-CN"/>
        </w:rPr>
        <w:t>23</w:t>
      </w:r>
      <w:r>
        <w:rPr>
          <w:rFonts w:hint="default" w:ascii="Times New Roman" w:hAnsi="Times New Roman" w:eastAsia="仿宋_GB2312" w:cs="Times New Roman"/>
          <w:sz w:val="32"/>
          <w:szCs w:val="32"/>
          <w:lang w:eastAsia="zh-CN"/>
        </w:rPr>
        <w:t>年基本公共卫生服务项目</w:t>
      </w:r>
      <w:r>
        <w:rPr>
          <w:rFonts w:hint="default" w:ascii="Times New Roman" w:hAnsi="Times New Roman" w:eastAsia="仿宋_GB2312" w:cs="Times New Roman"/>
          <w:sz w:val="32"/>
          <w:szCs w:val="32"/>
          <w:lang w:val="en-US" w:eastAsia="zh-CN"/>
        </w:rPr>
        <w:t>绩点制管理及资金分配</w:t>
      </w:r>
      <w:r>
        <w:rPr>
          <w:rFonts w:hint="default" w:ascii="Times New Roman" w:hAnsi="Times New Roman" w:eastAsia="仿宋_GB2312" w:cs="Times New Roman"/>
          <w:sz w:val="32"/>
          <w:szCs w:val="32"/>
          <w:lang w:eastAsia="zh-CN"/>
        </w:rPr>
        <w:t>方案》《桃江县</w:t>
      </w:r>
      <w:r>
        <w:rPr>
          <w:rFonts w:hint="default" w:ascii="Times New Roman" w:hAnsi="Times New Roman" w:eastAsia="仿宋_GB2312" w:cs="Times New Roman"/>
          <w:sz w:val="32"/>
          <w:szCs w:val="32"/>
          <w:lang w:val="en-US" w:eastAsia="zh-CN"/>
        </w:rPr>
        <w:t>2023年</w:t>
      </w:r>
      <w:r>
        <w:rPr>
          <w:rFonts w:hint="default" w:ascii="Times New Roman" w:hAnsi="Times New Roman" w:eastAsia="仿宋_GB2312" w:cs="Times New Roman"/>
          <w:sz w:val="32"/>
          <w:szCs w:val="32"/>
          <w:lang w:eastAsia="zh-CN"/>
        </w:rPr>
        <w:t>基本公共</w:t>
      </w:r>
      <w:r>
        <w:rPr>
          <w:rFonts w:hint="default" w:ascii="Times New Roman" w:hAnsi="Times New Roman" w:eastAsia="仿宋_GB2312" w:cs="Times New Roman"/>
          <w:sz w:val="32"/>
          <w:szCs w:val="32"/>
        </w:rPr>
        <w:t>卫生服务</w:t>
      </w:r>
      <w:r>
        <w:rPr>
          <w:rFonts w:hint="default" w:ascii="Times New Roman" w:hAnsi="Times New Roman" w:eastAsia="仿宋_GB2312" w:cs="Times New Roman"/>
          <w:sz w:val="32"/>
          <w:szCs w:val="32"/>
          <w:lang w:eastAsia="zh-CN"/>
        </w:rPr>
        <w:t>项目绩效评价指标体系</w:t>
      </w:r>
      <w:r>
        <w:rPr>
          <w:rFonts w:hint="default" w:ascii="Times New Roman" w:hAnsi="Times New Roman" w:eastAsia="仿宋_GB2312" w:cs="Times New Roman"/>
          <w:sz w:val="32"/>
          <w:szCs w:val="32"/>
        </w:rPr>
        <w:t>》</w:t>
      </w:r>
      <w:r>
        <w:rPr>
          <w:rFonts w:hint="default" w:ascii="Times New Roman" w:hAnsi="Times New Roman" w:eastAsia="仿宋_GB2312" w:cs="Times New Roman"/>
          <w:b w:val="0"/>
          <w:bCs w:val="0"/>
          <w:sz w:val="32"/>
          <w:szCs w:val="32"/>
          <w:lang w:val="en-US" w:eastAsia="zh-CN"/>
        </w:rPr>
        <w:t>等明确绩效目标的</w:t>
      </w:r>
      <w:r>
        <w:rPr>
          <w:rFonts w:hint="default" w:ascii="Times New Roman" w:hAnsi="Times New Roman" w:eastAsia="仿宋_GB2312" w:cs="Times New Roman"/>
          <w:sz w:val="32"/>
          <w:szCs w:val="32"/>
          <w:lang w:val="en-US" w:eastAsia="zh-CN"/>
        </w:rPr>
        <w:t>文件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各乡镇党委、政府及相关部门高度重视基本公共卫生服务项目的实施，</w:t>
      </w:r>
      <w:r>
        <w:rPr>
          <w:rFonts w:hint="default" w:ascii="Times New Roman" w:hAnsi="Times New Roman" w:eastAsia="仿宋_GB2312" w:cs="Times New Roman"/>
          <w:sz w:val="32"/>
          <w:szCs w:val="32"/>
        </w:rPr>
        <w:t>均以政府红头文件制定和印发项目</w:t>
      </w:r>
      <w:r>
        <w:rPr>
          <w:rFonts w:hint="default" w:ascii="Times New Roman" w:hAnsi="Times New Roman" w:eastAsia="仿宋_GB2312" w:cs="Times New Roman"/>
          <w:sz w:val="32"/>
          <w:szCs w:val="32"/>
          <w:lang w:eastAsia="zh-CN"/>
        </w:rPr>
        <w:t>实施</w:t>
      </w:r>
      <w:r>
        <w:rPr>
          <w:rFonts w:hint="default" w:ascii="Times New Roman" w:hAnsi="Times New Roman" w:eastAsia="仿宋_GB2312" w:cs="Times New Roman"/>
          <w:sz w:val="32"/>
          <w:szCs w:val="32"/>
        </w:rPr>
        <w:t>、经费分配和考核方案，</w:t>
      </w:r>
      <w:r>
        <w:rPr>
          <w:rFonts w:hint="default" w:ascii="Times New Roman" w:hAnsi="Times New Roman" w:eastAsia="仿宋_GB2312" w:cs="Times New Roman"/>
          <w:sz w:val="32"/>
          <w:szCs w:val="32"/>
          <w:lang w:eastAsia="zh-CN"/>
        </w:rPr>
        <w:t>参与了本乡镇对村卫生室年度绩效考核</w:t>
      </w:r>
      <w:r>
        <w:rPr>
          <w:rFonts w:hint="default"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auto"/>
          <w:sz w:val="32"/>
          <w:szCs w:val="32"/>
          <w:lang w:val="en-US" w:eastAsia="zh-CN"/>
        </w:rPr>
        <w:t>2. 抓好了基层疫情防控。</w:t>
      </w:r>
      <w:r>
        <w:rPr>
          <w:rFonts w:hint="default" w:ascii="Times New Roman" w:hAnsi="Times New Roman" w:eastAsia="仿宋_GB2312" w:cs="Times New Roman"/>
          <w:sz w:val="32"/>
          <w:szCs w:val="32"/>
          <w:lang w:val="en-US" w:eastAsia="zh-CN"/>
        </w:rPr>
        <w:t>落实</w:t>
      </w:r>
      <w:r>
        <w:rPr>
          <w:rFonts w:hint="default" w:ascii="Times New Roman" w:hAnsi="Times New Roman" w:eastAsia="仿宋_GB2312" w:cs="Times New Roman"/>
          <w:sz w:val="32"/>
          <w:szCs w:val="32"/>
          <w:lang w:eastAsia="zh-CN"/>
        </w:rPr>
        <w:t>了新冠病毒感染“乙类乙管”要求，配齐了服务所需的基本设备，做好了物质储备、药品供应、重点人群管理和健康监测、健康咨询、用药指导等服务。</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val="en-US" w:eastAsia="zh-CN"/>
        </w:rPr>
        <w:t>对全县60岁及以上人群开展了健康状况调查和健康风险等级评估，共摸排重点人群169647人，</w:t>
      </w:r>
      <w:r>
        <w:rPr>
          <w:rFonts w:hint="default" w:ascii="Times New Roman" w:hAnsi="Times New Roman" w:eastAsia="仿宋_GB2312" w:cs="Times New Roman"/>
          <w:spacing w:val="6"/>
          <w:sz w:val="32"/>
          <w:szCs w:val="32"/>
          <w:lang w:val="en-US" w:eastAsia="zh-CN"/>
        </w:rPr>
        <w:t>按照红黄绿</w:t>
      </w:r>
      <w:r>
        <w:rPr>
          <w:rFonts w:hint="default" w:ascii="Times New Roman" w:hAnsi="Times New Roman" w:eastAsia="仿宋_GB2312" w:cs="Times New Roman"/>
          <w:sz w:val="32"/>
          <w:szCs w:val="32"/>
          <w:lang w:val="en-US" w:eastAsia="zh-CN"/>
        </w:rPr>
        <w:t>分级</w:t>
      </w:r>
      <w:r>
        <w:rPr>
          <w:rFonts w:hint="default" w:ascii="Times New Roman" w:hAnsi="Times New Roman" w:eastAsia="仿宋_GB2312" w:cs="Times New Roman"/>
          <w:spacing w:val="6"/>
          <w:sz w:val="32"/>
          <w:szCs w:val="32"/>
          <w:lang w:val="en-US" w:eastAsia="zh-CN"/>
        </w:rPr>
        <w:t>标识，上传至省公卫3.0系统，</w:t>
      </w:r>
      <w:r>
        <w:rPr>
          <w:rFonts w:hint="default" w:ascii="Times New Roman" w:hAnsi="Times New Roman" w:eastAsia="仿宋_GB2312" w:cs="Times New Roman"/>
          <w:b w:val="0"/>
          <w:bCs w:val="0"/>
          <w:sz w:val="32"/>
          <w:szCs w:val="32"/>
          <w:lang w:val="en-US" w:eastAsia="zh-CN"/>
        </w:rPr>
        <w:t>并按要求开展了健康监测。</w:t>
      </w:r>
      <w:r>
        <w:rPr>
          <w:rFonts w:hint="default" w:ascii="Times New Roman" w:hAnsi="Times New Roman" w:eastAsia="仿宋_GB2312" w:cs="Times New Roman"/>
          <w:sz w:val="32"/>
          <w:szCs w:val="32"/>
          <w:lang w:val="en-US" w:eastAsia="zh-CN"/>
        </w:rPr>
        <w:t>发放</w:t>
      </w:r>
      <w:r>
        <w:rPr>
          <w:rFonts w:hint="default" w:ascii="Times New Roman" w:hAnsi="Times New Roman" w:eastAsia="仿宋_GB2312" w:cs="Times New Roman"/>
          <w:sz w:val="32"/>
          <w:szCs w:val="32"/>
        </w:rPr>
        <w:t>80岁以上、60-79岁</w:t>
      </w:r>
      <w:r>
        <w:rPr>
          <w:rFonts w:hint="default" w:ascii="Times New Roman" w:hAnsi="Times New Roman" w:eastAsia="仿宋_GB2312" w:cs="Times New Roman"/>
          <w:sz w:val="32"/>
          <w:szCs w:val="32"/>
          <w:lang w:eastAsia="zh-CN"/>
        </w:rPr>
        <w:t>合并</w:t>
      </w:r>
      <w:r>
        <w:rPr>
          <w:rFonts w:hint="default" w:ascii="Times New Roman" w:hAnsi="Times New Roman" w:eastAsia="仿宋_GB2312" w:cs="Times New Roman"/>
          <w:sz w:val="32"/>
          <w:szCs w:val="32"/>
        </w:rPr>
        <w:t>8类基础疾病老年人“防疫健康包”</w:t>
      </w:r>
      <w:r>
        <w:rPr>
          <w:rFonts w:hint="default" w:ascii="Times New Roman" w:hAnsi="Times New Roman" w:eastAsia="仿宋_GB2312" w:cs="Times New Roman"/>
          <w:sz w:val="32"/>
          <w:szCs w:val="32"/>
          <w:lang w:val="en-US" w:eastAsia="zh-CN"/>
        </w:rPr>
        <w:t>80000份</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组织基层医务人员、乡村医生开展了新冠重点人群健康服务分级分类培训1727人、俯卧位培训1749人、临床医生新冠诊疗能力培训330人、医疗救治能力线上直播培训1305人，提升了基层医疗卫生机构疫情应急处置能力和救治能力。</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cs="Times New Roman"/>
          <w:lang w:val="en-US" w:eastAsia="zh-CN"/>
        </w:rPr>
      </w:pPr>
      <w:r>
        <w:rPr>
          <w:rFonts w:hint="default" w:ascii="Times New Roman" w:hAnsi="Times New Roman" w:eastAsia="仿宋_GB2312" w:cs="Times New Roman"/>
          <w:color w:val="auto"/>
          <w:sz w:val="32"/>
          <w:szCs w:val="32"/>
          <w:lang w:val="en-US" w:eastAsia="zh-CN"/>
        </w:rPr>
        <w:t>3.持续进行健康档案</w:t>
      </w:r>
      <w:r>
        <w:rPr>
          <w:rFonts w:hint="default" w:ascii="Times New Roman" w:hAnsi="Times New Roman" w:eastAsia="仿宋_GB2312" w:cs="Times New Roman"/>
          <w:sz w:val="32"/>
          <w:szCs w:val="32"/>
          <w:lang w:val="en-US" w:eastAsia="zh-CN"/>
        </w:rPr>
        <w:t>质量</w:t>
      </w:r>
      <w:r>
        <w:rPr>
          <w:rFonts w:hint="default" w:ascii="Times New Roman" w:hAnsi="Times New Roman" w:eastAsia="仿宋_GB2312" w:cs="Times New Roman"/>
          <w:color w:val="auto"/>
          <w:sz w:val="32"/>
          <w:szCs w:val="32"/>
          <w:lang w:val="en-US" w:eastAsia="zh-CN"/>
        </w:rPr>
        <w:t>核查。</w:t>
      </w:r>
      <w:r>
        <w:rPr>
          <w:rFonts w:hint="default" w:ascii="Times New Roman" w:hAnsi="Times New Roman" w:eastAsia="仿宋_GB2312" w:cs="Times New Roman"/>
          <w:sz w:val="32"/>
          <w:szCs w:val="32"/>
        </w:rPr>
        <w:t>完善个人信息，及时清理迁出、死亡等人口及重复档案，</w:t>
      </w:r>
      <w:r>
        <w:rPr>
          <w:rFonts w:hint="default" w:ascii="Times New Roman" w:hAnsi="Times New Roman" w:eastAsia="仿宋_GB2312" w:cs="Times New Roman"/>
          <w:sz w:val="32"/>
          <w:szCs w:val="32"/>
          <w:lang w:eastAsia="zh-CN"/>
        </w:rPr>
        <w:t>积极</w:t>
      </w:r>
      <w:r>
        <w:rPr>
          <w:rFonts w:hint="default" w:ascii="Times New Roman" w:hAnsi="Times New Roman" w:eastAsia="仿宋_GB2312" w:cs="Times New Roman"/>
          <w:sz w:val="32"/>
          <w:szCs w:val="32"/>
        </w:rPr>
        <w:t>调动居民参与记录、更新</w:t>
      </w:r>
      <w:r>
        <w:rPr>
          <w:rFonts w:hint="default" w:ascii="Times New Roman" w:hAnsi="Times New Roman" w:eastAsia="仿宋_GB2312" w:cs="Times New Roman"/>
          <w:sz w:val="32"/>
          <w:szCs w:val="32"/>
          <w:lang w:eastAsia="zh-CN"/>
        </w:rPr>
        <w:t>和使用，指导居民对</w:t>
      </w:r>
      <w:r>
        <w:rPr>
          <w:rFonts w:hint="default" w:ascii="Times New Roman" w:hAnsi="Times New Roman" w:eastAsia="仿宋_GB2312" w:cs="Times New Roman"/>
          <w:sz w:val="32"/>
          <w:szCs w:val="32"/>
        </w:rPr>
        <w:t>自己的电子</w:t>
      </w:r>
      <w:r>
        <w:rPr>
          <w:rFonts w:hint="default" w:ascii="Times New Roman" w:hAnsi="Times New Roman" w:eastAsia="仿宋_GB2312" w:cs="Times New Roman"/>
          <w:sz w:val="32"/>
          <w:szCs w:val="32"/>
          <w:lang w:val="en-US" w:eastAsia="zh-CN"/>
        </w:rPr>
        <w:t>健康</w:t>
      </w:r>
      <w:r>
        <w:rPr>
          <w:rFonts w:hint="default" w:ascii="Times New Roman" w:hAnsi="Times New Roman" w:eastAsia="仿宋_GB2312" w:cs="Times New Roman"/>
          <w:sz w:val="32"/>
          <w:szCs w:val="32"/>
        </w:rPr>
        <w:t>档案完成“认领”确认</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提高</w:t>
      </w:r>
      <w:r>
        <w:rPr>
          <w:rFonts w:hint="default" w:ascii="Times New Roman" w:hAnsi="Times New Roman" w:eastAsia="仿宋_GB2312" w:cs="Times New Roman"/>
          <w:sz w:val="32"/>
          <w:szCs w:val="32"/>
          <w:lang w:eastAsia="zh-CN"/>
        </w:rPr>
        <w:t>了</w:t>
      </w:r>
      <w:r>
        <w:rPr>
          <w:rFonts w:hint="default" w:ascii="Times New Roman" w:hAnsi="Times New Roman" w:eastAsia="仿宋_GB2312" w:cs="Times New Roman"/>
          <w:sz w:val="32"/>
          <w:szCs w:val="32"/>
        </w:rPr>
        <w:t>档案</w:t>
      </w:r>
      <w:r>
        <w:rPr>
          <w:rFonts w:hint="default" w:ascii="Times New Roman" w:hAnsi="Times New Roman" w:eastAsia="仿宋_GB2312" w:cs="Times New Roman"/>
          <w:sz w:val="32"/>
          <w:szCs w:val="32"/>
          <w:lang w:eastAsia="zh-CN"/>
        </w:rPr>
        <w:t>使用和</w:t>
      </w:r>
      <w:r>
        <w:rPr>
          <w:rFonts w:hint="default" w:ascii="Times New Roman" w:hAnsi="Times New Roman" w:eastAsia="仿宋_GB2312" w:cs="Times New Roman"/>
          <w:sz w:val="32"/>
          <w:szCs w:val="32"/>
        </w:rPr>
        <w:t>信息准确性</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auto"/>
          <w:sz w:val="32"/>
          <w:szCs w:val="32"/>
          <w:lang w:val="en-US" w:eastAsia="zh-CN"/>
        </w:rPr>
        <w:t>4. 深入推进医防融合。</w:t>
      </w:r>
      <w:r>
        <w:rPr>
          <w:rFonts w:hint="default" w:ascii="Times New Roman" w:hAnsi="Times New Roman" w:eastAsia="仿宋_GB2312" w:cs="Times New Roman"/>
          <w:sz w:val="32"/>
          <w:szCs w:val="32"/>
          <w:lang w:val="en-US" w:eastAsia="zh-CN"/>
        </w:rPr>
        <w:t>按照《桃江县慢病医防融合项目实施方案》《桃江县高血压糖尿病大摸底大调查活动实施方案》《桃江县糖尿病医防融合暨国家糖尿病标准化防控中心项目建设试点工作方案》3个文件深入推进医防融合。持续开展</w:t>
      </w:r>
      <w:r>
        <w:rPr>
          <w:rFonts w:hint="default" w:ascii="Times New Roman" w:hAnsi="Times New Roman" w:eastAsia="仿宋_GB2312" w:cs="Times New Roman"/>
          <w:sz w:val="32"/>
          <w:szCs w:val="32"/>
          <w:lang w:eastAsia="zh-CN"/>
        </w:rPr>
        <w:t>两</w:t>
      </w:r>
      <w:r>
        <w:rPr>
          <w:rFonts w:hint="default" w:ascii="Times New Roman" w:hAnsi="Times New Roman" w:eastAsia="仿宋_GB2312" w:cs="Times New Roman"/>
          <w:sz w:val="32"/>
          <w:szCs w:val="32"/>
        </w:rPr>
        <w:t>病“大摸底、大调查”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对省医保信息</w:t>
      </w:r>
      <w:r>
        <w:rPr>
          <w:rFonts w:hint="default" w:ascii="Times New Roman" w:hAnsi="Times New Roman" w:eastAsia="仿宋_GB2312" w:cs="Times New Roman"/>
          <w:sz w:val="32"/>
          <w:szCs w:val="32"/>
          <w:lang w:val="en-US" w:eastAsia="zh-CN"/>
        </w:rPr>
        <w:t>平台</w:t>
      </w:r>
      <w:r>
        <w:rPr>
          <w:rFonts w:hint="default" w:ascii="Times New Roman" w:hAnsi="Times New Roman" w:eastAsia="仿宋_GB2312" w:cs="Times New Roman"/>
          <w:sz w:val="32"/>
          <w:szCs w:val="32"/>
        </w:rPr>
        <w:t>和医疗信息系统推送的“两病”患者摸底核实处理和建立专案，</w:t>
      </w:r>
      <w:r>
        <w:rPr>
          <w:rFonts w:hint="default" w:ascii="Times New Roman" w:hAnsi="Times New Roman" w:eastAsia="仿宋_GB2312" w:cs="Times New Roman"/>
          <w:sz w:val="32"/>
          <w:szCs w:val="32"/>
          <w:lang w:eastAsia="zh-CN"/>
        </w:rPr>
        <w:t>将医保系统中慢病特殊门诊患者和脑卒中住院患者逐一核实信息，对已经确诊并服药的两病患者分区管理，并开展村卫生室门诊统筹医保报销。</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auto"/>
          <w:sz w:val="32"/>
          <w:szCs w:val="32"/>
          <w:lang w:val="en-US" w:eastAsia="zh-CN"/>
        </w:rPr>
        <w:t>5. 高质量开展家庭医生签约服务。</w:t>
      </w:r>
      <w:r>
        <w:rPr>
          <w:rFonts w:hint="default" w:ascii="Times New Roman" w:hAnsi="Times New Roman" w:eastAsia="仿宋_GB2312" w:cs="Times New Roman"/>
          <w:b w:val="0"/>
          <w:bCs w:val="0"/>
          <w:sz w:val="32"/>
          <w:szCs w:val="32"/>
          <w:lang w:val="en-US" w:eastAsia="zh-CN"/>
        </w:rPr>
        <w:t>印发了《关于做好2023年家庭医生签约服务的通知》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桃江</w:t>
      </w:r>
      <w:r>
        <w:rPr>
          <w:rFonts w:hint="default" w:ascii="Times New Roman" w:hAnsi="Times New Roman" w:eastAsia="仿宋_GB2312" w:cs="Times New Roman"/>
          <w:sz w:val="32"/>
          <w:szCs w:val="32"/>
        </w:rPr>
        <w:t>县推进家庭医生签约服务高质量</w:t>
      </w:r>
      <w:r>
        <w:rPr>
          <w:rFonts w:hint="default" w:ascii="Times New Roman" w:hAnsi="Times New Roman" w:eastAsia="仿宋_GB2312" w:cs="Times New Roman"/>
          <w:sz w:val="32"/>
          <w:szCs w:val="32"/>
          <w:lang w:val="en-US" w:eastAsia="zh-CN"/>
        </w:rPr>
        <w:t>发展</w:t>
      </w:r>
      <w:r>
        <w:rPr>
          <w:rFonts w:hint="default" w:ascii="Times New Roman" w:hAnsi="Times New Roman" w:eastAsia="仿宋_GB2312" w:cs="Times New Roman"/>
          <w:sz w:val="32"/>
          <w:szCs w:val="32"/>
        </w:rPr>
        <w:t>实施方案</w:t>
      </w:r>
      <w:r>
        <w:rPr>
          <w:rFonts w:hint="default" w:ascii="Times New Roman" w:hAnsi="Times New Roman" w:eastAsia="仿宋_GB2312" w:cs="Times New Roman"/>
          <w:sz w:val="32"/>
          <w:szCs w:val="32"/>
          <w:lang w:eastAsia="zh-CN"/>
        </w:rPr>
        <w:t>》等配套</w:t>
      </w:r>
      <w:r>
        <w:rPr>
          <w:rFonts w:hint="default" w:ascii="Times New Roman" w:hAnsi="Times New Roman" w:eastAsia="仿宋_GB2312" w:cs="Times New Roman"/>
          <w:sz w:val="32"/>
          <w:szCs w:val="32"/>
        </w:rPr>
        <w:t>文件</w:t>
      </w:r>
      <w:r>
        <w:rPr>
          <w:rFonts w:hint="default" w:ascii="Times New Roman" w:hAnsi="Times New Roman" w:eastAsia="仿宋_GB2312" w:cs="Times New Roman"/>
          <w:b w:val="0"/>
          <w:bCs w:val="0"/>
          <w:sz w:val="32"/>
          <w:szCs w:val="32"/>
          <w:lang w:val="en-US" w:eastAsia="zh-CN"/>
        </w:rPr>
        <w:t>。组织开展了半年度电话调查和年终入户考核，组织开展了世界家庭</w:t>
      </w:r>
      <w:r>
        <w:rPr>
          <w:rFonts w:hint="default" w:ascii="Times New Roman" w:hAnsi="Times New Roman" w:eastAsia="仿宋_GB2312" w:cs="Times New Roman"/>
          <w:sz w:val="32"/>
          <w:szCs w:val="32"/>
          <w:lang w:val="en-US" w:eastAsia="zh-CN"/>
        </w:rPr>
        <w:t>医生</w:t>
      </w:r>
      <w:r>
        <w:rPr>
          <w:rFonts w:hint="default" w:ascii="Times New Roman" w:hAnsi="Times New Roman" w:eastAsia="仿宋_GB2312" w:cs="Times New Roman"/>
          <w:b w:val="0"/>
          <w:bCs w:val="0"/>
          <w:sz w:val="32"/>
          <w:szCs w:val="32"/>
          <w:lang w:val="en-US" w:eastAsia="zh-CN"/>
        </w:rPr>
        <w:t>日宣传活动，</w:t>
      </w:r>
      <w:r>
        <w:rPr>
          <w:rFonts w:hint="default" w:ascii="Times New Roman" w:hAnsi="Times New Roman" w:eastAsia="仿宋_GB2312" w:cs="Times New Roman"/>
          <w:sz w:val="32"/>
          <w:szCs w:val="32"/>
          <w:lang w:eastAsia="zh-CN"/>
        </w:rPr>
        <w:t>举办了</w:t>
      </w:r>
      <w:r>
        <w:rPr>
          <w:rFonts w:hint="default" w:ascii="Times New Roman" w:hAnsi="Times New Roman" w:eastAsia="仿宋_GB2312" w:cs="Times New Roman"/>
          <w:sz w:val="32"/>
          <w:szCs w:val="32"/>
          <w:lang w:val="en-US" w:eastAsia="zh-CN"/>
        </w:rPr>
        <w:t>家庭医生签约服务培训班</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color w:val="auto"/>
          <w:sz w:val="32"/>
          <w:szCs w:val="32"/>
        </w:rPr>
        <w:t>全县组建签约服务团队2</w:t>
      </w:r>
      <w:r>
        <w:rPr>
          <w:rFonts w:hint="default" w:ascii="Times New Roman" w:hAnsi="Times New Roman" w:eastAsia="仿宋_GB2312" w:cs="Times New Roman"/>
          <w:color w:val="auto"/>
          <w:sz w:val="32"/>
          <w:szCs w:val="32"/>
          <w:lang w:val="en-US" w:eastAsia="zh-CN"/>
        </w:rPr>
        <w:t>63</w:t>
      </w:r>
      <w:r>
        <w:rPr>
          <w:rFonts w:hint="default" w:ascii="Times New Roman" w:hAnsi="Times New Roman" w:eastAsia="仿宋_GB2312" w:cs="Times New Roman"/>
          <w:color w:val="auto"/>
          <w:sz w:val="32"/>
          <w:szCs w:val="32"/>
        </w:rPr>
        <w:t>个，团队成员1</w:t>
      </w:r>
      <w:r>
        <w:rPr>
          <w:rFonts w:hint="default" w:ascii="Times New Roman" w:hAnsi="Times New Roman" w:eastAsia="仿宋_GB2312" w:cs="Times New Roman"/>
          <w:color w:val="auto"/>
          <w:sz w:val="32"/>
          <w:szCs w:val="32"/>
          <w:lang w:val="en-US" w:eastAsia="zh-CN"/>
        </w:rPr>
        <w:t>005</w:t>
      </w:r>
      <w:r>
        <w:rPr>
          <w:rFonts w:hint="default" w:ascii="Times New Roman" w:hAnsi="Times New Roman" w:eastAsia="仿宋_GB2312" w:cs="Times New Roman"/>
          <w:color w:val="auto"/>
          <w:sz w:val="32"/>
          <w:szCs w:val="32"/>
        </w:rPr>
        <w:t>人，</w:t>
      </w:r>
      <w:r>
        <w:rPr>
          <w:rFonts w:hint="default" w:ascii="Times New Roman" w:hAnsi="Times New Roman" w:eastAsia="仿宋_GB2312" w:cs="Times New Roman"/>
          <w:b w:val="0"/>
          <w:bCs w:val="0"/>
          <w:color w:val="auto"/>
          <w:sz w:val="32"/>
          <w:szCs w:val="32"/>
          <w:lang w:val="en-US" w:eastAsia="zh-CN"/>
        </w:rPr>
        <w:t>其中包括全科医生117名、专科医生213名，中医诊所8个、医共体牵头医院医生18名，逐步形成了以全、专科医生为主体、中医医生、中医诊所、医共体医院共同参与的签约模式。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cs="Times New Roman"/>
        </w:rPr>
      </w:pPr>
      <w:r>
        <w:rPr>
          <w:rFonts w:hint="default" w:ascii="Times New Roman" w:hAnsi="Times New Roman" w:eastAsia="仿宋_GB2312" w:cs="Times New Roman"/>
          <w:color w:val="auto"/>
          <w:sz w:val="32"/>
          <w:szCs w:val="32"/>
        </w:rPr>
        <w:t>持续推进卫宁“健康医生”手机APP在线签约</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签约居民</w:t>
      </w:r>
      <w:r>
        <w:rPr>
          <w:rFonts w:hint="default" w:ascii="Times New Roman" w:hAnsi="Times New Roman" w:eastAsia="仿宋_GB2312" w:cs="Times New Roman"/>
          <w:color w:val="auto"/>
          <w:sz w:val="32"/>
          <w:szCs w:val="32"/>
          <w:lang w:val="en-US" w:eastAsia="zh-CN"/>
        </w:rPr>
        <w:t>430271</w:t>
      </w:r>
      <w:r>
        <w:rPr>
          <w:rFonts w:hint="default" w:ascii="Times New Roman" w:hAnsi="Times New Roman" w:eastAsia="仿宋_GB2312" w:cs="Times New Roman"/>
          <w:color w:val="auto"/>
          <w:sz w:val="32"/>
          <w:szCs w:val="32"/>
        </w:rPr>
        <w:t>人，签约覆盖率</w:t>
      </w:r>
      <w:r>
        <w:rPr>
          <w:rFonts w:hint="default" w:ascii="Times New Roman" w:hAnsi="Times New Roman" w:eastAsia="仿宋_GB2312" w:cs="Times New Roman"/>
          <w:color w:val="auto"/>
          <w:sz w:val="32"/>
          <w:szCs w:val="32"/>
          <w:lang w:val="en-US" w:eastAsia="zh-CN"/>
        </w:rPr>
        <w:t>63.16</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较去年提升了11.16%。常住的</w:t>
      </w:r>
      <w:r>
        <w:rPr>
          <w:rFonts w:hint="default" w:ascii="Times New Roman" w:hAnsi="Times New Roman" w:eastAsia="仿宋_GB2312" w:cs="Times New Roman"/>
          <w:color w:val="auto"/>
          <w:sz w:val="32"/>
          <w:szCs w:val="32"/>
        </w:rPr>
        <w:t>脱贫人口（监测对象）、</w:t>
      </w:r>
      <w:r>
        <w:rPr>
          <w:rFonts w:hint="default" w:ascii="Times New Roman" w:hAnsi="Times New Roman" w:eastAsia="仿宋_GB2312" w:cs="Times New Roman"/>
          <w:sz w:val="32"/>
          <w:szCs w:val="32"/>
          <w:lang w:val="en-US" w:eastAsia="zh-CN"/>
        </w:rPr>
        <w:t>计划生育</w:t>
      </w:r>
      <w:r>
        <w:rPr>
          <w:rFonts w:hint="default" w:ascii="Times New Roman" w:hAnsi="Times New Roman" w:eastAsia="仿宋_GB2312" w:cs="Times New Roman"/>
          <w:color w:val="auto"/>
          <w:sz w:val="32"/>
          <w:szCs w:val="32"/>
        </w:rPr>
        <w:t>特殊家庭、一二级残疾人、五保户、低保户</w:t>
      </w:r>
      <w:r>
        <w:rPr>
          <w:rFonts w:hint="default" w:ascii="Times New Roman" w:hAnsi="Times New Roman" w:eastAsia="仿宋_GB2312" w:cs="Times New Roman"/>
          <w:color w:val="auto"/>
          <w:sz w:val="32"/>
          <w:szCs w:val="32"/>
          <w:lang w:eastAsia="zh-CN"/>
        </w:rPr>
        <w:t>等</w:t>
      </w:r>
      <w:r>
        <w:rPr>
          <w:rFonts w:hint="default" w:ascii="Times New Roman" w:hAnsi="Times New Roman" w:eastAsia="仿宋_GB2312" w:cs="Times New Roman"/>
          <w:color w:val="auto"/>
          <w:sz w:val="32"/>
          <w:szCs w:val="32"/>
          <w:lang w:val="en-US" w:eastAsia="zh-CN"/>
        </w:rPr>
        <w:t>五类特殊人群签约率100%；</w:t>
      </w:r>
      <w:r>
        <w:rPr>
          <w:rFonts w:hint="default" w:ascii="Times New Roman" w:hAnsi="Times New Roman" w:eastAsia="仿宋_GB2312" w:cs="Times New Roman"/>
          <w:color w:val="auto"/>
          <w:sz w:val="32"/>
          <w:szCs w:val="32"/>
        </w:rPr>
        <w:t>65岁及以上老年人、孕产妇、0-6岁儿童</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sz w:val="32"/>
          <w:szCs w:val="32"/>
          <w:lang w:val="en-US" w:eastAsia="zh-CN"/>
        </w:rPr>
        <w:t>高血压</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sz w:val="32"/>
          <w:szCs w:val="32"/>
          <w:lang w:val="en-US" w:eastAsia="zh-CN"/>
        </w:rPr>
        <w:t>糖尿病</w:t>
      </w:r>
      <w:r>
        <w:rPr>
          <w:rFonts w:hint="default" w:ascii="Times New Roman" w:hAnsi="Times New Roman" w:eastAsia="仿宋_GB2312" w:cs="Times New Roman"/>
          <w:color w:val="auto"/>
          <w:sz w:val="32"/>
          <w:szCs w:val="32"/>
        </w:rPr>
        <w:t>、严重精神障碍、肺结核</w:t>
      </w:r>
      <w:r>
        <w:rPr>
          <w:rFonts w:hint="default" w:ascii="Times New Roman" w:hAnsi="Times New Roman" w:eastAsia="仿宋_GB2312" w:cs="Times New Roman"/>
          <w:color w:val="auto"/>
          <w:sz w:val="32"/>
          <w:szCs w:val="32"/>
          <w:lang w:eastAsia="zh-CN"/>
        </w:rPr>
        <w:t>等</w:t>
      </w:r>
      <w:r>
        <w:rPr>
          <w:rFonts w:hint="default" w:ascii="Times New Roman" w:hAnsi="Times New Roman" w:eastAsia="仿宋_GB2312" w:cs="Times New Roman"/>
          <w:color w:val="auto"/>
          <w:sz w:val="32"/>
          <w:szCs w:val="32"/>
          <w:lang w:val="en-US" w:eastAsia="zh-CN"/>
        </w:rPr>
        <w:t>重点人群签约率71.47%</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numPr>
          <w:ilvl w:val="0"/>
          <w:numId w:val="1"/>
        </w:numPr>
        <w:kinsoku/>
        <w:wordWrap/>
        <w:overflowPunct/>
        <w:topLinePunct w:val="0"/>
        <w:bidi w:val="0"/>
        <w:adjustRightInd/>
        <w:snapToGrid/>
        <w:spacing w:line="590" w:lineRule="exact"/>
        <w:ind w:firstLine="640" w:firstLineChars="20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特色亮点工作</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color w:val="auto"/>
          <w:sz w:val="32"/>
          <w:szCs w:val="32"/>
          <w:lang w:val="en-US" w:eastAsia="zh-CN"/>
        </w:rPr>
        <w:t>（一）落实政府主管责任。</w:t>
      </w:r>
      <w:r>
        <w:rPr>
          <w:rFonts w:hint="default" w:ascii="Times New Roman" w:hAnsi="Times New Roman" w:eastAsia="仿宋_GB2312" w:cs="Times New Roman"/>
          <w:color w:val="auto"/>
          <w:sz w:val="32"/>
          <w:szCs w:val="32"/>
          <w:lang w:val="en-US" w:eastAsia="zh-CN"/>
        </w:rPr>
        <w:t>县委县政府将项目工作纳入对乡镇绩效考核评估内容；桃江县卫生</w:t>
      </w:r>
      <w:r>
        <w:rPr>
          <w:rFonts w:hint="default" w:ascii="Times New Roman" w:hAnsi="Times New Roman" w:eastAsia="仿宋_GB2312" w:cs="Times New Roman"/>
          <w:sz w:val="32"/>
          <w:szCs w:val="32"/>
          <w:lang w:val="en-US" w:eastAsia="zh-CN"/>
        </w:rPr>
        <w:t>健康</w:t>
      </w:r>
      <w:r>
        <w:rPr>
          <w:rFonts w:hint="default" w:ascii="Times New Roman" w:hAnsi="Times New Roman" w:eastAsia="仿宋_GB2312" w:cs="Times New Roman"/>
          <w:color w:val="auto"/>
          <w:sz w:val="32"/>
          <w:szCs w:val="32"/>
          <w:lang w:val="en-US" w:eastAsia="zh-CN"/>
        </w:rPr>
        <w:t>领导小组办公室印发了《2023年国家基本公共卫生</w:t>
      </w:r>
      <w:r>
        <w:rPr>
          <w:rFonts w:hint="default" w:ascii="Times New Roman" w:hAnsi="Times New Roman" w:eastAsia="仿宋_GB2312" w:cs="Times New Roman"/>
          <w:sz w:val="32"/>
          <w:szCs w:val="32"/>
          <w:lang w:val="en-US" w:eastAsia="zh-CN"/>
        </w:rPr>
        <w:t>服务</w:t>
      </w:r>
      <w:r>
        <w:rPr>
          <w:rFonts w:hint="default" w:ascii="Times New Roman" w:hAnsi="Times New Roman" w:eastAsia="仿宋_GB2312" w:cs="Times New Roman"/>
          <w:color w:val="auto"/>
          <w:sz w:val="32"/>
          <w:szCs w:val="32"/>
          <w:lang w:val="en-US" w:eastAsia="zh-CN"/>
        </w:rPr>
        <w:t>项目绩点考核办法》，并对15个乡镇党委政府推动项目工作情况开展了考核。</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楷体_GB2312" w:cs="Times New Roman"/>
          <w:color w:val="auto"/>
          <w:sz w:val="32"/>
          <w:szCs w:val="32"/>
          <w:lang w:val="en-US" w:eastAsia="zh-CN"/>
        </w:rPr>
        <w:t>（二）迎检国家现场考核。</w:t>
      </w:r>
      <w:r>
        <w:rPr>
          <w:rFonts w:hint="default" w:ascii="Times New Roman" w:hAnsi="Times New Roman" w:eastAsia="仿宋_GB2312" w:cs="Times New Roman"/>
          <w:color w:val="auto"/>
          <w:sz w:val="32"/>
          <w:szCs w:val="32"/>
          <w:lang w:val="en-US" w:eastAsia="zh-CN"/>
        </w:rPr>
        <w:t>2023年3月，我县代表湖南省迎接2022年度国家基本公卫绩效现场考核，取得了全国第六名、中部第一名的优异成绩。</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color w:val="auto"/>
          <w:sz w:val="32"/>
          <w:szCs w:val="32"/>
          <w:lang w:val="en-US" w:eastAsia="zh-CN"/>
        </w:rPr>
        <w:t>（三）深入推进医防融合。</w:t>
      </w:r>
      <w:r>
        <w:rPr>
          <w:rFonts w:hint="default" w:ascii="Times New Roman" w:hAnsi="Times New Roman" w:eastAsia="仿宋_GB2312" w:cs="Times New Roman"/>
          <w:color w:val="auto"/>
          <w:sz w:val="32"/>
          <w:szCs w:val="32"/>
          <w:lang w:val="en-US" w:eastAsia="zh-CN"/>
        </w:rPr>
        <w:t>桃江县卫生健康局印发了《关于做好医疗机构慢病“一站式”门诊服务的通知》</w:t>
      </w:r>
      <w:r>
        <w:rPr>
          <w:rFonts w:hint="default" w:ascii="Times New Roman" w:hAnsi="Times New Roman" w:eastAsia="仿宋_GB2312" w:cs="Times New Roman"/>
          <w:sz w:val="32"/>
          <w:szCs w:val="32"/>
          <w:lang w:val="en-US" w:eastAsia="zh-CN"/>
        </w:rPr>
        <w:t>文件</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sz w:val="32"/>
          <w:szCs w:val="32"/>
          <w:lang w:val="en-US" w:eastAsia="zh-CN"/>
        </w:rPr>
        <w:t>15个乡镇（中心）卫生院均</w:t>
      </w:r>
      <w:r>
        <w:rPr>
          <w:rFonts w:hint="default" w:ascii="Times New Roman" w:hAnsi="Times New Roman" w:eastAsia="仿宋_GB2312" w:cs="Times New Roman"/>
          <w:sz w:val="32"/>
          <w:szCs w:val="32"/>
          <w:lang w:eastAsia="zh-CN"/>
        </w:rPr>
        <w:t>建立慢病“一站式”门诊服务，提高了协同服务、融合服务的质量和效率。</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楷体_GB2312" w:cs="Times New Roman"/>
          <w:sz w:val="32"/>
          <w:szCs w:val="32"/>
          <w:lang w:val="en-US" w:eastAsia="zh-CN"/>
        </w:rPr>
        <w:t>（四）积极推动信息平台建设。</w:t>
      </w:r>
      <w:r>
        <w:rPr>
          <w:rFonts w:hint="default" w:ascii="Times New Roman" w:hAnsi="Times New Roman" w:eastAsia="仿宋_GB2312" w:cs="Times New Roman"/>
          <w:sz w:val="32"/>
          <w:szCs w:val="32"/>
          <w:lang w:val="en-US" w:eastAsia="zh-CN"/>
        </w:rPr>
        <w:t>加强预防接种服务，全面落实预防接种分时段预约工作，通过“小豆苗”APP预约6301人。引进智慧公卫体检软件，开展老年人及慢性病患者健康体检工</w:t>
      </w:r>
      <w:r>
        <w:rPr>
          <w:rFonts w:hint="default" w:ascii="Times New Roman" w:hAnsi="Times New Roman" w:eastAsia="仿宋_GB2312" w:cs="Times New Roman"/>
          <w:color w:val="auto"/>
          <w:sz w:val="32"/>
          <w:szCs w:val="32"/>
          <w:lang w:val="en-US" w:eastAsia="zh-CN"/>
        </w:rPr>
        <w:t>作</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color w:val="auto"/>
          <w:sz w:val="32"/>
          <w:szCs w:val="32"/>
          <w:lang w:val="en-US" w:eastAsia="zh-CN"/>
        </w:rPr>
        <w:t>体检84142人，数据</w:t>
      </w:r>
      <w:r>
        <w:rPr>
          <w:rFonts w:hint="default" w:ascii="Times New Roman" w:hAnsi="Times New Roman" w:eastAsia="仿宋_GB2312" w:cs="Times New Roman"/>
          <w:sz w:val="32"/>
          <w:szCs w:val="32"/>
          <w:lang w:val="en-US" w:eastAsia="zh-CN"/>
        </w:rPr>
        <w:t>及时上传省公卫3.0系统</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caps w:val="0"/>
          <w:color w:val="auto"/>
          <w:kern w:val="2"/>
          <w:sz w:val="32"/>
          <w:szCs w:val="32"/>
          <w:lang w:val="en-US" w:eastAsia="zh-CN" w:bidi="ar-SA"/>
        </w:rPr>
      </w:pPr>
      <w:r>
        <w:rPr>
          <w:rFonts w:hint="default" w:ascii="Times New Roman" w:hAnsi="Times New Roman" w:eastAsia="楷体_GB2312" w:cs="Times New Roman"/>
          <w:b w:val="0"/>
          <w:caps w:val="0"/>
          <w:color w:val="auto"/>
          <w:kern w:val="2"/>
          <w:sz w:val="32"/>
          <w:szCs w:val="32"/>
          <w:lang w:val="en-US" w:eastAsia="zh-CN" w:bidi="ar-SA"/>
        </w:rPr>
        <w:t>（五）村卫生室医保门诊统筹报销全覆盖。</w:t>
      </w:r>
      <w:r>
        <w:rPr>
          <w:rFonts w:hint="default" w:ascii="Times New Roman" w:hAnsi="Times New Roman" w:eastAsia="仿宋_GB2312" w:cs="Times New Roman"/>
          <w:b w:val="0"/>
          <w:caps w:val="0"/>
          <w:color w:val="auto"/>
          <w:kern w:val="2"/>
          <w:sz w:val="32"/>
          <w:szCs w:val="32"/>
          <w:lang w:val="en-US" w:eastAsia="zh-CN" w:bidi="ar-SA"/>
        </w:rPr>
        <w:t>我县从2022年9月起，先后有379个行政村（社区）卫生室（含卫生院分所）开展医保门诊统筹定点报销，做到了每个行政村（社区）至少有一个定点报销机构。2023年上半年多次接受省、市多个部门现场调研调查。7月、10月，全省、全市村</w:t>
      </w:r>
      <w:r>
        <w:rPr>
          <w:rFonts w:hint="default" w:ascii="Times New Roman" w:hAnsi="Times New Roman" w:eastAsia="仿宋_GB2312" w:cs="Times New Roman"/>
          <w:sz w:val="32"/>
          <w:szCs w:val="32"/>
          <w:lang w:val="en-US" w:eastAsia="zh-CN"/>
        </w:rPr>
        <w:t>卫生室</w:t>
      </w:r>
      <w:r>
        <w:rPr>
          <w:rFonts w:hint="default" w:ascii="Times New Roman" w:hAnsi="Times New Roman" w:eastAsia="仿宋_GB2312" w:cs="Times New Roman"/>
          <w:b w:val="0"/>
          <w:caps w:val="0"/>
          <w:color w:val="auto"/>
          <w:kern w:val="2"/>
          <w:sz w:val="32"/>
          <w:szCs w:val="32"/>
          <w:lang w:val="en-US" w:eastAsia="zh-CN" w:bidi="ar-SA"/>
        </w:rPr>
        <w:t>医保定点工作现场调研会分别在桃江召开。2023年全县全年医保门诊报销达303122人次，占常住人口的44.5%。</w:t>
      </w:r>
    </w:p>
    <w:p>
      <w:pPr>
        <w:keepNext w:val="0"/>
        <w:keepLines w:val="0"/>
        <w:pageBreakBefore w:val="0"/>
        <w:widowControl w:val="0"/>
        <w:numPr>
          <w:ilvl w:val="0"/>
          <w:numId w:val="0"/>
        </w:numPr>
        <w:kinsoku/>
        <w:wordWrap/>
        <w:overflowPunct/>
        <w:topLinePunct w:val="0"/>
        <w:bidi w:val="0"/>
        <w:adjustRightInd/>
        <w:snapToGrid/>
        <w:spacing w:line="590" w:lineRule="exact"/>
        <w:ind w:firstLine="640" w:firstLineChars="20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五、下一步工作规划</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caps w:val="0"/>
          <w:snapToGrid w:val="0"/>
          <w:color w:val="auto"/>
          <w:kern w:val="2"/>
          <w:sz w:val="32"/>
          <w:szCs w:val="32"/>
          <w:lang w:val="en-US" w:eastAsia="zh-CN" w:bidi="ar-SA"/>
        </w:rPr>
      </w:pPr>
      <w:r>
        <w:rPr>
          <w:rFonts w:hint="default" w:ascii="Times New Roman" w:hAnsi="Times New Roman" w:eastAsia="楷体_GB2312" w:cs="Times New Roman"/>
          <w:b w:val="0"/>
          <w:bCs/>
          <w:color w:val="000000"/>
          <w:sz w:val="32"/>
          <w:szCs w:val="32"/>
        </w:rPr>
        <w:t>（一）进一步争取各级党委政府及其他部门的重视和支持</w:t>
      </w:r>
      <w:r>
        <w:rPr>
          <w:rFonts w:hint="default" w:ascii="Times New Roman" w:hAnsi="Times New Roman" w:eastAsia="楷体_GB2312" w:cs="Times New Roman"/>
          <w:b w:val="0"/>
          <w:bCs/>
          <w:color w:val="000000"/>
          <w:sz w:val="32"/>
          <w:szCs w:val="32"/>
          <w:lang w:eastAsia="zh-CN"/>
        </w:rPr>
        <w:t>。</w:t>
      </w:r>
      <w:r>
        <w:rPr>
          <w:rFonts w:hint="default" w:ascii="Times New Roman" w:hAnsi="Times New Roman" w:eastAsia="仿宋_GB2312" w:cs="Times New Roman"/>
          <w:b w:val="0"/>
          <w:caps w:val="0"/>
          <w:snapToGrid w:val="0"/>
          <w:color w:val="auto"/>
          <w:kern w:val="2"/>
          <w:sz w:val="32"/>
          <w:szCs w:val="32"/>
          <w:lang w:val="en-US" w:eastAsia="zh-CN" w:bidi="ar-SA"/>
        </w:rPr>
        <w:t>在将基本公共卫生服务项目纳入对乡镇和村级绩效评价内容的基础上，合理有效的运用评价结果，</w:t>
      </w:r>
      <w:r>
        <w:rPr>
          <w:rFonts w:hint="default" w:ascii="Times New Roman" w:hAnsi="Times New Roman" w:eastAsia="仿宋_GB2312" w:cs="Times New Roman"/>
          <w:sz w:val="32"/>
          <w:szCs w:val="32"/>
          <w:lang w:val="en-US" w:eastAsia="zh-CN"/>
        </w:rPr>
        <w:t>加强</w:t>
      </w:r>
      <w:r>
        <w:rPr>
          <w:rFonts w:hint="default" w:ascii="Times New Roman" w:hAnsi="Times New Roman" w:eastAsia="仿宋_GB2312" w:cs="Times New Roman"/>
          <w:b w:val="0"/>
          <w:caps w:val="0"/>
          <w:snapToGrid w:val="0"/>
          <w:color w:val="auto"/>
          <w:kern w:val="2"/>
          <w:sz w:val="32"/>
          <w:szCs w:val="32"/>
          <w:lang w:val="en-US" w:eastAsia="zh-CN" w:bidi="ar-SA"/>
        </w:rPr>
        <w:t>支持力度；加强与财政、医保、人社、民政、残联等部门单位沟通，加强协同工作机制；加大县级公卫指导单位对基层医疗卫生机构人员项目的培训、指导力度，切实提升基层人员的项目工作水平。</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 w:cs="Times New Roman"/>
          <w:color w:val="000000"/>
          <w:sz w:val="32"/>
          <w:szCs w:val="32"/>
        </w:rPr>
      </w:pPr>
      <w:r>
        <w:rPr>
          <w:rFonts w:hint="default" w:ascii="Times New Roman" w:hAnsi="Times New Roman" w:eastAsia="楷体_GB2312" w:cs="Times New Roman"/>
          <w:b w:val="0"/>
          <w:bCs/>
          <w:color w:val="000000"/>
          <w:sz w:val="32"/>
          <w:szCs w:val="32"/>
        </w:rPr>
        <w:t>（二）进一步规范拨付项目资金</w:t>
      </w:r>
      <w:r>
        <w:rPr>
          <w:rFonts w:hint="default" w:ascii="Times New Roman" w:hAnsi="Times New Roman" w:eastAsia="楷体_GB2312" w:cs="Times New Roman"/>
          <w:b w:val="0"/>
          <w:bCs/>
          <w:color w:val="000000"/>
          <w:sz w:val="32"/>
          <w:szCs w:val="32"/>
          <w:lang w:eastAsia="zh-CN"/>
        </w:rPr>
        <w:t>。</w:t>
      </w:r>
      <w:r>
        <w:rPr>
          <w:rFonts w:hint="default" w:ascii="Times New Roman" w:hAnsi="Times New Roman" w:eastAsia="仿宋_GB2312" w:cs="Times New Roman"/>
          <w:b w:val="0"/>
          <w:caps w:val="0"/>
          <w:snapToGrid w:val="0"/>
          <w:color w:val="auto"/>
          <w:kern w:val="2"/>
          <w:sz w:val="32"/>
          <w:szCs w:val="32"/>
          <w:lang w:val="en-US" w:eastAsia="zh-CN" w:bidi="ar-SA"/>
        </w:rPr>
        <w:t>按照钱随事走原则，及时足额将项目资金拨付至基层医疗卫生</w:t>
      </w:r>
      <w:r>
        <w:rPr>
          <w:rFonts w:hint="default" w:ascii="Times New Roman" w:hAnsi="Times New Roman" w:eastAsia="仿宋_GB2312" w:cs="Times New Roman"/>
          <w:sz w:val="32"/>
          <w:szCs w:val="32"/>
          <w:lang w:val="en-US" w:eastAsia="zh-CN"/>
        </w:rPr>
        <w:t>机构</w:t>
      </w:r>
      <w:r>
        <w:rPr>
          <w:rFonts w:hint="default" w:ascii="Times New Roman" w:hAnsi="Times New Roman" w:eastAsia="仿宋_GB2312" w:cs="Times New Roman"/>
          <w:b w:val="0"/>
          <w:caps w:val="0"/>
          <w:snapToGrid w:val="0"/>
          <w:color w:val="auto"/>
          <w:kern w:val="2"/>
          <w:sz w:val="32"/>
          <w:szCs w:val="32"/>
          <w:lang w:val="en-US" w:eastAsia="zh-CN" w:bidi="ar-SA"/>
        </w:rPr>
        <w:t>；加大对项目资金使用的监督力度，确保项目资金专款</w:t>
      </w:r>
      <w:r>
        <w:rPr>
          <w:rFonts w:hint="default" w:ascii="Times New Roman" w:hAnsi="Times New Roman" w:eastAsia="仿宋_GB2312" w:cs="Times New Roman"/>
          <w:sz w:val="32"/>
          <w:szCs w:val="32"/>
          <w:lang w:val="en-US" w:eastAsia="zh-CN"/>
        </w:rPr>
        <w:t>专用</w:t>
      </w:r>
      <w:r>
        <w:rPr>
          <w:rFonts w:hint="default" w:ascii="Times New Roman" w:hAnsi="Times New Roman" w:eastAsia="仿宋_GB2312" w:cs="Times New Roman"/>
          <w:b w:val="0"/>
          <w:caps w:val="0"/>
          <w:snapToGrid w:val="0"/>
          <w:color w:val="auto"/>
          <w:kern w:val="2"/>
          <w:sz w:val="32"/>
          <w:szCs w:val="32"/>
          <w:lang w:val="en-US" w:eastAsia="zh-CN" w:bidi="ar-SA"/>
        </w:rPr>
        <w:t>、合理</w:t>
      </w:r>
      <w:r>
        <w:rPr>
          <w:rFonts w:hint="default" w:ascii="Times New Roman" w:hAnsi="Times New Roman" w:eastAsia="仿宋_GB2312" w:cs="Times New Roman"/>
          <w:b w:val="0"/>
          <w:caps w:val="0"/>
          <w:color w:val="auto"/>
          <w:kern w:val="2"/>
          <w:sz w:val="32"/>
          <w:szCs w:val="32"/>
          <w:lang w:val="en-US" w:eastAsia="zh-CN" w:bidi="ar-SA"/>
        </w:rPr>
        <w:t>支出</w:t>
      </w:r>
      <w:r>
        <w:rPr>
          <w:rFonts w:hint="default" w:ascii="Times New Roman" w:hAnsi="Times New Roman" w:eastAsia="仿宋"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b w:val="0"/>
          <w:caps w:val="0"/>
          <w:snapToGrid w:val="0"/>
          <w:color w:val="auto"/>
          <w:kern w:val="2"/>
          <w:sz w:val="32"/>
          <w:szCs w:val="32"/>
          <w:lang w:val="en-US" w:eastAsia="zh-CN" w:bidi="ar-SA"/>
        </w:rPr>
      </w:pPr>
      <w:r>
        <w:rPr>
          <w:rFonts w:hint="default" w:ascii="Times New Roman" w:hAnsi="Times New Roman" w:eastAsia="楷体_GB2312" w:cs="Times New Roman"/>
          <w:b w:val="0"/>
          <w:bCs w:val="0"/>
          <w:color w:val="000000"/>
          <w:sz w:val="32"/>
          <w:szCs w:val="32"/>
          <w:lang w:val="en-US" w:eastAsia="zh-CN"/>
        </w:rPr>
        <w:t>(三）</w:t>
      </w:r>
      <w:r>
        <w:rPr>
          <w:rFonts w:hint="default" w:ascii="Times New Roman" w:hAnsi="Times New Roman" w:eastAsia="楷体_GB2312" w:cs="Times New Roman"/>
          <w:b w:val="0"/>
          <w:bCs w:val="0"/>
          <w:color w:val="000000"/>
          <w:kern w:val="2"/>
          <w:sz w:val="32"/>
          <w:szCs w:val="32"/>
          <w:lang w:val="en-US" w:eastAsia="zh-CN" w:bidi="ar-SA"/>
        </w:rPr>
        <w:t>进一步深入推进医防融合。</w:t>
      </w:r>
      <w:r>
        <w:rPr>
          <w:rFonts w:hint="default" w:ascii="Times New Roman" w:hAnsi="Times New Roman" w:eastAsia="仿宋_GB2312" w:cs="Times New Roman"/>
          <w:b w:val="0"/>
          <w:bCs w:val="0"/>
          <w:sz w:val="32"/>
          <w:szCs w:val="32"/>
          <w:lang w:val="en-US" w:eastAsia="zh-CN"/>
        </w:rPr>
        <w:t>规范运行“慢病一站式服务”门诊，加强高血压、糖尿病两病患者诊前、诊中、诊后服务，巩固两病患者电子健康档案质量核查，提高公卫3.0备案登记和就诊购药率，加强脑卒中患者、医保特</w:t>
      </w:r>
      <w:r>
        <w:rPr>
          <w:rFonts w:hint="default" w:ascii="Times New Roman" w:hAnsi="Times New Roman" w:eastAsia="仿宋_GB2312" w:cs="Times New Roman"/>
          <w:sz w:val="32"/>
          <w:szCs w:val="32"/>
          <w:lang w:val="en-US" w:eastAsia="zh-CN"/>
        </w:rPr>
        <w:t>门</w:t>
      </w:r>
      <w:r>
        <w:rPr>
          <w:rFonts w:hint="default" w:ascii="Times New Roman" w:hAnsi="Times New Roman" w:eastAsia="仿宋_GB2312" w:cs="Times New Roman"/>
          <w:b w:val="0"/>
          <w:bCs w:val="0"/>
          <w:sz w:val="32"/>
          <w:szCs w:val="32"/>
          <w:lang w:val="en-US" w:eastAsia="zh-CN"/>
        </w:rPr>
        <w:t>患者等高危人群的健康管理。</w:t>
      </w:r>
      <w:r>
        <w:rPr>
          <w:rFonts w:hint="default" w:ascii="Times New Roman" w:hAnsi="Times New Roman" w:eastAsia="仿宋_GB2312" w:cs="Times New Roman"/>
          <w:b w:val="0"/>
          <w:caps w:val="0"/>
          <w:snapToGrid w:val="0"/>
          <w:color w:val="auto"/>
          <w:kern w:val="2"/>
          <w:sz w:val="32"/>
          <w:szCs w:val="32"/>
          <w:lang w:val="en-US" w:eastAsia="zh-CN" w:bidi="ar-SA"/>
        </w:rPr>
        <w:t>利用信息化手段</w:t>
      </w:r>
      <w:r>
        <w:rPr>
          <w:rFonts w:hint="default" w:ascii="Times New Roman" w:hAnsi="Times New Roman" w:eastAsia="仿宋_GB2312" w:cs="Times New Roman"/>
          <w:sz w:val="32"/>
          <w:szCs w:val="32"/>
          <w:lang w:val="en-US" w:eastAsia="zh-CN"/>
        </w:rPr>
        <w:t>开展</w:t>
      </w:r>
      <w:r>
        <w:rPr>
          <w:rFonts w:hint="default" w:ascii="Times New Roman" w:hAnsi="Times New Roman" w:eastAsia="仿宋_GB2312" w:cs="Times New Roman"/>
          <w:b w:val="0"/>
          <w:caps w:val="0"/>
          <w:snapToGrid w:val="0"/>
          <w:color w:val="auto"/>
          <w:kern w:val="2"/>
          <w:sz w:val="32"/>
          <w:szCs w:val="32"/>
          <w:lang w:val="en-US" w:eastAsia="zh-CN" w:bidi="ar-SA"/>
        </w:rPr>
        <w:t>健康体检和随访工作，提高重点人群健康管理质量。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仿宋_GB2312" w:cs="Times New Roman"/>
          <w:spacing w:val="-20"/>
          <w:sz w:val="32"/>
          <w:szCs w:val="32"/>
          <w:lang w:val="en-US" w:eastAsia="zh-CN"/>
        </w:rPr>
      </w:pPr>
      <w:r>
        <w:rPr>
          <w:rFonts w:hint="default" w:ascii="Times New Roman" w:hAnsi="Times New Roman" w:eastAsia="仿宋_GB2312" w:cs="Times New Roman"/>
          <w:sz w:val="32"/>
          <w:szCs w:val="32"/>
          <w:lang w:val="en-US" w:eastAsia="zh-CN"/>
        </w:rPr>
        <w:t>附件：</w:t>
      </w:r>
      <w:r>
        <w:rPr>
          <w:rFonts w:hint="default" w:ascii="Times New Roman" w:hAnsi="Times New Roman" w:eastAsia="仿宋_GB2312" w:cs="Times New Roman"/>
          <w:spacing w:val="-20"/>
          <w:sz w:val="32"/>
          <w:szCs w:val="32"/>
          <w:lang w:val="en-US" w:eastAsia="zh-CN"/>
        </w:rPr>
        <w:t>桃江县2023年度基本公共卫生</w:t>
      </w:r>
      <w:r>
        <w:rPr>
          <w:rFonts w:hint="default" w:ascii="Times New Roman" w:hAnsi="Times New Roman" w:eastAsia="仿宋_GB2312" w:cs="Times New Roman"/>
          <w:sz w:val="32"/>
          <w:szCs w:val="32"/>
          <w:lang w:val="en-US" w:eastAsia="zh-CN"/>
        </w:rPr>
        <w:t>服务</w:t>
      </w:r>
      <w:r>
        <w:rPr>
          <w:rFonts w:hint="default" w:ascii="Times New Roman" w:hAnsi="Times New Roman" w:eastAsia="仿宋_GB2312" w:cs="Times New Roman"/>
          <w:spacing w:val="-20"/>
          <w:sz w:val="32"/>
          <w:szCs w:val="32"/>
          <w:lang w:val="en-US" w:eastAsia="zh-CN"/>
        </w:rPr>
        <w:t>项目绩效自评表</w:t>
      </w:r>
    </w:p>
    <w:p>
      <w:pPr>
        <w:keepNext w:val="0"/>
        <w:keepLines w:val="0"/>
        <w:pageBreakBefore w:val="0"/>
        <w:widowControl w:val="0"/>
        <w:kinsoku/>
        <w:wordWrap/>
        <w:overflowPunct/>
        <w:topLinePunct w:val="0"/>
        <w:bidi w:val="0"/>
        <w:adjustRightInd/>
        <w:snapToGrid/>
        <w:spacing w:line="590" w:lineRule="exact"/>
        <w:jc w:val="center"/>
        <w:textAlignment w:val="auto"/>
        <w:rPr>
          <w:rFonts w:hint="default" w:ascii="Times New Roman" w:hAnsi="Times New Roman" w:eastAsia="楷体_GB2312" w:cs="Times New Roman"/>
          <w:b/>
          <w:bCs/>
          <w:kern w:val="2"/>
          <w:sz w:val="32"/>
          <w:szCs w:val="32"/>
          <w:lang w:val="en-US" w:eastAsia="zh-CN" w:bidi="ar"/>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_GB2312" w:cs="Times New Roman"/>
          <w:b/>
          <w:bCs/>
          <w:kern w:val="2"/>
          <w:sz w:val="32"/>
          <w:szCs w:val="32"/>
          <w:lang w:val="en-US" w:eastAsia="zh-CN" w:bidi="ar"/>
        </w:rPr>
        <w:t xml:space="preserve">                                                      </w:t>
      </w:r>
      <w:r>
        <w:rPr>
          <w:rFonts w:hint="default" w:ascii="Times New Roman" w:hAnsi="Times New Roman" w:eastAsia="仿宋_GB2312" w:cs="Times New Roman"/>
          <w:b w:val="0"/>
          <w:bCs w:val="0"/>
          <w:sz w:val="32"/>
          <w:szCs w:val="32"/>
          <w:lang w:val="en-US" w:eastAsia="zh-CN"/>
        </w:rPr>
        <w:t>桃江县卫生健康局</w:t>
      </w:r>
    </w:p>
    <w:p>
      <w:pPr>
        <w:numPr>
          <w:ilvl w:val="0"/>
          <w:numId w:val="0"/>
        </w:numPr>
        <w:spacing w:line="590" w:lineRule="exact"/>
        <w:ind w:firstLine="640" w:firstLineChars="200"/>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 xml:space="preserve">                                                          202</w:t>
      </w:r>
      <w:r>
        <w:rPr>
          <w:rFonts w:hint="eastAsia" w:ascii="Times New Roman" w:hAnsi="Times New Roman" w:eastAsia="仿宋_GB2312" w:cs="Times New Roman"/>
          <w:b w:val="0"/>
          <w:bCs w:val="0"/>
          <w:sz w:val="32"/>
          <w:szCs w:val="32"/>
          <w:lang w:val="en-US" w:eastAsia="zh-CN"/>
        </w:rPr>
        <w:t>4</w:t>
      </w:r>
      <w:r>
        <w:rPr>
          <w:rFonts w:hint="default" w:ascii="Times New Roman" w:hAnsi="Times New Roman" w:eastAsia="仿宋_GB2312" w:cs="Times New Roman"/>
          <w:b w:val="0"/>
          <w:bCs w:val="0"/>
          <w:sz w:val="32"/>
          <w:szCs w:val="32"/>
          <w:lang w:val="en-US" w:eastAsia="zh-CN"/>
        </w:rPr>
        <w:t>年3月11日</w:t>
      </w:r>
    </w:p>
    <w:p>
      <w:pPr>
        <w:keepNext w:val="0"/>
        <w:keepLines w:val="0"/>
        <w:pageBreakBefore w:val="0"/>
        <w:widowControl w:val="0"/>
        <w:kinsoku/>
        <w:wordWrap/>
        <w:overflowPunct/>
        <w:topLinePunct w:val="0"/>
        <w:bidi w:val="0"/>
        <w:adjustRightInd/>
        <w:snapToGrid/>
        <w:spacing w:line="590" w:lineRule="exact"/>
        <w:jc w:val="center"/>
        <w:textAlignment w:val="auto"/>
        <w:rPr>
          <w:rFonts w:hint="default" w:ascii="Times New Roman" w:hAnsi="Times New Roman" w:eastAsia="楷体_GB2312" w:cs="Times New Roman"/>
          <w:b/>
          <w:bCs/>
          <w:kern w:val="2"/>
          <w:sz w:val="32"/>
          <w:szCs w:val="32"/>
          <w:lang w:val="en-US" w:eastAsia="zh-CN" w:bidi="ar"/>
        </w:rPr>
      </w:pPr>
    </w:p>
    <w:p>
      <w:pPr>
        <w:rPr>
          <w:rFonts w:hint="default" w:ascii="Times New Roman" w:hAnsi="Times New Roman" w:eastAsia="仿宋_GB2312" w:cs="Times New Roman"/>
          <w:spacing w:val="-20"/>
          <w:sz w:val="32"/>
          <w:szCs w:val="32"/>
          <w:lang w:val="en-US" w:eastAsia="zh-CN"/>
        </w:rPr>
      </w:pPr>
    </w:p>
    <w:p>
      <w:pPr>
        <w:pStyle w:val="2"/>
        <w:rPr>
          <w:rFonts w:hint="default" w:ascii="Times New Roman" w:hAnsi="Times New Roman" w:eastAsia="仿宋_GB2312" w:cs="Times New Roman"/>
          <w:spacing w:val="-20"/>
          <w:sz w:val="32"/>
          <w:szCs w:val="32"/>
          <w:lang w:val="en-US" w:eastAsia="zh-CN"/>
        </w:rPr>
      </w:pPr>
    </w:p>
    <w:p>
      <w:pPr>
        <w:rPr>
          <w:rFonts w:hint="default" w:ascii="Times New Roman" w:hAnsi="Times New Roman" w:eastAsia="仿宋_GB2312" w:cs="Times New Roman"/>
          <w:spacing w:val="-20"/>
          <w:sz w:val="32"/>
          <w:szCs w:val="32"/>
          <w:lang w:val="en-US" w:eastAsia="zh-CN"/>
        </w:rPr>
      </w:pPr>
    </w:p>
    <w:p>
      <w:pPr>
        <w:pStyle w:val="2"/>
        <w:rPr>
          <w:rFonts w:hint="default" w:ascii="Times New Roman" w:hAnsi="Times New Roman" w:cs="Times New Roman"/>
          <w:lang w:val="en-US" w:eastAsia="zh-CN"/>
        </w:rPr>
      </w:pPr>
    </w:p>
    <w:p>
      <w:pPr>
        <w:rPr>
          <w:rFonts w:hint="default" w:ascii="Times New Roman" w:hAnsi="Times New Roman" w:eastAsia="仿宋_GB2312" w:cs="Times New Roman"/>
          <w:spacing w:val="-20"/>
          <w:sz w:val="32"/>
          <w:szCs w:val="32"/>
          <w:lang w:val="en-US" w:eastAsia="zh-CN"/>
        </w:rPr>
      </w:pPr>
    </w:p>
    <w:p>
      <w:pPr>
        <w:pStyle w:val="2"/>
        <w:rPr>
          <w:rFonts w:hint="default" w:ascii="Times New Roman" w:hAnsi="Times New Roman" w:cs="Times New Roman"/>
          <w:lang w:val="en-US" w:eastAsia="zh-CN"/>
        </w:rPr>
      </w:pPr>
    </w:p>
    <w:p>
      <w:pPr>
        <w:spacing w:before="81" w:line="224" w:lineRule="auto"/>
        <w:rPr>
          <w:rFonts w:hint="default" w:ascii="Times New Roman" w:hAnsi="Times New Roman" w:eastAsia="黑体" w:cs="Times New Roman"/>
          <w:spacing w:val="-7"/>
          <w:sz w:val="25"/>
          <w:szCs w:val="25"/>
        </w:rPr>
      </w:pPr>
    </w:p>
    <w:p>
      <w:pPr>
        <w:rPr>
          <w:rFonts w:hint="default" w:ascii="Times New Roman" w:hAnsi="Times New Roman" w:eastAsia="黑体" w:cs="Times New Roman"/>
          <w:spacing w:val="-7"/>
          <w:sz w:val="25"/>
          <w:szCs w:val="25"/>
        </w:rPr>
      </w:pPr>
      <w:r>
        <w:rPr>
          <w:rFonts w:hint="default" w:ascii="Times New Roman" w:hAnsi="Times New Roman" w:eastAsia="黑体" w:cs="Times New Roman"/>
          <w:spacing w:val="-7"/>
          <w:sz w:val="25"/>
          <w:szCs w:val="25"/>
        </w:rPr>
        <w:br w:type="page"/>
      </w:r>
    </w:p>
    <w:p>
      <w:pPr>
        <w:spacing w:before="81" w:line="224" w:lineRule="auto"/>
        <w:rPr>
          <w:rFonts w:hint="default" w:ascii="Times New Roman" w:hAnsi="Times New Roman" w:eastAsia="黑体" w:cs="Times New Roman"/>
          <w:sz w:val="25"/>
          <w:szCs w:val="25"/>
        </w:rPr>
      </w:pPr>
      <w:r>
        <w:rPr>
          <w:rFonts w:hint="default" w:ascii="Times New Roman" w:hAnsi="Times New Roman" w:eastAsia="黑体" w:cs="Times New Roman"/>
          <w:spacing w:val="-7"/>
          <w:sz w:val="25"/>
          <w:szCs w:val="25"/>
        </w:rPr>
        <w:t>附件</w:t>
      </w:r>
    </w:p>
    <w:p>
      <w:pPr>
        <w:spacing w:before="11" w:line="219" w:lineRule="auto"/>
        <w:jc w:val="center"/>
        <w:rPr>
          <w:rFonts w:hint="eastAsia" w:ascii="黑体" w:hAnsi="黑体" w:eastAsia="黑体" w:cs="黑体"/>
          <w:sz w:val="32"/>
          <w:szCs w:val="32"/>
        </w:rPr>
      </w:pPr>
      <w:r>
        <w:rPr>
          <w:rFonts w:hint="eastAsia" w:ascii="黑体" w:hAnsi="黑体" w:eastAsia="黑体" w:cs="黑体"/>
          <w:b/>
          <w:bCs/>
          <w:spacing w:val="-7"/>
          <w:sz w:val="32"/>
          <w:szCs w:val="32"/>
          <w:lang w:eastAsia="zh-CN"/>
        </w:rPr>
        <w:t>桃江县基本公共卫生服务</w:t>
      </w:r>
      <w:r>
        <w:rPr>
          <w:rFonts w:hint="eastAsia" w:ascii="黑体" w:hAnsi="黑体" w:eastAsia="黑体" w:cs="黑体"/>
          <w:b/>
          <w:bCs/>
          <w:spacing w:val="-7"/>
          <w:sz w:val="32"/>
          <w:szCs w:val="32"/>
        </w:rPr>
        <w:t>项目</w:t>
      </w:r>
      <w:r>
        <w:rPr>
          <w:rFonts w:hint="eastAsia" w:ascii="黑体" w:hAnsi="黑体" w:eastAsia="黑体" w:cs="黑体"/>
          <w:b/>
          <w:bCs/>
          <w:spacing w:val="-7"/>
          <w:sz w:val="32"/>
          <w:szCs w:val="32"/>
          <w:lang w:eastAsia="zh-CN"/>
        </w:rPr>
        <w:t>资金</w:t>
      </w:r>
      <w:r>
        <w:rPr>
          <w:rFonts w:hint="eastAsia" w:ascii="黑体" w:hAnsi="黑体" w:eastAsia="黑体" w:cs="黑体"/>
          <w:b/>
          <w:bCs/>
          <w:spacing w:val="-7"/>
          <w:sz w:val="32"/>
          <w:szCs w:val="32"/>
        </w:rPr>
        <w:t>绩效自评表</w:t>
      </w:r>
    </w:p>
    <w:p>
      <w:pPr>
        <w:spacing w:before="103" w:line="219" w:lineRule="auto"/>
        <w:ind w:left="4184"/>
        <w:rPr>
          <w:rFonts w:hint="default" w:ascii="Times New Roman" w:hAnsi="Times New Roman" w:eastAsia="宋体" w:cs="Times New Roman"/>
          <w:sz w:val="18"/>
          <w:szCs w:val="18"/>
          <w:lang w:eastAsia="zh-CN"/>
        </w:rPr>
      </w:pPr>
      <w:r>
        <w:rPr>
          <w:rFonts w:hint="default" w:ascii="Times New Roman" w:hAnsi="Times New Roman" w:eastAsia="宋体" w:cs="Times New Roman"/>
          <w:spacing w:val="1"/>
          <w:sz w:val="18"/>
          <w:szCs w:val="18"/>
        </w:rPr>
        <w:t>(2023年度</w:t>
      </w:r>
      <w:r>
        <w:rPr>
          <w:rFonts w:hint="default" w:ascii="Times New Roman" w:hAnsi="Times New Roman" w:eastAsia="宋体" w:cs="Times New Roman"/>
          <w:spacing w:val="1"/>
          <w:sz w:val="18"/>
          <w:szCs w:val="18"/>
          <w:lang w:eastAsia="zh-CN"/>
        </w:rPr>
        <w:t>）</w:t>
      </w:r>
    </w:p>
    <w:p>
      <w:pPr>
        <w:spacing w:line="44" w:lineRule="exact"/>
        <w:rPr>
          <w:rFonts w:hint="default" w:ascii="Times New Roman" w:hAnsi="Times New Roman" w:cs="Times New Roman"/>
        </w:rPr>
      </w:pPr>
    </w:p>
    <w:tbl>
      <w:tblPr>
        <w:tblStyle w:val="6"/>
        <w:tblW w:w="92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44"/>
        <w:gridCol w:w="429"/>
        <w:gridCol w:w="1039"/>
        <w:gridCol w:w="1938"/>
        <w:gridCol w:w="1468"/>
        <w:gridCol w:w="1169"/>
        <w:gridCol w:w="969"/>
        <w:gridCol w:w="18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912" w:type="dxa"/>
            <w:gridSpan w:val="3"/>
            <w:vAlign w:val="top"/>
          </w:tcPr>
          <w:p>
            <w:pPr>
              <w:pStyle w:val="7"/>
              <w:spacing w:before="152" w:line="219" w:lineRule="auto"/>
              <w:ind w:left="134"/>
              <w:rPr>
                <w:rFonts w:hint="default" w:ascii="Times New Roman" w:hAnsi="Times New Roman" w:cs="Times New Roman"/>
                <w:sz w:val="18"/>
                <w:szCs w:val="18"/>
              </w:rPr>
            </w:pPr>
            <w:r>
              <w:rPr>
                <w:rFonts w:hint="default" w:ascii="Times New Roman" w:hAnsi="Times New Roman" w:cs="Times New Roman"/>
                <w:spacing w:val="-1"/>
                <w:sz w:val="18"/>
                <w:szCs w:val="18"/>
              </w:rPr>
              <w:t>转移支付(项目)名称</w:t>
            </w:r>
          </w:p>
        </w:tc>
        <w:tc>
          <w:tcPr>
            <w:tcW w:w="7377" w:type="dxa"/>
            <w:gridSpan w:val="5"/>
            <w:vAlign w:val="center"/>
          </w:tcPr>
          <w:p>
            <w:pPr>
              <w:jc w:val="center"/>
              <w:rPr>
                <w:rFonts w:hint="default" w:ascii="Times New Roman" w:hAnsi="Times New Roman" w:eastAsia="宋体" w:cs="Times New Roman"/>
                <w:sz w:val="21"/>
                <w:lang w:eastAsia="zh-CN"/>
              </w:rPr>
            </w:pPr>
            <w:r>
              <w:rPr>
                <w:rFonts w:hint="default" w:ascii="Times New Roman" w:hAnsi="Times New Roman" w:eastAsia="宋体" w:cs="Times New Roman"/>
                <w:sz w:val="21"/>
                <w:lang w:eastAsia="zh-CN"/>
              </w:rPr>
              <w:t>基本公共卫生服务（原</w:t>
            </w:r>
            <w:r>
              <w:rPr>
                <w:rFonts w:hint="default" w:ascii="Times New Roman" w:hAnsi="Times New Roman" w:eastAsia="宋体" w:cs="Times New Roman"/>
                <w:sz w:val="21"/>
                <w:lang w:val="en-US" w:eastAsia="zh-CN"/>
              </w:rPr>
              <w:t>12类</w:t>
            </w:r>
            <w:r>
              <w:rPr>
                <w:rFonts w:hint="default" w:ascii="Times New Roman" w:hAnsi="Times New Roman" w:eastAsia="宋体" w:cs="Times New Roman"/>
                <w:sz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912" w:type="dxa"/>
            <w:gridSpan w:val="3"/>
            <w:vAlign w:val="top"/>
          </w:tcPr>
          <w:p>
            <w:pPr>
              <w:pStyle w:val="7"/>
              <w:spacing w:before="48" w:line="216" w:lineRule="auto"/>
              <w:ind w:left="404"/>
              <w:rPr>
                <w:rFonts w:hint="default" w:ascii="Times New Roman" w:hAnsi="Times New Roman" w:cs="Times New Roman"/>
                <w:sz w:val="18"/>
                <w:szCs w:val="18"/>
              </w:rPr>
            </w:pPr>
            <w:r>
              <w:rPr>
                <w:rFonts w:hint="default" w:ascii="Times New Roman" w:hAnsi="Times New Roman" w:cs="Times New Roman"/>
                <w:spacing w:val="3"/>
                <w:sz w:val="18"/>
                <w:szCs w:val="18"/>
              </w:rPr>
              <w:t>中央主管部门</w:t>
            </w:r>
          </w:p>
        </w:tc>
        <w:tc>
          <w:tcPr>
            <w:tcW w:w="7377" w:type="dxa"/>
            <w:gridSpan w:val="5"/>
            <w:vAlign w:val="top"/>
          </w:tcPr>
          <w:p>
            <w:pPr>
              <w:jc w:val="center"/>
              <w:rPr>
                <w:rFonts w:hint="default" w:ascii="Times New Roman" w:hAnsi="Times New Roman" w:eastAsia="宋体" w:cs="Times New Roman"/>
                <w:sz w:val="21"/>
                <w:lang w:eastAsia="zh-CN"/>
              </w:rPr>
            </w:pPr>
            <w:r>
              <w:rPr>
                <w:rFonts w:hint="default" w:ascii="Times New Roman" w:hAnsi="Times New Roman" w:eastAsia="宋体" w:cs="Times New Roman"/>
                <w:sz w:val="21"/>
                <w:lang w:eastAsia="zh-CN"/>
              </w:rPr>
              <w:t>国家卫生健康委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912" w:type="dxa"/>
            <w:gridSpan w:val="3"/>
            <w:vAlign w:val="top"/>
          </w:tcPr>
          <w:p>
            <w:pPr>
              <w:pStyle w:val="7"/>
              <w:spacing w:before="49" w:line="216" w:lineRule="auto"/>
              <w:ind w:left="404"/>
              <w:rPr>
                <w:rFonts w:hint="default" w:ascii="Times New Roman" w:hAnsi="Times New Roman" w:cs="Times New Roman"/>
                <w:sz w:val="18"/>
                <w:szCs w:val="18"/>
              </w:rPr>
            </w:pPr>
            <w:r>
              <w:rPr>
                <w:rFonts w:hint="default" w:ascii="Times New Roman" w:hAnsi="Times New Roman" w:cs="Times New Roman"/>
                <w:spacing w:val="3"/>
                <w:sz w:val="18"/>
                <w:szCs w:val="18"/>
              </w:rPr>
              <w:t>地方主管部门</w:t>
            </w:r>
          </w:p>
        </w:tc>
        <w:tc>
          <w:tcPr>
            <w:tcW w:w="3406" w:type="dxa"/>
            <w:gridSpan w:val="2"/>
            <w:vAlign w:val="top"/>
          </w:tcPr>
          <w:p>
            <w:pPr>
              <w:jc w:val="center"/>
              <w:rPr>
                <w:rFonts w:hint="default" w:ascii="Times New Roman" w:hAnsi="Times New Roman" w:eastAsia="宋体" w:cs="Times New Roman"/>
                <w:sz w:val="21"/>
                <w:lang w:eastAsia="zh-CN"/>
              </w:rPr>
            </w:pPr>
            <w:r>
              <w:rPr>
                <w:rFonts w:hint="default" w:ascii="Times New Roman" w:hAnsi="Times New Roman" w:eastAsia="宋体" w:cs="Times New Roman"/>
                <w:sz w:val="21"/>
                <w:lang w:eastAsia="zh-CN"/>
              </w:rPr>
              <w:t>桃江县卫生健康局</w:t>
            </w:r>
          </w:p>
        </w:tc>
        <w:tc>
          <w:tcPr>
            <w:tcW w:w="1169" w:type="dxa"/>
            <w:vAlign w:val="top"/>
          </w:tcPr>
          <w:p>
            <w:pPr>
              <w:pStyle w:val="7"/>
              <w:spacing w:before="49" w:line="216" w:lineRule="auto"/>
              <w:ind w:left="36"/>
              <w:jc w:val="center"/>
              <w:rPr>
                <w:rFonts w:hint="default" w:ascii="Times New Roman" w:hAnsi="Times New Roman" w:cs="Times New Roman"/>
                <w:sz w:val="18"/>
                <w:szCs w:val="18"/>
              </w:rPr>
            </w:pPr>
            <w:r>
              <w:rPr>
                <w:rFonts w:hint="default" w:ascii="Times New Roman" w:hAnsi="Times New Roman" w:cs="Times New Roman"/>
                <w:spacing w:val="1"/>
                <w:sz w:val="18"/>
                <w:szCs w:val="18"/>
              </w:rPr>
              <w:t>资金使用单位</w:t>
            </w:r>
          </w:p>
        </w:tc>
        <w:tc>
          <w:tcPr>
            <w:tcW w:w="2802" w:type="dxa"/>
            <w:gridSpan w:val="2"/>
            <w:vAlign w:val="top"/>
          </w:tcPr>
          <w:p>
            <w:pPr>
              <w:jc w:val="center"/>
              <w:rPr>
                <w:rFonts w:hint="default" w:ascii="Times New Roman" w:hAnsi="Times New Roman" w:eastAsia="宋体" w:cs="Times New Roman"/>
                <w:sz w:val="21"/>
                <w:lang w:eastAsia="zh-CN"/>
              </w:rPr>
            </w:pPr>
            <w:r>
              <w:rPr>
                <w:rFonts w:hint="default" w:ascii="Times New Roman" w:hAnsi="Times New Roman" w:eastAsia="宋体" w:cs="Times New Roman"/>
                <w:sz w:val="21"/>
                <w:lang w:eastAsia="zh-CN"/>
              </w:rPr>
              <w:t>乡镇卫生院和村卫生室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912" w:type="dxa"/>
            <w:gridSpan w:val="3"/>
            <w:vMerge w:val="restart"/>
            <w:tcBorders>
              <w:bottom w:val="nil"/>
            </w:tcBorders>
            <w:vAlign w:val="top"/>
          </w:tcPr>
          <w:p>
            <w:pPr>
              <w:spacing w:line="273" w:lineRule="auto"/>
              <w:rPr>
                <w:rFonts w:hint="default" w:ascii="Times New Roman" w:hAnsi="Times New Roman" w:cs="Times New Roman"/>
                <w:sz w:val="21"/>
              </w:rPr>
            </w:pPr>
          </w:p>
          <w:p>
            <w:pPr>
              <w:spacing w:line="274" w:lineRule="auto"/>
              <w:rPr>
                <w:rFonts w:hint="default" w:ascii="Times New Roman" w:hAnsi="Times New Roman" w:cs="Times New Roman"/>
                <w:sz w:val="21"/>
              </w:rPr>
            </w:pPr>
          </w:p>
          <w:p>
            <w:pPr>
              <w:pStyle w:val="7"/>
              <w:spacing w:before="59" w:line="220" w:lineRule="auto"/>
              <w:ind w:left="404"/>
              <w:rPr>
                <w:rFonts w:hint="default" w:ascii="Times New Roman" w:hAnsi="Times New Roman" w:cs="Times New Roman"/>
                <w:sz w:val="18"/>
                <w:szCs w:val="18"/>
              </w:rPr>
            </w:pPr>
            <w:r>
              <w:rPr>
                <w:rFonts w:hint="default" w:ascii="Times New Roman" w:hAnsi="Times New Roman" w:cs="Times New Roman"/>
                <w:spacing w:val="1"/>
                <w:sz w:val="18"/>
                <w:szCs w:val="18"/>
              </w:rPr>
              <w:t>资金投入情况</w:t>
            </w:r>
          </w:p>
          <w:p>
            <w:pPr>
              <w:pStyle w:val="7"/>
              <w:spacing w:before="5" w:line="220" w:lineRule="auto"/>
              <w:ind w:left="674"/>
              <w:rPr>
                <w:rFonts w:hint="default" w:ascii="Times New Roman" w:hAnsi="Times New Roman" w:cs="Times New Roman"/>
                <w:sz w:val="18"/>
                <w:szCs w:val="18"/>
              </w:rPr>
            </w:pPr>
            <w:r>
              <w:rPr>
                <w:rFonts w:hint="default" w:ascii="Times New Roman" w:hAnsi="Times New Roman" w:cs="Times New Roman"/>
                <w:spacing w:val="9"/>
                <w:sz w:val="18"/>
                <w:szCs w:val="18"/>
              </w:rPr>
              <w:t>(万元)</w:t>
            </w:r>
          </w:p>
        </w:tc>
        <w:tc>
          <w:tcPr>
            <w:tcW w:w="1938" w:type="dxa"/>
            <w:vAlign w:val="top"/>
          </w:tcPr>
          <w:p>
            <w:pPr>
              <w:rPr>
                <w:rFonts w:hint="default" w:ascii="Times New Roman" w:hAnsi="Times New Roman" w:cs="Times New Roman"/>
                <w:sz w:val="21"/>
              </w:rPr>
            </w:pPr>
          </w:p>
        </w:tc>
        <w:tc>
          <w:tcPr>
            <w:tcW w:w="1468" w:type="dxa"/>
            <w:vAlign w:val="top"/>
          </w:tcPr>
          <w:p>
            <w:pPr>
              <w:pStyle w:val="7"/>
              <w:spacing w:before="129" w:line="219" w:lineRule="auto"/>
              <w:ind w:left="104"/>
              <w:rPr>
                <w:rFonts w:hint="default" w:ascii="Times New Roman" w:hAnsi="Times New Roman" w:cs="Times New Roman"/>
                <w:sz w:val="18"/>
                <w:szCs w:val="18"/>
              </w:rPr>
            </w:pPr>
            <w:r>
              <w:rPr>
                <w:rFonts w:hint="default" w:ascii="Times New Roman" w:hAnsi="Times New Roman" w:cs="Times New Roman"/>
                <w:spacing w:val="4"/>
                <w:sz w:val="18"/>
                <w:szCs w:val="18"/>
              </w:rPr>
              <w:t>全年预算数(A)</w:t>
            </w:r>
          </w:p>
        </w:tc>
        <w:tc>
          <w:tcPr>
            <w:tcW w:w="2138" w:type="dxa"/>
            <w:gridSpan w:val="2"/>
            <w:vAlign w:val="top"/>
          </w:tcPr>
          <w:p>
            <w:pPr>
              <w:pStyle w:val="7"/>
              <w:spacing w:before="129" w:line="219" w:lineRule="auto"/>
              <w:ind w:left="417"/>
              <w:rPr>
                <w:rFonts w:hint="default" w:ascii="Times New Roman" w:hAnsi="Times New Roman" w:cs="Times New Roman"/>
                <w:sz w:val="18"/>
                <w:szCs w:val="18"/>
              </w:rPr>
            </w:pPr>
            <w:r>
              <w:rPr>
                <w:rFonts w:hint="default" w:ascii="Times New Roman" w:hAnsi="Times New Roman" w:cs="Times New Roman"/>
                <w:spacing w:val="4"/>
                <w:sz w:val="18"/>
                <w:szCs w:val="18"/>
              </w:rPr>
              <w:t>全年执行数(B)</w:t>
            </w:r>
          </w:p>
        </w:tc>
        <w:tc>
          <w:tcPr>
            <w:tcW w:w="1833" w:type="dxa"/>
            <w:vAlign w:val="top"/>
          </w:tcPr>
          <w:p>
            <w:pPr>
              <w:pStyle w:val="7"/>
              <w:spacing w:before="48" w:line="195" w:lineRule="auto"/>
              <w:ind w:left="508" w:right="362" w:hanging="50"/>
              <w:rPr>
                <w:rFonts w:hint="default" w:ascii="Times New Roman" w:hAnsi="Times New Roman" w:cs="Times New Roman"/>
                <w:sz w:val="18"/>
                <w:szCs w:val="18"/>
              </w:rPr>
            </w:pPr>
            <w:r>
              <w:rPr>
                <w:rFonts w:hint="default" w:ascii="Times New Roman" w:hAnsi="Times New Roman" w:cs="Times New Roman"/>
                <w:spacing w:val="-2"/>
                <w:sz w:val="18"/>
                <w:szCs w:val="18"/>
              </w:rPr>
              <w:t>预算执行率</w:t>
            </w:r>
            <w:r>
              <w:rPr>
                <w:rFonts w:hint="default" w:ascii="Times New Roman" w:hAnsi="Times New Roman" w:cs="Times New Roman"/>
                <w:sz w:val="18"/>
                <w:szCs w:val="18"/>
              </w:rPr>
              <w:t xml:space="preserve">  </w:t>
            </w:r>
            <w:r>
              <w:rPr>
                <w:rFonts w:hint="default" w:ascii="Times New Roman" w:hAnsi="Times New Roman" w:cs="Times New Roman"/>
                <w:spacing w:val="-4"/>
                <w:sz w:val="18"/>
                <w:szCs w:val="18"/>
              </w:rPr>
              <w:t>(B/A×100%)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0" w:line="219" w:lineRule="auto"/>
              <w:ind w:left="23"/>
              <w:rPr>
                <w:rFonts w:hint="default" w:ascii="Times New Roman" w:hAnsi="Times New Roman" w:cs="Times New Roman"/>
                <w:sz w:val="18"/>
                <w:szCs w:val="18"/>
              </w:rPr>
            </w:pPr>
            <w:r>
              <w:rPr>
                <w:rFonts w:hint="default" w:ascii="Times New Roman" w:hAnsi="Times New Roman" w:cs="Times New Roman"/>
                <w:spacing w:val="-1"/>
                <w:sz w:val="18"/>
                <w:szCs w:val="18"/>
              </w:rPr>
              <w:t>年度资金总额：</w:t>
            </w:r>
          </w:p>
        </w:tc>
        <w:tc>
          <w:tcPr>
            <w:tcW w:w="1468" w:type="dxa"/>
            <w:vAlign w:val="center"/>
          </w:tcPr>
          <w:p>
            <w:pPr>
              <w:pStyle w:val="7"/>
              <w:spacing w:before="59" w:line="220" w:lineRule="auto"/>
              <w:jc w:val="center"/>
              <w:rPr>
                <w:rFonts w:hint="default" w:ascii="Times New Roman" w:hAnsi="Times New Roman" w:eastAsia="宋体" w:cs="Times New Roman"/>
                <w:snapToGrid w:val="0"/>
                <w:color w:val="000000"/>
                <w:spacing w:val="1"/>
                <w:kern w:val="0"/>
                <w:sz w:val="18"/>
                <w:szCs w:val="18"/>
                <w:lang w:val="en-US" w:eastAsia="zh-CN" w:bidi="ar-SA"/>
              </w:rPr>
            </w:pPr>
            <w:r>
              <w:rPr>
                <w:rFonts w:hint="default" w:ascii="Times New Roman" w:hAnsi="Times New Roman" w:eastAsia="宋体" w:cs="Times New Roman"/>
                <w:spacing w:val="1"/>
                <w:sz w:val="18"/>
                <w:szCs w:val="18"/>
                <w:lang w:val="en-US" w:eastAsia="zh-CN"/>
              </w:rPr>
              <w:t>5449.6</w:t>
            </w:r>
          </w:p>
        </w:tc>
        <w:tc>
          <w:tcPr>
            <w:tcW w:w="2138" w:type="dxa"/>
            <w:gridSpan w:val="2"/>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5449.6</w:t>
            </w:r>
          </w:p>
        </w:tc>
        <w:tc>
          <w:tcPr>
            <w:tcW w:w="1833" w:type="dxa"/>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0" w:line="220" w:lineRule="auto"/>
              <w:ind w:left="102"/>
              <w:rPr>
                <w:rFonts w:hint="default" w:ascii="Times New Roman" w:hAnsi="Times New Roman" w:cs="Times New Roman"/>
                <w:sz w:val="18"/>
                <w:szCs w:val="18"/>
              </w:rPr>
            </w:pPr>
            <w:r>
              <w:rPr>
                <w:rFonts w:hint="default" w:ascii="Times New Roman" w:hAnsi="Times New Roman" w:cs="Times New Roman"/>
                <w:spacing w:val="-1"/>
                <w:sz w:val="18"/>
                <w:szCs w:val="18"/>
              </w:rPr>
              <w:t>其中：中央财政资金</w:t>
            </w:r>
          </w:p>
        </w:tc>
        <w:tc>
          <w:tcPr>
            <w:tcW w:w="1468" w:type="dxa"/>
            <w:vAlign w:val="center"/>
          </w:tcPr>
          <w:p>
            <w:pPr>
              <w:pStyle w:val="7"/>
              <w:spacing w:before="59" w:line="220" w:lineRule="auto"/>
              <w:jc w:val="center"/>
              <w:rPr>
                <w:rFonts w:hint="default" w:ascii="Times New Roman" w:hAnsi="Times New Roman" w:eastAsia="宋体" w:cs="Times New Roman"/>
                <w:snapToGrid w:val="0"/>
                <w:color w:val="000000"/>
                <w:spacing w:val="1"/>
                <w:kern w:val="0"/>
                <w:sz w:val="18"/>
                <w:szCs w:val="18"/>
                <w:lang w:val="en-US" w:eastAsia="zh-CN" w:bidi="ar-SA"/>
              </w:rPr>
            </w:pPr>
            <w:r>
              <w:rPr>
                <w:rFonts w:hint="default" w:ascii="Times New Roman" w:hAnsi="Times New Roman" w:eastAsia="宋体" w:cs="Times New Roman"/>
                <w:spacing w:val="1"/>
                <w:sz w:val="18"/>
                <w:szCs w:val="18"/>
                <w:lang w:val="en-US" w:eastAsia="zh-CN"/>
              </w:rPr>
              <w:t>3269.85</w:t>
            </w:r>
          </w:p>
        </w:tc>
        <w:tc>
          <w:tcPr>
            <w:tcW w:w="2138" w:type="dxa"/>
            <w:gridSpan w:val="2"/>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3269.85</w:t>
            </w:r>
          </w:p>
        </w:tc>
        <w:tc>
          <w:tcPr>
            <w:tcW w:w="1833" w:type="dxa"/>
            <w:vAlign w:val="center"/>
          </w:tcPr>
          <w:p>
            <w:pPr>
              <w:pStyle w:val="7"/>
              <w:spacing w:before="59" w:line="220" w:lineRule="auto"/>
              <w:jc w:val="center"/>
              <w:rPr>
                <w:rFonts w:hint="default" w:ascii="Times New Roman" w:hAnsi="Times New Roman" w:eastAsia="宋体" w:cs="Times New Roman"/>
                <w:spacing w:val="1"/>
                <w:sz w:val="18"/>
                <w:szCs w:val="18"/>
              </w:rPr>
            </w:pPr>
            <w:r>
              <w:rPr>
                <w:rFonts w:hint="default" w:ascii="Times New Roman" w:hAnsi="Times New Roman" w:eastAsia="宋体" w:cs="Times New Roman"/>
                <w:spacing w:val="1"/>
                <w:sz w:val="18"/>
                <w:szCs w:val="18"/>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1" w:line="221" w:lineRule="auto"/>
              <w:ind w:left="652"/>
              <w:rPr>
                <w:rFonts w:hint="default" w:ascii="Times New Roman" w:hAnsi="Times New Roman" w:cs="Times New Roman"/>
                <w:sz w:val="18"/>
                <w:szCs w:val="18"/>
              </w:rPr>
            </w:pPr>
            <w:r>
              <w:rPr>
                <w:rFonts w:hint="default" w:ascii="Times New Roman" w:hAnsi="Times New Roman" w:cs="Times New Roman"/>
                <w:spacing w:val="-1"/>
                <w:sz w:val="18"/>
                <w:szCs w:val="18"/>
              </w:rPr>
              <w:t>地方财政资金</w:t>
            </w:r>
          </w:p>
        </w:tc>
        <w:tc>
          <w:tcPr>
            <w:tcW w:w="1468" w:type="dxa"/>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cs="Times New Roman"/>
                <w:spacing w:val="1"/>
                <w:sz w:val="18"/>
                <w:szCs w:val="18"/>
                <w:lang w:val="en-US" w:eastAsia="zh-CN"/>
              </w:rPr>
              <w:t>2179.75</w:t>
            </w:r>
          </w:p>
        </w:tc>
        <w:tc>
          <w:tcPr>
            <w:tcW w:w="2138" w:type="dxa"/>
            <w:gridSpan w:val="2"/>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cs="Times New Roman"/>
                <w:spacing w:val="1"/>
                <w:sz w:val="18"/>
                <w:szCs w:val="18"/>
                <w:lang w:val="en-US" w:eastAsia="zh-CN"/>
              </w:rPr>
              <w:t>2179.75</w:t>
            </w:r>
          </w:p>
        </w:tc>
        <w:tc>
          <w:tcPr>
            <w:tcW w:w="1833" w:type="dxa"/>
            <w:vAlign w:val="center"/>
          </w:tcPr>
          <w:p>
            <w:pPr>
              <w:pStyle w:val="7"/>
              <w:spacing w:before="59" w:line="220" w:lineRule="auto"/>
              <w:jc w:val="center"/>
              <w:rPr>
                <w:rFonts w:hint="default" w:ascii="Times New Roman" w:hAnsi="Times New Roman" w:eastAsia="宋体" w:cs="Times New Roman"/>
                <w:spacing w:val="1"/>
                <w:sz w:val="18"/>
                <w:szCs w:val="18"/>
              </w:rPr>
            </w:pPr>
            <w:r>
              <w:rPr>
                <w:rFonts w:hint="default" w:ascii="Times New Roman" w:hAnsi="Times New Roman" w:eastAsia="宋体" w:cs="Times New Roman"/>
                <w:spacing w:val="1"/>
                <w:sz w:val="18"/>
                <w:szCs w:val="18"/>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tcBorders>
            <w:vAlign w:val="top"/>
          </w:tcPr>
          <w:p>
            <w:pPr>
              <w:rPr>
                <w:rFonts w:hint="default" w:ascii="Times New Roman" w:hAnsi="Times New Roman" w:cs="Times New Roman"/>
                <w:sz w:val="21"/>
              </w:rPr>
            </w:pPr>
          </w:p>
        </w:tc>
        <w:tc>
          <w:tcPr>
            <w:tcW w:w="1938" w:type="dxa"/>
            <w:vAlign w:val="top"/>
          </w:tcPr>
          <w:p>
            <w:pPr>
              <w:pStyle w:val="7"/>
              <w:spacing w:before="50" w:line="220" w:lineRule="auto"/>
              <w:ind w:left="682"/>
              <w:rPr>
                <w:rFonts w:hint="default" w:ascii="Times New Roman" w:hAnsi="Times New Roman" w:cs="Times New Roman"/>
                <w:sz w:val="18"/>
                <w:szCs w:val="18"/>
              </w:rPr>
            </w:pPr>
            <w:r>
              <w:rPr>
                <w:rFonts w:hint="default" w:ascii="Times New Roman" w:hAnsi="Times New Roman" w:cs="Times New Roman"/>
                <w:spacing w:val="-2"/>
                <w:sz w:val="18"/>
                <w:szCs w:val="18"/>
              </w:rPr>
              <w:t>其他资金</w:t>
            </w:r>
          </w:p>
        </w:tc>
        <w:tc>
          <w:tcPr>
            <w:tcW w:w="1468" w:type="dxa"/>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cs="Times New Roman"/>
                <w:spacing w:val="1"/>
                <w:sz w:val="18"/>
                <w:szCs w:val="18"/>
                <w:lang w:val="en-US" w:eastAsia="zh-CN"/>
              </w:rPr>
              <w:t>0</w:t>
            </w:r>
          </w:p>
        </w:tc>
        <w:tc>
          <w:tcPr>
            <w:tcW w:w="2138" w:type="dxa"/>
            <w:gridSpan w:val="2"/>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cs="Times New Roman"/>
                <w:spacing w:val="1"/>
                <w:sz w:val="18"/>
                <w:szCs w:val="18"/>
                <w:lang w:val="en-US" w:eastAsia="zh-CN"/>
              </w:rPr>
              <w:t>0</w:t>
            </w:r>
          </w:p>
        </w:tc>
        <w:tc>
          <w:tcPr>
            <w:tcW w:w="1833" w:type="dxa"/>
            <w:vAlign w:val="center"/>
          </w:tcPr>
          <w:p>
            <w:pPr>
              <w:pStyle w:val="7"/>
              <w:spacing w:before="59" w:line="220" w:lineRule="auto"/>
              <w:jc w:val="center"/>
              <w:rPr>
                <w:rFonts w:hint="default" w:ascii="Times New Roman" w:hAnsi="Times New Roman" w:eastAsia="宋体" w:cs="Times New Roman"/>
                <w:spacing w:val="1"/>
                <w:sz w:val="18"/>
                <w:szCs w:val="18"/>
                <w:lang w:val="en-US" w:eastAsia="zh-CN"/>
              </w:rPr>
            </w:pPr>
            <w:r>
              <w:rPr>
                <w:rFonts w:hint="default" w:ascii="Times New Roman" w:hAnsi="Times New Roman" w:cs="Times New Roman"/>
                <w:spacing w:val="1"/>
                <w:sz w:val="18"/>
                <w:szCs w:val="18"/>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912" w:type="dxa"/>
            <w:gridSpan w:val="3"/>
            <w:vMerge w:val="restart"/>
            <w:tcBorders>
              <w:bottom w:val="nil"/>
            </w:tcBorders>
            <w:vAlign w:val="top"/>
          </w:tcPr>
          <w:p>
            <w:pPr>
              <w:spacing w:line="246" w:lineRule="auto"/>
              <w:rPr>
                <w:rFonts w:hint="default" w:ascii="Times New Roman" w:hAnsi="Times New Roman" w:cs="Times New Roman"/>
                <w:sz w:val="21"/>
              </w:rPr>
            </w:pPr>
          </w:p>
          <w:p>
            <w:pPr>
              <w:spacing w:line="246" w:lineRule="auto"/>
              <w:rPr>
                <w:rFonts w:hint="default" w:ascii="Times New Roman" w:hAnsi="Times New Roman" w:cs="Times New Roman"/>
                <w:sz w:val="21"/>
              </w:rPr>
            </w:pPr>
          </w:p>
          <w:p>
            <w:pPr>
              <w:spacing w:line="246" w:lineRule="auto"/>
              <w:rPr>
                <w:rFonts w:hint="default" w:ascii="Times New Roman" w:hAnsi="Times New Roman" w:cs="Times New Roman"/>
                <w:sz w:val="21"/>
              </w:rPr>
            </w:pPr>
          </w:p>
          <w:p>
            <w:pPr>
              <w:spacing w:line="247" w:lineRule="auto"/>
              <w:rPr>
                <w:rFonts w:hint="default" w:ascii="Times New Roman" w:hAnsi="Times New Roman" w:cs="Times New Roman"/>
                <w:sz w:val="21"/>
              </w:rPr>
            </w:pPr>
          </w:p>
          <w:p>
            <w:pPr>
              <w:pStyle w:val="7"/>
              <w:spacing w:before="59" w:line="219" w:lineRule="auto"/>
              <w:ind w:left="404"/>
              <w:rPr>
                <w:rFonts w:hint="default" w:ascii="Times New Roman" w:hAnsi="Times New Roman" w:cs="Times New Roman"/>
                <w:sz w:val="18"/>
                <w:szCs w:val="18"/>
              </w:rPr>
            </w:pPr>
            <w:r>
              <w:rPr>
                <w:rFonts w:hint="default" w:ascii="Times New Roman" w:hAnsi="Times New Roman" w:cs="Times New Roman"/>
                <w:spacing w:val="1"/>
                <w:sz w:val="18"/>
                <w:szCs w:val="18"/>
              </w:rPr>
              <w:t>资金管理情况</w:t>
            </w:r>
          </w:p>
        </w:tc>
        <w:tc>
          <w:tcPr>
            <w:tcW w:w="1938" w:type="dxa"/>
            <w:vAlign w:val="top"/>
          </w:tcPr>
          <w:p>
            <w:pPr>
              <w:rPr>
                <w:rFonts w:hint="default" w:ascii="Times New Roman" w:hAnsi="Times New Roman" w:cs="Times New Roman"/>
                <w:sz w:val="21"/>
              </w:rPr>
            </w:pPr>
          </w:p>
        </w:tc>
        <w:tc>
          <w:tcPr>
            <w:tcW w:w="3606" w:type="dxa"/>
            <w:gridSpan w:val="3"/>
            <w:vAlign w:val="top"/>
          </w:tcPr>
          <w:p>
            <w:pPr>
              <w:pStyle w:val="7"/>
              <w:spacing w:before="50" w:line="215" w:lineRule="auto"/>
              <w:ind w:left="1454"/>
              <w:rPr>
                <w:rFonts w:hint="default" w:ascii="Times New Roman" w:hAnsi="Times New Roman" w:cs="Times New Roman"/>
                <w:sz w:val="18"/>
                <w:szCs w:val="18"/>
              </w:rPr>
            </w:pPr>
            <w:r>
              <w:rPr>
                <w:rFonts w:hint="default" w:ascii="Times New Roman" w:hAnsi="Times New Roman" w:cs="Times New Roman"/>
                <w:spacing w:val="4"/>
                <w:sz w:val="18"/>
                <w:szCs w:val="18"/>
              </w:rPr>
              <w:t>情况说明</w:t>
            </w:r>
          </w:p>
        </w:tc>
        <w:tc>
          <w:tcPr>
            <w:tcW w:w="1833" w:type="dxa"/>
            <w:vAlign w:val="top"/>
          </w:tcPr>
          <w:p>
            <w:pPr>
              <w:pStyle w:val="7"/>
              <w:spacing w:before="50" w:line="215" w:lineRule="auto"/>
              <w:ind w:left="98"/>
              <w:rPr>
                <w:rFonts w:hint="default" w:ascii="Times New Roman" w:hAnsi="Times New Roman" w:cs="Times New Roman"/>
                <w:sz w:val="18"/>
                <w:szCs w:val="18"/>
              </w:rPr>
            </w:pPr>
            <w:r>
              <w:rPr>
                <w:rFonts w:hint="default" w:ascii="Times New Roman" w:hAnsi="Times New Roman" w:cs="Times New Roman"/>
                <w:spacing w:val="-1"/>
                <w:sz w:val="18"/>
                <w:szCs w:val="18"/>
              </w:rPr>
              <w:t>存在问题和改进措施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49" w:line="215" w:lineRule="auto"/>
              <w:ind w:left="23"/>
              <w:rPr>
                <w:rFonts w:hint="default" w:ascii="Times New Roman" w:hAnsi="Times New Roman" w:cs="Times New Roman"/>
                <w:sz w:val="18"/>
                <w:szCs w:val="18"/>
              </w:rPr>
            </w:pPr>
            <w:r>
              <w:rPr>
                <w:rFonts w:hint="default" w:ascii="Times New Roman" w:hAnsi="Times New Roman" w:cs="Times New Roman"/>
                <w:spacing w:val="-2"/>
                <w:sz w:val="18"/>
                <w:szCs w:val="18"/>
              </w:rPr>
              <w:t>分配科学性</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严格按照湖南省财政厅、省卫生健康委、省医疗保障局</w:t>
            </w:r>
            <w:r>
              <w:rPr>
                <w:rFonts w:hint="default" w:ascii="Times New Roman" w:hAnsi="Times New Roman" w:eastAsia="宋体" w:cs="Times New Roman"/>
                <w:spacing w:val="-2"/>
                <w:sz w:val="18"/>
                <w:szCs w:val="18"/>
                <w:lang w:val="en-US" w:eastAsia="zh-CN"/>
              </w:rPr>
              <w:t>《关于修订基本公共卫生服务等6项补助资金管理办法的通知》（</w:t>
            </w:r>
            <w:r>
              <w:rPr>
                <w:rFonts w:hint="default" w:ascii="Times New Roman" w:hAnsi="Times New Roman" w:eastAsia="宋体" w:cs="Times New Roman"/>
                <w:spacing w:val="-2"/>
                <w:sz w:val="18"/>
                <w:szCs w:val="18"/>
                <w:lang w:val="en-US" w:eastAsia="en-US"/>
              </w:rPr>
              <w:t>湘</w:t>
            </w:r>
            <w:r>
              <w:rPr>
                <w:rFonts w:hint="default" w:ascii="Times New Roman" w:hAnsi="Times New Roman" w:eastAsia="宋体" w:cs="Times New Roman"/>
                <w:spacing w:val="-2"/>
                <w:sz w:val="18"/>
                <w:szCs w:val="18"/>
                <w:lang w:val="en-US" w:eastAsia="zh-CN"/>
              </w:rPr>
              <w:t>财社〔2023〕22号）文件执行。分配科学。</w:t>
            </w:r>
            <w:bookmarkStart w:id="0" w:name="_GoBack"/>
            <w:bookmarkEnd w:id="0"/>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2" w:line="221" w:lineRule="auto"/>
              <w:ind w:left="23"/>
              <w:rPr>
                <w:rFonts w:hint="default" w:ascii="Times New Roman" w:hAnsi="Times New Roman" w:cs="Times New Roman"/>
                <w:sz w:val="18"/>
                <w:szCs w:val="18"/>
              </w:rPr>
            </w:pPr>
            <w:r>
              <w:rPr>
                <w:rFonts w:hint="default" w:ascii="Times New Roman" w:hAnsi="Times New Roman" w:cs="Times New Roman"/>
                <w:spacing w:val="-3"/>
                <w:sz w:val="18"/>
                <w:szCs w:val="18"/>
              </w:rPr>
              <w:t>下达及时性</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val="en-US" w:eastAsia="zh-CN"/>
              </w:rPr>
            </w:pPr>
            <w:r>
              <w:rPr>
                <w:rFonts w:hint="default" w:ascii="Times New Roman" w:hAnsi="Times New Roman" w:eastAsia="宋体" w:cs="Times New Roman"/>
                <w:spacing w:val="-2"/>
                <w:sz w:val="18"/>
                <w:szCs w:val="18"/>
                <w:lang w:eastAsia="zh-CN"/>
              </w:rPr>
              <w:t>按季度下达，下达及时。</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1" w:line="219" w:lineRule="auto"/>
              <w:ind w:left="23"/>
              <w:rPr>
                <w:rFonts w:hint="default" w:ascii="Times New Roman" w:hAnsi="Times New Roman" w:cs="Times New Roman"/>
                <w:sz w:val="18"/>
                <w:szCs w:val="18"/>
              </w:rPr>
            </w:pPr>
            <w:r>
              <w:rPr>
                <w:rFonts w:hint="default" w:ascii="Times New Roman" w:hAnsi="Times New Roman" w:cs="Times New Roman"/>
                <w:spacing w:val="-2"/>
                <w:sz w:val="18"/>
                <w:szCs w:val="18"/>
              </w:rPr>
              <w:t>拨付合规性</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拨付合规</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1" w:line="213" w:lineRule="auto"/>
              <w:ind w:left="23"/>
              <w:rPr>
                <w:rFonts w:hint="default" w:ascii="Times New Roman" w:hAnsi="Times New Roman" w:cs="Times New Roman"/>
                <w:sz w:val="18"/>
                <w:szCs w:val="18"/>
              </w:rPr>
            </w:pPr>
            <w:r>
              <w:rPr>
                <w:rFonts w:hint="default" w:ascii="Times New Roman" w:hAnsi="Times New Roman" w:cs="Times New Roman"/>
                <w:spacing w:val="-2"/>
                <w:sz w:val="18"/>
                <w:szCs w:val="18"/>
              </w:rPr>
              <w:t>使用规范性</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使用规范</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2" w:line="213" w:lineRule="auto"/>
              <w:ind w:left="23"/>
              <w:rPr>
                <w:rFonts w:hint="default" w:ascii="Times New Roman" w:hAnsi="Times New Roman" w:cs="Times New Roman"/>
                <w:sz w:val="18"/>
                <w:szCs w:val="18"/>
              </w:rPr>
            </w:pPr>
            <w:r>
              <w:rPr>
                <w:rFonts w:hint="default" w:ascii="Times New Roman" w:hAnsi="Times New Roman" w:cs="Times New Roman"/>
                <w:spacing w:val="-2"/>
                <w:sz w:val="18"/>
                <w:szCs w:val="18"/>
              </w:rPr>
              <w:t>执行准确性</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执行准确</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bottom w:val="nil"/>
            </w:tcBorders>
            <w:vAlign w:val="top"/>
          </w:tcPr>
          <w:p>
            <w:pPr>
              <w:rPr>
                <w:rFonts w:hint="default" w:ascii="Times New Roman" w:hAnsi="Times New Roman" w:cs="Times New Roman"/>
                <w:sz w:val="21"/>
              </w:rPr>
            </w:pPr>
          </w:p>
        </w:tc>
        <w:tc>
          <w:tcPr>
            <w:tcW w:w="1938" w:type="dxa"/>
            <w:vAlign w:val="top"/>
          </w:tcPr>
          <w:p>
            <w:pPr>
              <w:pStyle w:val="7"/>
              <w:spacing w:before="52" w:line="219" w:lineRule="auto"/>
              <w:ind w:left="23"/>
              <w:rPr>
                <w:rFonts w:hint="default" w:ascii="Times New Roman" w:hAnsi="Times New Roman" w:cs="Times New Roman"/>
                <w:sz w:val="18"/>
                <w:szCs w:val="18"/>
              </w:rPr>
            </w:pPr>
            <w:r>
              <w:rPr>
                <w:rFonts w:hint="default" w:ascii="Times New Roman" w:hAnsi="Times New Roman" w:cs="Times New Roman"/>
                <w:spacing w:val="-1"/>
                <w:sz w:val="18"/>
                <w:szCs w:val="18"/>
              </w:rPr>
              <w:t>预算绩效管理情况</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下达预算时同步下达绩效目标并开展绩效评价</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912" w:type="dxa"/>
            <w:gridSpan w:val="3"/>
            <w:vMerge w:val="continue"/>
            <w:tcBorders>
              <w:top w:val="nil"/>
            </w:tcBorders>
            <w:vAlign w:val="top"/>
          </w:tcPr>
          <w:p>
            <w:pPr>
              <w:rPr>
                <w:rFonts w:hint="default" w:ascii="Times New Roman" w:hAnsi="Times New Roman" w:cs="Times New Roman"/>
                <w:sz w:val="21"/>
              </w:rPr>
            </w:pPr>
          </w:p>
        </w:tc>
        <w:tc>
          <w:tcPr>
            <w:tcW w:w="1938" w:type="dxa"/>
            <w:vAlign w:val="top"/>
          </w:tcPr>
          <w:p>
            <w:pPr>
              <w:pStyle w:val="7"/>
              <w:spacing w:before="52" w:line="219" w:lineRule="auto"/>
              <w:ind w:left="23"/>
              <w:rPr>
                <w:rFonts w:hint="default" w:ascii="Times New Roman" w:hAnsi="Times New Roman" w:cs="Times New Roman"/>
                <w:sz w:val="18"/>
                <w:szCs w:val="18"/>
              </w:rPr>
            </w:pPr>
            <w:r>
              <w:rPr>
                <w:rFonts w:hint="default" w:ascii="Times New Roman" w:hAnsi="Times New Roman" w:cs="Times New Roman"/>
                <w:spacing w:val="-1"/>
                <w:sz w:val="18"/>
                <w:szCs w:val="18"/>
              </w:rPr>
              <w:t>支出责任履行情况</w:t>
            </w:r>
          </w:p>
        </w:tc>
        <w:tc>
          <w:tcPr>
            <w:tcW w:w="3606" w:type="dxa"/>
            <w:gridSpan w:val="3"/>
            <w:vAlign w:val="top"/>
          </w:tcPr>
          <w:p>
            <w:pPr>
              <w:pStyle w:val="7"/>
              <w:spacing w:before="49" w:line="215" w:lineRule="auto"/>
              <w:ind w:left="23"/>
              <w:rPr>
                <w:rFonts w:hint="default" w:ascii="Times New Roman" w:hAnsi="Times New Roman" w:eastAsia="宋体" w:cs="Times New Roman"/>
                <w:spacing w:val="-2"/>
                <w:sz w:val="18"/>
                <w:szCs w:val="18"/>
                <w:lang w:eastAsia="zh-CN"/>
              </w:rPr>
            </w:pPr>
            <w:r>
              <w:rPr>
                <w:rFonts w:hint="default" w:ascii="Times New Roman" w:hAnsi="Times New Roman" w:eastAsia="宋体" w:cs="Times New Roman"/>
                <w:spacing w:val="-2"/>
                <w:sz w:val="18"/>
                <w:szCs w:val="18"/>
                <w:lang w:eastAsia="zh-CN"/>
              </w:rPr>
              <w:t>足额安排资金履行本级支出责任</w:t>
            </w:r>
          </w:p>
        </w:tc>
        <w:tc>
          <w:tcPr>
            <w:tcW w:w="1833" w:type="dxa"/>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444" w:type="dxa"/>
            <w:vMerge w:val="restart"/>
            <w:tcBorders>
              <w:bottom w:val="nil"/>
            </w:tcBorders>
            <w:vAlign w:val="top"/>
          </w:tcPr>
          <w:p>
            <w:pPr>
              <w:pStyle w:val="7"/>
              <w:spacing w:before="15" w:line="211" w:lineRule="auto"/>
              <w:ind w:left="15" w:right="42" w:firstLine="10"/>
              <w:jc w:val="both"/>
              <w:rPr>
                <w:rFonts w:hint="default" w:ascii="Times New Roman" w:hAnsi="Times New Roman" w:cs="Times New Roman"/>
                <w:sz w:val="18"/>
                <w:szCs w:val="18"/>
              </w:rPr>
            </w:pPr>
            <w:r>
              <w:rPr>
                <w:rFonts w:hint="default" w:ascii="Times New Roman" w:hAnsi="Times New Roman" w:cs="Times New Roman"/>
                <w:spacing w:val="-6"/>
                <w:sz w:val="18"/>
                <w:szCs w:val="18"/>
              </w:rPr>
              <w:t>总体</w:t>
            </w:r>
            <w:r>
              <w:rPr>
                <w:rFonts w:hint="default" w:ascii="Times New Roman" w:hAnsi="Times New Roman" w:cs="Times New Roman"/>
                <w:sz w:val="18"/>
                <w:szCs w:val="18"/>
              </w:rPr>
              <w:t xml:space="preserve"> </w:t>
            </w:r>
            <w:r>
              <w:rPr>
                <w:rFonts w:hint="default" w:ascii="Times New Roman" w:hAnsi="Times New Roman" w:cs="Times New Roman"/>
                <w:spacing w:val="8"/>
                <w:sz w:val="18"/>
                <w:szCs w:val="18"/>
              </w:rPr>
              <w:t>目标</w:t>
            </w:r>
            <w:r>
              <w:rPr>
                <w:rFonts w:hint="default" w:ascii="Times New Roman" w:hAnsi="Times New Roman" w:cs="Times New Roman"/>
                <w:sz w:val="18"/>
                <w:szCs w:val="18"/>
              </w:rPr>
              <w:t xml:space="preserve"> 完成 </w:t>
            </w:r>
            <w:r>
              <w:rPr>
                <w:rFonts w:hint="default" w:ascii="Times New Roman" w:hAnsi="Times New Roman" w:cs="Times New Roman"/>
                <w:spacing w:val="-2"/>
                <w:sz w:val="18"/>
                <w:szCs w:val="18"/>
              </w:rPr>
              <w:t>情况</w:t>
            </w:r>
          </w:p>
        </w:tc>
        <w:tc>
          <w:tcPr>
            <w:tcW w:w="4874" w:type="dxa"/>
            <w:gridSpan w:val="4"/>
            <w:vAlign w:val="top"/>
          </w:tcPr>
          <w:p>
            <w:pPr>
              <w:pStyle w:val="7"/>
              <w:spacing w:before="43" w:line="211" w:lineRule="auto"/>
              <w:ind w:left="2090"/>
              <w:rPr>
                <w:rFonts w:hint="default" w:ascii="Times New Roman" w:hAnsi="Times New Roman" w:cs="Times New Roman"/>
                <w:sz w:val="18"/>
                <w:szCs w:val="18"/>
              </w:rPr>
            </w:pPr>
            <w:r>
              <w:rPr>
                <w:rFonts w:hint="default" w:ascii="Times New Roman" w:hAnsi="Times New Roman" w:cs="Times New Roman"/>
                <w:spacing w:val="-3"/>
                <w:sz w:val="18"/>
                <w:szCs w:val="18"/>
              </w:rPr>
              <w:t>总体目标</w:t>
            </w:r>
          </w:p>
        </w:tc>
        <w:tc>
          <w:tcPr>
            <w:tcW w:w="3971" w:type="dxa"/>
            <w:gridSpan w:val="3"/>
            <w:vAlign w:val="top"/>
          </w:tcPr>
          <w:p>
            <w:pPr>
              <w:pStyle w:val="7"/>
              <w:spacing w:before="42" w:line="212" w:lineRule="auto"/>
              <w:ind w:left="1286"/>
              <w:rPr>
                <w:rFonts w:hint="default" w:ascii="Times New Roman" w:hAnsi="Times New Roman" w:cs="Times New Roman"/>
                <w:sz w:val="18"/>
                <w:szCs w:val="18"/>
              </w:rPr>
            </w:pPr>
            <w:r>
              <w:rPr>
                <w:rFonts w:hint="default" w:ascii="Times New Roman" w:hAnsi="Times New Roman" w:cs="Times New Roman"/>
                <w:spacing w:val="-1"/>
                <w:sz w:val="18"/>
                <w:szCs w:val="18"/>
              </w:rPr>
              <w:t>全年实际完成情况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444" w:type="dxa"/>
            <w:vMerge w:val="continue"/>
            <w:tcBorders>
              <w:top w:val="nil"/>
            </w:tcBorders>
            <w:vAlign w:val="top"/>
          </w:tcPr>
          <w:p>
            <w:pPr>
              <w:rPr>
                <w:rFonts w:hint="default" w:ascii="Times New Roman" w:hAnsi="Times New Roman" w:cs="Times New Roman"/>
                <w:sz w:val="21"/>
              </w:rPr>
            </w:pPr>
          </w:p>
        </w:tc>
        <w:tc>
          <w:tcPr>
            <w:tcW w:w="4874" w:type="dxa"/>
            <w:gridSpan w:val="4"/>
            <w:vAlign w:val="top"/>
          </w:tcPr>
          <w:p>
            <w:pPr>
              <w:rPr>
                <w:rFonts w:hint="default" w:ascii="Times New Roman" w:hAnsi="Times New Roman" w:cs="Times New Roman"/>
                <w:sz w:val="21"/>
              </w:rPr>
            </w:pPr>
            <w:r>
              <w:rPr>
                <w:rFonts w:hint="default" w:ascii="Times New Roman" w:hAnsi="Times New Roman" w:eastAsia="宋体" w:cs="Times New Roman"/>
                <w:snapToGrid w:val="0"/>
                <w:color w:val="000000"/>
                <w:spacing w:val="-1"/>
                <w:kern w:val="0"/>
                <w:sz w:val="18"/>
                <w:szCs w:val="18"/>
                <w:lang w:val="en-US" w:eastAsia="zh-CN" w:bidi="ar-SA"/>
              </w:rPr>
              <w:t>按照湖南省卫生健康委《关于印发</w:t>
            </w:r>
            <w:r>
              <w:rPr>
                <w:rFonts w:hint="default" w:ascii="Times New Roman" w:hAnsi="Times New Roman" w:eastAsia="宋体" w:cs="Times New Roman"/>
                <w:snapToGrid w:val="0"/>
                <w:color w:val="000000"/>
                <w:spacing w:val="-1"/>
                <w:kern w:val="0"/>
                <w:sz w:val="18"/>
                <w:szCs w:val="18"/>
                <w:lang w:val="en-US" w:eastAsia="en-US" w:bidi="ar-SA"/>
              </w:rPr>
              <w:t>2023年基本公共卫生服务项目绩效目标的通知</w:t>
            </w:r>
            <w:r>
              <w:rPr>
                <w:rFonts w:hint="default" w:ascii="Times New Roman" w:hAnsi="Times New Roman" w:eastAsia="宋体" w:cs="Times New Roman"/>
                <w:snapToGrid w:val="0"/>
                <w:color w:val="000000"/>
                <w:spacing w:val="-1"/>
                <w:kern w:val="0"/>
                <w:sz w:val="18"/>
                <w:szCs w:val="18"/>
                <w:lang w:val="en-US" w:eastAsia="zh-CN" w:bidi="ar-SA"/>
              </w:rPr>
              <w:t>》（</w:t>
            </w:r>
            <w:r>
              <w:rPr>
                <w:rFonts w:hint="default" w:ascii="Times New Roman" w:hAnsi="Times New Roman" w:eastAsia="宋体" w:cs="Times New Roman"/>
                <w:snapToGrid w:val="0"/>
                <w:color w:val="000000"/>
                <w:spacing w:val="-1"/>
                <w:kern w:val="0"/>
                <w:sz w:val="18"/>
                <w:szCs w:val="18"/>
                <w:lang w:val="en-US" w:eastAsia="en-US" w:bidi="ar-SA"/>
              </w:rPr>
              <w:t>湘卫基层处便函</w:t>
            </w:r>
            <w:r>
              <w:rPr>
                <w:rFonts w:hint="default" w:ascii="Times New Roman" w:hAnsi="Times New Roman" w:eastAsia="宋体" w:cs="Times New Roman"/>
                <w:snapToGrid w:val="0"/>
                <w:color w:val="000000"/>
                <w:spacing w:val="-1"/>
                <w:kern w:val="0"/>
                <w:sz w:val="18"/>
                <w:szCs w:val="18"/>
                <w:lang w:val="en-US" w:eastAsia="zh-CN" w:bidi="ar-SA"/>
              </w:rPr>
              <w:t>〔2023〕12号）文件要求，落实12</w:t>
            </w:r>
            <w:r>
              <w:rPr>
                <w:rFonts w:hint="eastAsia" w:ascii="Times New Roman" w:hAnsi="Times New Roman" w:eastAsia="宋体" w:cs="Times New Roman"/>
                <w:snapToGrid w:val="0"/>
                <w:color w:val="000000"/>
                <w:spacing w:val="-1"/>
                <w:kern w:val="0"/>
                <w:sz w:val="18"/>
                <w:szCs w:val="18"/>
                <w:lang w:val="en-US" w:eastAsia="zh-CN" w:bidi="ar-SA"/>
              </w:rPr>
              <w:t>类</w:t>
            </w:r>
            <w:r>
              <w:rPr>
                <w:rFonts w:hint="default" w:ascii="Times New Roman" w:hAnsi="Times New Roman" w:eastAsia="宋体" w:cs="Times New Roman"/>
                <w:snapToGrid w:val="0"/>
                <w:color w:val="000000"/>
                <w:spacing w:val="-1"/>
                <w:kern w:val="0"/>
                <w:sz w:val="18"/>
                <w:szCs w:val="18"/>
                <w:lang w:val="en-US" w:eastAsia="zh-CN" w:bidi="ar-SA"/>
              </w:rPr>
              <w:t>服务。</w:t>
            </w:r>
          </w:p>
        </w:tc>
        <w:tc>
          <w:tcPr>
            <w:tcW w:w="3971" w:type="dxa"/>
            <w:gridSpan w:val="3"/>
            <w:vAlign w:val="center"/>
          </w:tcPr>
          <w:p>
            <w:pPr>
              <w:jc w:val="both"/>
              <w:rPr>
                <w:rFonts w:hint="default" w:ascii="Times New Roman" w:hAnsi="Times New Roman" w:eastAsia="宋体" w:cs="Times New Roman"/>
                <w:sz w:val="21"/>
                <w:lang w:val="en-US" w:eastAsia="zh-CN"/>
              </w:rPr>
            </w:pPr>
            <w:r>
              <w:rPr>
                <w:rFonts w:hint="default" w:ascii="Times New Roman" w:hAnsi="Times New Roman" w:eastAsia="宋体" w:cs="Times New Roman"/>
                <w:snapToGrid w:val="0"/>
                <w:color w:val="000000"/>
                <w:spacing w:val="-1"/>
                <w:kern w:val="0"/>
                <w:sz w:val="18"/>
                <w:szCs w:val="18"/>
                <w:lang w:val="en-US" w:eastAsia="zh-CN" w:bidi="ar-SA"/>
              </w:rPr>
              <w:t>已全面完成2023年度12</w:t>
            </w:r>
            <w:r>
              <w:rPr>
                <w:rFonts w:hint="eastAsia" w:ascii="Times New Roman" w:hAnsi="Times New Roman" w:eastAsia="宋体" w:cs="Times New Roman"/>
                <w:snapToGrid w:val="0"/>
                <w:color w:val="000000"/>
                <w:spacing w:val="-1"/>
                <w:kern w:val="0"/>
                <w:sz w:val="18"/>
                <w:szCs w:val="18"/>
                <w:lang w:val="en-US" w:eastAsia="zh-CN" w:bidi="ar-SA"/>
              </w:rPr>
              <w:t>类</w:t>
            </w:r>
            <w:r>
              <w:rPr>
                <w:rFonts w:hint="default" w:ascii="Times New Roman" w:hAnsi="Times New Roman" w:eastAsia="宋体" w:cs="Times New Roman"/>
                <w:snapToGrid w:val="0"/>
                <w:color w:val="000000"/>
                <w:spacing w:val="-1"/>
                <w:kern w:val="0"/>
                <w:sz w:val="18"/>
                <w:szCs w:val="18"/>
                <w:lang w:val="en-US" w:eastAsia="zh-CN" w:bidi="ar-SA"/>
              </w:rPr>
              <w:t>服务项目资金绩效目标。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44" w:type="dxa"/>
            <w:vMerge w:val="restart"/>
            <w:tcBorders>
              <w:bottom w:val="nil"/>
            </w:tcBorders>
            <w:textDirection w:val="tbRlV"/>
            <w:vAlign w:val="top"/>
          </w:tcPr>
          <w:p>
            <w:pPr>
              <w:pStyle w:val="7"/>
              <w:spacing w:before="118" w:line="217" w:lineRule="auto"/>
              <w:ind w:left="3288"/>
              <w:rPr>
                <w:rFonts w:hint="default" w:ascii="Times New Roman" w:hAnsi="Times New Roman" w:cs="Times New Roman"/>
                <w:sz w:val="18"/>
                <w:szCs w:val="18"/>
              </w:rPr>
            </w:pPr>
            <w:r>
              <w:rPr>
                <w:rFonts w:hint="default" w:ascii="Times New Roman" w:hAnsi="Times New Roman" w:cs="Times New Roman"/>
                <w:sz w:val="18"/>
                <w:szCs w:val="18"/>
              </w:rPr>
              <w:t>绩效指标</w:t>
            </w:r>
          </w:p>
        </w:tc>
        <w:tc>
          <w:tcPr>
            <w:tcW w:w="429" w:type="dxa"/>
            <w:vAlign w:val="top"/>
          </w:tcPr>
          <w:p>
            <w:pPr>
              <w:pStyle w:val="7"/>
              <w:spacing w:before="15" w:line="202" w:lineRule="auto"/>
              <w:ind w:left="10" w:right="26" w:firstLine="10"/>
              <w:rPr>
                <w:rFonts w:hint="default" w:ascii="Times New Roman" w:hAnsi="Times New Roman" w:cs="Times New Roman"/>
                <w:sz w:val="18"/>
                <w:szCs w:val="18"/>
              </w:rPr>
            </w:pPr>
            <w:r>
              <w:rPr>
                <w:rFonts w:hint="default" w:ascii="Times New Roman" w:hAnsi="Times New Roman" w:cs="Times New Roman"/>
                <w:spacing w:val="5"/>
                <w:sz w:val="18"/>
                <w:szCs w:val="18"/>
              </w:rPr>
              <w:t>一级</w:t>
            </w:r>
            <w:r>
              <w:rPr>
                <w:rFonts w:hint="default" w:ascii="Times New Roman" w:hAnsi="Times New Roman" w:cs="Times New Roman"/>
                <w:sz w:val="18"/>
                <w:szCs w:val="18"/>
              </w:rPr>
              <w:t xml:space="preserve"> </w:t>
            </w:r>
            <w:r>
              <w:rPr>
                <w:rFonts w:hint="default" w:ascii="Times New Roman" w:hAnsi="Times New Roman" w:cs="Times New Roman"/>
                <w:spacing w:val="-3"/>
                <w:sz w:val="18"/>
                <w:szCs w:val="18"/>
              </w:rPr>
              <w:t>指标</w:t>
            </w:r>
          </w:p>
        </w:tc>
        <w:tc>
          <w:tcPr>
            <w:tcW w:w="1039" w:type="dxa"/>
            <w:vAlign w:val="top"/>
          </w:tcPr>
          <w:p>
            <w:pPr>
              <w:pStyle w:val="7"/>
              <w:spacing w:before="134" w:line="220" w:lineRule="auto"/>
              <w:ind w:left="151"/>
              <w:rPr>
                <w:rFonts w:hint="default" w:ascii="Times New Roman" w:hAnsi="Times New Roman" w:cs="Times New Roman"/>
                <w:sz w:val="18"/>
                <w:szCs w:val="18"/>
              </w:rPr>
            </w:pPr>
            <w:r>
              <w:rPr>
                <w:rFonts w:hint="default" w:ascii="Times New Roman" w:hAnsi="Times New Roman" w:cs="Times New Roman"/>
                <w:spacing w:val="-2"/>
                <w:sz w:val="18"/>
                <w:szCs w:val="18"/>
              </w:rPr>
              <w:t>二级指标</w:t>
            </w:r>
          </w:p>
        </w:tc>
        <w:tc>
          <w:tcPr>
            <w:tcW w:w="3406" w:type="dxa"/>
            <w:gridSpan w:val="2"/>
            <w:vAlign w:val="top"/>
          </w:tcPr>
          <w:p>
            <w:pPr>
              <w:pStyle w:val="7"/>
              <w:spacing w:before="134" w:line="220" w:lineRule="auto"/>
              <w:ind w:left="1353"/>
              <w:rPr>
                <w:rFonts w:hint="default" w:ascii="Times New Roman" w:hAnsi="Times New Roman" w:cs="Times New Roman"/>
                <w:sz w:val="18"/>
                <w:szCs w:val="18"/>
              </w:rPr>
            </w:pPr>
            <w:r>
              <w:rPr>
                <w:rFonts w:hint="default" w:ascii="Times New Roman" w:hAnsi="Times New Roman" w:cs="Times New Roman"/>
                <w:spacing w:val="-2"/>
                <w:sz w:val="18"/>
                <w:szCs w:val="18"/>
              </w:rPr>
              <w:t>三级指标</w:t>
            </w:r>
          </w:p>
        </w:tc>
        <w:tc>
          <w:tcPr>
            <w:tcW w:w="1169" w:type="dxa"/>
            <w:vAlign w:val="top"/>
          </w:tcPr>
          <w:p>
            <w:pPr>
              <w:pStyle w:val="7"/>
              <w:spacing w:before="134" w:line="219" w:lineRule="auto"/>
              <w:ind w:left="306"/>
              <w:rPr>
                <w:rFonts w:hint="default" w:ascii="Times New Roman" w:hAnsi="Times New Roman" w:cs="Times New Roman"/>
                <w:sz w:val="18"/>
                <w:szCs w:val="18"/>
              </w:rPr>
            </w:pPr>
            <w:r>
              <w:rPr>
                <w:rFonts w:hint="default" w:ascii="Times New Roman" w:hAnsi="Times New Roman" w:cs="Times New Roman"/>
                <w:spacing w:val="-3"/>
                <w:sz w:val="18"/>
                <w:szCs w:val="18"/>
              </w:rPr>
              <w:t>指标值</w:t>
            </w:r>
          </w:p>
        </w:tc>
        <w:tc>
          <w:tcPr>
            <w:tcW w:w="969" w:type="dxa"/>
            <w:vAlign w:val="top"/>
          </w:tcPr>
          <w:p>
            <w:pPr>
              <w:pStyle w:val="7"/>
              <w:spacing w:before="25" w:line="202" w:lineRule="auto"/>
              <w:ind w:left="318" w:right="38" w:hanging="290"/>
              <w:jc w:val="center"/>
              <w:rPr>
                <w:rFonts w:hint="default" w:ascii="Times New Roman" w:hAnsi="Times New Roman" w:cs="Times New Roman"/>
                <w:spacing w:val="-2"/>
                <w:sz w:val="18"/>
                <w:szCs w:val="18"/>
              </w:rPr>
            </w:pPr>
            <w:r>
              <w:rPr>
                <w:rFonts w:hint="default" w:ascii="Times New Roman" w:hAnsi="Times New Roman" w:cs="Times New Roman"/>
                <w:spacing w:val="-2"/>
                <w:sz w:val="18"/>
                <w:szCs w:val="18"/>
              </w:rPr>
              <w:t>全年实际</w:t>
            </w:r>
          </w:p>
          <w:p>
            <w:pPr>
              <w:pStyle w:val="7"/>
              <w:spacing w:before="25" w:line="202" w:lineRule="auto"/>
              <w:ind w:left="318" w:right="38" w:hanging="290"/>
              <w:jc w:val="center"/>
              <w:rPr>
                <w:rFonts w:hint="default" w:ascii="Times New Roman" w:hAnsi="Times New Roman" w:cs="Times New Roman"/>
                <w:sz w:val="18"/>
                <w:szCs w:val="18"/>
              </w:rPr>
            </w:pPr>
            <w:r>
              <w:rPr>
                <w:rFonts w:hint="default" w:ascii="Times New Roman" w:hAnsi="Times New Roman" w:cs="Times New Roman"/>
                <w:spacing w:val="-2"/>
                <w:sz w:val="18"/>
                <w:szCs w:val="18"/>
              </w:rPr>
              <w:t>完</w:t>
            </w:r>
            <w:r>
              <w:rPr>
                <w:rFonts w:hint="default" w:ascii="Times New Roman" w:hAnsi="Times New Roman" w:cs="Times New Roman"/>
                <w:spacing w:val="-3"/>
                <w:sz w:val="18"/>
                <w:szCs w:val="18"/>
              </w:rPr>
              <w:t>成值</w:t>
            </w:r>
          </w:p>
        </w:tc>
        <w:tc>
          <w:tcPr>
            <w:tcW w:w="1833" w:type="dxa"/>
            <w:vAlign w:val="top"/>
          </w:tcPr>
          <w:p>
            <w:pPr>
              <w:pStyle w:val="7"/>
              <w:spacing w:before="134" w:line="219" w:lineRule="auto"/>
              <w:ind w:left="8"/>
              <w:rPr>
                <w:rFonts w:hint="default" w:ascii="Times New Roman" w:hAnsi="Times New Roman" w:cs="Times New Roman"/>
                <w:sz w:val="18"/>
                <w:szCs w:val="18"/>
              </w:rPr>
            </w:pPr>
            <w:r>
              <w:rPr>
                <w:rFonts w:hint="default" w:ascii="Times New Roman" w:hAnsi="Times New Roman" w:cs="Times New Roman"/>
                <w:spacing w:val="-1"/>
                <w:sz w:val="18"/>
                <w:szCs w:val="18"/>
              </w:rPr>
              <w:t>未完成原因和改进措施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restart"/>
            <w:tcBorders>
              <w:bottom w:val="nil"/>
            </w:tcBorders>
            <w:textDirection w:val="tbRlV"/>
            <w:vAlign w:val="top"/>
          </w:tcPr>
          <w:p>
            <w:pPr>
              <w:pStyle w:val="7"/>
              <w:spacing w:before="128" w:line="216" w:lineRule="auto"/>
              <w:ind w:left="1119"/>
              <w:rPr>
                <w:rFonts w:hint="default" w:ascii="Times New Roman" w:hAnsi="Times New Roman" w:cs="Times New Roman"/>
                <w:sz w:val="18"/>
                <w:szCs w:val="18"/>
              </w:rPr>
            </w:pPr>
            <w:r>
              <w:rPr>
                <w:rFonts w:hint="default" w:ascii="Times New Roman" w:hAnsi="Times New Roman" w:cs="Times New Roman"/>
                <w:sz w:val="18"/>
                <w:szCs w:val="18"/>
              </w:rPr>
              <w:t>产出指标</w:t>
            </w:r>
          </w:p>
        </w:tc>
        <w:tc>
          <w:tcPr>
            <w:tcW w:w="1039" w:type="dxa"/>
            <w:vMerge w:val="restart"/>
            <w:tcBorders>
              <w:bottom w:val="nil"/>
            </w:tcBorders>
            <w:vAlign w:val="top"/>
          </w:tcPr>
          <w:p>
            <w:pPr>
              <w:pStyle w:val="7"/>
              <w:spacing w:before="265" w:line="219" w:lineRule="auto"/>
              <w:ind w:left="151"/>
              <w:jc w:val="center"/>
              <w:rPr>
                <w:rFonts w:hint="default" w:ascii="Times New Roman" w:hAnsi="Times New Roman" w:cs="Times New Roman"/>
                <w:spacing w:val="-2"/>
                <w:sz w:val="18"/>
                <w:szCs w:val="18"/>
              </w:rPr>
            </w:pPr>
          </w:p>
          <w:p>
            <w:pPr>
              <w:pStyle w:val="7"/>
              <w:spacing w:before="265" w:line="219" w:lineRule="auto"/>
              <w:ind w:left="151"/>
              <w:jc w:val="center"/>
              <w:rPr>
                <w:rFonts w:hint="default" w:ascii="Times New Roman" w:hAnsi="Times New Roman" w:cs="Times New Roman"/>
                <w:spacing w:val="-2"/>
                <w:sz w:val="18"/>
                <w:szCs w:val="18"/>
              </w:rPr>
            </w:pPr>
          </w:p>
          <w:p>
            <w:pPr>
              <w:pStyle w:val="7"/>
              <w:spacing w:before="265" w:line="219" w:lineRule="auto"/>
              <w:ind w:left="151"/>
              <w:jc w:val="center"/>
              <w:rPr>
                <w:rFonts w:hint="default" w:ascii="Times New Roman" w:hAnsi="Times New Roman" w:cs="Times New Roman"/>
                <w:spacing w:val="-2"/>
                <w:sz w:val="18"/>
                <w:szCs w:val="18"/>
              </w:rPr>
            </w:pPr>
          </w:p>
          <w:p>
            <w:pPr>
              <w:pStyle w:val="7"/>
              <w:spacing w:before="265" w:line="219" w:lineRule="auto"/>
              <w:ind w:left="151"/>
              <w:jc w:val="center"/>
              <w:rPr>
                <w:rFonts w:hint="default" w:ascii="Times New Roman" w:hAnsi="Times New Roman" w:cs="Times New Roman"/>
                <w:sz w:val="18"/>
                <w:szCs w:val="18"/>
              </w:rPr>
            </w:pPr>
            <w:r>
              <w:rPr>
                <w:rFonts w:hint="default" w:ascii="Times New Roman" w:hAnsi="Times New Roman" w:cs="Times New Roman"/>
                <w:spacing w:val="-2"/>
                <w:sz w:val="18"/>
                <w:szCs w:val="18"/>
              </w:rPr>
              <w:t>数量指标</w:t>
            </w: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适龄儿童国家免疫规划疫苗接种率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95%</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7岁以下岁儿童健康管理率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97.41%</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0-6岁儿童眼保健和视力筛查覆盖率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97.41%</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孕产妇系统管理率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99.9%</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3岁以下儿童系统管理率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97.3%</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高血压患者管理人数</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5万人</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eastAsia" w:ascii="Times New Roman" w:hAnsi="Times New Roman" w:cs="Times New Roman"/>
                <w:spacing w:val="-1"/>
                <w:sz w:val="18"/>
                <w:szCs w:val="18"/>
                <w:lang w:val="en-US" w:eastAsia="zh-CN"/>
              </w:rPr>
              <w:t>55449</w:t>
            </w:r>
            <w:r>
              <w:rPr>
                <w:rFonts w:hint="default" w:ascii="Times New Roman" w:hAnsi="Times New Roman" w:eastAsia="宋体" w:cs="Times New Roman"/>
                <w:spacing w:val="-1"/>
                <w:sz w:val="18"/>
                <w:szCs w:val="18"/>
                <w:lang w:val="en-US" w:eastAsia="zh-CN"/>
              </w:rPr>
              <w:t>人</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2型糖尿病患者管理人数</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1.79万人</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eastAsia" w:ascii="Times New Roman" w:hAnsi="Times New Roman" w:cs="Times New Roman"/>
                <w:spacing w:val="-1"/>
                <w:sz w:val="18"/>
                <w:szCs w:val="18"/>
                <w:lang w:val="en-US" w:eastAsia="zh-CN"/>
              </w:rPr>
              <w:t>23305</w:t>
            </w:r>
            <w:r>
              <w:rPr>
                <w:rFonts w:hint="default" w:ascii="Times New Roman" w:hAnsi="Times New Roman" w:eastAsia="宋体" w:cs="Times New Roman"/>
                <w:spacing w:val="-1"/>
                <w:sz w:val="18"/>
                <w:szCs w:val="18"/>
                <w:lang w:val="en-US" w:eastAsia="zh-CN"/>
              </w:rPr>
              <w:t>人</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肺结核患者管理率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≥90%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99.48%</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社区在册居家严重精神障碍患者健康管理率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≥80%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82.83%</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老年人中医药健康管理率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≥70%</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75.88%</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儿童中医药健康管理率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≥77%</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88.69%</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restart"/>
            <w:tcBorders>
              <w:bottom w:val="nil"/>
            </w:tcBorders>
            <w:vAlign w:val="top"/>
          </w:tcPr>
          <w:p>
            <w:pPr>
              <w:pStyle w:val="7"/>
              <w:spacing w:before="255" w:line="220" w:lineRule="auto"/>
              <w:ind w:left="151"/>
              <w:jc w:val="center"/>
              <w:rPr>
                <w:rFonts w:hint="default" w:ascii="Times New Roman" w:hAnsi="Times New Roman" w:cs="Times New Roman"/>
                <w:spacing w:val="-2"/>
                <w:sz w:val="18"/>
                <w:szCs w:val="18"/>
              </w:rPr>
            </w:pPr>
          </w:p>
          <w:p>
            <w:pPr>
              <w:pStyle w:val="7"/>
              <w:spacing w:before="255" w:line="220" w:lineRule="auto"/>
              <w:jc w:val="center"/>
              <w:rPr>
                <w:rFonts w:hint="default" w:ascii="Times New Roman" w:hAnsi="Times New Roman" w:cs="Times New Roman"/>
                <w:sz w:val="18"/>
                <w:szCs w:val="18"/>
              </w:rPr>
            </w:pPr>
            <w:r>
              <w:rPr>
                <w:rFonts w:hint="default" w:ascii="Times New Roman" w:hAnsi="Times New Roman" w:cs="Times New Roman"/>
                <w:spacing w:val="-2"/>
                <w:sz w:val="18"/>
                <w:szCs w:val="18"/>
              </w:rPr>
              <w:t>质量指标</w:t>
            </w: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居民规范化电子健康档案覆盖率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≥62%</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99.48%</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高血压患者基层规范管理服务率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≥62%</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eastAsia" w:ascii="Times New Roman" w:hAnsi="Times New Roman" w:cs="Times New Roman"/>
                <w:spacing w:val="-1"/>
                <w:sz w:val="18"/>
                <w:szCs w:val="18"/>
                <w:lang w:val="en-US" w:eastAsia="zh-CN"/>
              </w:rPr>
              <w:t>73.73</w:t>
            </w:r>
            <w:r>
              <w:rPr>
                <w:rFonts w:hint="default" w:ascii="Times New Roman" w:hAnsi="Times New Roman" w:eastAsia="宋体" w:cs="Times New Roman"/>
                <w:spacing w:val="-1"/>
                <w:sz w:val="18"/>
                <w:szCs w:val="18"/>
                <w:lang w:val="en-US" w:eastAsia="zh-CN"/>
              </w:rPr>
              <w:t>%</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2型糖尿病患者基层规范管理服务率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≥62%</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eastAsia" w:ascii="Times New Roman" w:hAnsi="Times New Roman" w:cs="Times New Roman"/>
                <w:spacing w:val="-1"/>
                <w:sz w:val="18"/>
                <w:szCs w:val="18"/>
                <w:lang w:val="en-US" w:eastAsia="zh-CN"/>
              </w:rPr>
              <w:t>75.92</w:t>
            </w:r>
            <w:r>
              <w:rPr>
                <w:rFonts w:hint="default" w:ascii="Times New Roman" w:hAnsi="Times New Roman" w:eastAsia="宋体" w:cs="Times New Roman"/>
                <w:spacing w:val="-1"/>
                <w:sz w:val="18"/>
                <w:szCs w:val="18"/>
                <w:lang w:val="en-US" w:eastAsia="zh-CN"/>
              </w:rPr>
              <w:t>%</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65岁及以上老年人城乡社区规范健康管理服务率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≥62%</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63.45%</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single" w:color="auto" w:sz="4" w:space="0"/>
            </w:tcBorders>
            <w:textDirection w:val="tbRlV"/>
            <w:vAlign w:val="top"/>
          </w:tcPr>
          <w:p>
            <w:pPr>
              <w:rPr>
                <w:rFonts w:hint="default" w:ascii="Times New Roman" w:hAnsi="Times New Roman" w:cs="Times New Roman"/>
                <w:sz w:val="21"/>
              </w:rPr>
            </w:pPr>
          </w:p>
        </w:tc>
        <w:tc>
          <w:tcPr>
            <w:tcW w:w="1039" w:type="dxa"/>
            <w:vMerge w:val="continue"/>
            <w:tcBorders>
              <w:top w:val="nil"/>
              <w:bottom w:val="single" w:color="auto" w:sz="4" w:space="0"/>
            </w:tcBorders>
            <w:vAlign w:val="top"/>
          </w:tcPr>
          <w:p>
            <w:pP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传染病和突发公共卫生事件报告率</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≥95%</w:t>
            </w:r>
          </w:p>
        </w:tc>
        <w:tc>
          <w:tcPr>
            <w:tcW w:w="969" w:type="dxa"/>
            <w:vAlign w:val="center"/>
          </w:tcPr>
          <w:p>
            <w:pPr>
              <w:pStyle w:val="7"/>
              <w:spacing w:before="52" w:line="219" w:lineRule="auto"/>
              <w:ind w:left="23" w:leftChars="0"/>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100%</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restart"/>
            <w:tcBorders>
              <w:top w:val="single" w:color="auto" w:sz="4" w:space="0"/>
            </w:tcBorders>
            <w:textDirection w:val="tbRlV"/>
            <w:vAlign w:val="top"/>
          </w:tcPr>
          <w:p>
            <w:pPr>
              <w:rPr>
                <w:rFonts w:hint="default" w:ascii="Times New Roman" w:hAnsi="Times New Roman" w:eastAsia="宋体" w:cs="Times New Roman"/>
                <w:sz w:val="21"/>
                <w:lang w:eastAsia="zh-CN"/>
              </w:rPr>
            </w:pPr>
            <w:r>
              <w:rPr>
                <w:rFonts w:hint="default" w:ascii="Times New Roman" w:hAnsi="Times New Roman" w:eastAsia="宋体" w:cs="Times New Roman"/>
                <w:sz w:val="21"/>
                <w:lang w:eastAsia="zh-CN"/>
              </w:rPr>
              <w:t>效益指标</w:t>
            </w:r>
          </w:p>
        </w:tc>
        <w:tc>
          <w:tcPr>
            <w:tcW w:w="1039" w:type="dxa"/>
            <w:vMerge w:val="restart"/>
            <w:tcBorders>
              <w:top w:val="single" w:color="auto" w:sz="4" w:space="0"/>
              <w:bottom w:val="nil"/>
            </w:tcBorders>
            <w:vAlign w:val="top"/>
          </w:tcPr>
          <w:p>
            <w:pPr>
              <w:pStyle w:val="7"/>
              <w:spacing w:before="167" w:line="218" w:lineRule="auto"/>
              <w:ind w:left="330" w:right="165" w:hanging="179"/>
              <w:jc w:val="center"/>
              <w:rPr>
                <w:rFonts w:hint="default" w:ascii="Times New Roman" w:hAnsi="Times New Roman" w:cs="Times New Roman"/>
                <w:sz w:val="18"/>
                <w:szCs w:val="18"/>
              </w:rPr>
            </w:pPr>
            <w:r>
              <w:rPr>
                <w:rFonts w:hint="default" w:ascii="Times New Roman" w:hAnsi="Times New Roman" w:cs="Times New Roman"/>
                <w:spacing w:val="-3"/>
                <w:sz w:val="18"/>
                <w:szCs w:val="18"/>
              </w:rPr>
              <w:t>社会效益</w:t>
            </w:r>
            <w:r>
              <w:rPr>
                <w:rFonts w:hint="default" w:ascii="Times New Roman" w:hAnsi="Times New Roman" w:cs="Times New Roman"/>
                <w:spacing w:val="2"/>
                <w:sz w:val="18"/>
                <w:szCs w:val="18"/>
              </w:rPr>
              <w:t xml:space="preserve"> </w:t>
            </w:r>
            <w:r>
              <w:rPr>
                <w:rFonts w:hint="default" w:ascii="Times New Roman" w:hAnsi="Times New Roman" w:cs="Times New Roman"/>
                <w:spacing w:val="-3"/>
                <w:sz w:val="18"/>
                <w:szCs w:val="18"/>
              </w:rPr>
              <w:t>指标</w:t>
            </w: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城乡居民公共卫生差距</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不断缩小</w:t>
            </w:r>
          </w:p>
        </w:tc>
        <w:tc>
          <w:tcPr>
            <w:tcW w:w="969" w:type="dxa"/>
            <w:vAlign w:val="center"/>
          </w:tcPr>
          <w:p>
            <w:pPr>
              <w:pStyle w:val="7"/>
              <w:spacing w:before="52" w:line="219" w:lineRule="auto"/>
              <w:ind w:left="23" w:leftChars="0"/>
              <w:jc w:val="center"/>
              <w:rPr>
                <w:rFonts w:hint="default" w:ascii="Times New Roman" w:hAnsi="Times New Roman" w:eastAsia="宋体" w:cs="Times New Roman"/>
                <w:snapToGrid w:val="0"/>
                <w:color w:val="000000"/>
                <w:spacing w:val="-1"/>
                <w:kern w:val="0"/>
                <w:sz w:val="18"/>
                <w:szCs w:val="18"/>
                <w:lang w:val="en-US" w:eastAsia="en-US" w:bidi="ar-SA"/>
              </w:rPr>
            </w:pPr>
            <w:r>
              <w:rPr>
                <w:rFonts w:hint="default" w:ascii="Times New Roman" w:hAnsi="Times New Roman" w:eastAsia="宋体" w:cs="Times New Roman"/>
                <w:spacing w:val="-1"/>
                <w:sz w:val="18"/>
                <w:szCs w:val="18"/>
                <w:lang w:val="en-US" w:eastAsia="zh-CN"/>
              </w:rPr>
              <w:t>正在缩小</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vMerge w:val="continue"/>
            <w:tcBorders>
              <w:top w:val="nil"/>
              <w:bottom w:val="nil"/>
            </w:tcBorders>
            <w:vAlign w:val="top"/>
          </w:tcPr>
          <w:p>
            <w:pPr>
              <w:jc w:val="center"/>
              <w:rPr>
                <w:rFonts w:hint="default" w:ascii="Times New Roman" w:hAnsi="Times New Roman" w:cs="Times New Roman"/>
                <w:sz w:val="21"/>
              </w:rPr>
            </w:pP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居民健康素养水平</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不断提高</w:t>
            </w:r>
          </w:p>
        </w:tc>
        <w:tc>
          <w:tcPr>
            <w:tcW w:w="969" w:type="dxa"/>
            <w:vAlign w:val="center"/>
          </w:tcPr>
          <w:p>
            <w:pPr>
              <w:pStyle w:val="7"/>
              <w:spacing w:before="52" w:line="219" w:lineRule="auto"/>
              <w:ind w:left="23" w:leftChars="0"/>
              <w:jc w:val="center"/>
              <w:rPr>
                <w:rFonts w:hint="default" w:ascii="Times New Roman" w:hAnsi="Times New Roman" w:eastAsia="宋体" w:cs="Times New Roman"/>
                <w:snapToGrid w:val="0"/>
                <w:color w:val="000000"/>
                <w:spacing w:val="-1"/>
                <w:kern w:val="0"/>
                <w:sz w:val="18"/>
                <w:szCs w:val="18"/>
                <w:lang w:val="en-US" w:eastAsia="en-US" w:bidi="ar-SA"/>
              </w:rPr>
            </w:pPr>
            <w:r>
              <w:rPr>
                <w:rFonts w:hint="default" w:ascii="Times New Roman" w:hAnsi="Times New Roman" w:eastAsia="宋体" w:cs="Times New Roman"/>
                <w:spacing w:val="-1"/>
                <w:sz w:val="18"/>
                <w:szCs w:val="18"/>
                <w:lang w:val="en-US" w:eastAsia="zh-CN"/>
              </w:rPr>
              <w:t>正在提高</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vMerge w:val="continue"/>
            <w:tcBorders>
              <w:top w:val="nil"/>
              <w:bottom w:val="nil"/>
            </w:tcBorders>
            <w:textDirection w:val="tbRlV"/>
            <w:vAlign w:val="top"/>
          </w:tcPr>
          <w:p>
            <w:pPr>
              <w:rPr>
                <w:rFonts w:hint="default" w:ascii="Times New Roman" w:hAnsi="Times New Roman" w:cs="Times New Roman"/>
                <w:sz w:val="21"/>
              </w:rPr>
            </w:pPr>
          </w:p>
        </w:tc>
        <w:tc>
          <w:tcPr>
            <w:tcW w:w="1039" w:type="dxa"/>
            <w:tcBorders>
              <w:bottom w:val="nil"/>
            </w:tcBorders>
            <w:vAlign w:val="top"/>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可持续影响 指标</w:t>
            </w: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基本公共卫生服务水平</w:t>
            </w:r>
          </w:p>
        </w:tc>
        <w:tc>
          <w:tcPr>
            <w:tcW w:w="11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不断提高</w:t>
            </w:r>
          </w:p>
        </w:tc>
        <w:tc>
          <w:tcPr>
            <w:tcW w:w="969" w:type="dxa"/>
            <w:vAlign w:val="center"/>
          </w:tcPr>
          <w:p>
            <w:pPr>
              <w:pStyle w:val="7"/>
              <w:spacing w:before="52" w:line="219" w:lineRule="auto"/>
              <w:ind w:left="23"/>
              <w:jc w:val="center"/>
              <w:rPr>
                <w:rFonts w:hint="default" w:ascii="Times New Roman" w:hAnsi="Times New Roman" w:eastAsia="宋体" w:cs="Times New Roman"/>
                <w:spacing w:val="-1"/>
                <w:sz w:val="18"/>
                <w:szCs w:val="18"/>
                <w:lang w:val="en-US" w:eastAsia="en-US"/>
              </w:rPr>
            </w:pPr>
            <w:r>
              <w:rPr>
                <w:rFonts w:hint="default" w:ascii="Times New Roman" w:hAnsi="Times New Roman" w:eastAsia="宋体" w:cs="Times New Roman"/>
                <w:spacing w:val="-1"/>
                <w:sz w:val="18"/>
                <w:szCs w:val="18"/>
                <w:lang w:val="en-US" w:eastAsia="zh-CN"/>
              </w:rPr>
              <w:t>正在提高</w:t>
            </w:r>
          </w:p>
        </w:tc>
        <w:tc>
          <w:tcPr>
            <w:tcW w:w="1833"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exact"/>
              <w:ind w:left="0" w:leftChars="0" w:right="0" w:rightChars="0"/>
              <w:jc w:val="center"/>
              <w:rPr>
                <w:rFonts w:hint="default" w:ascii="Times New Roman" w:hAnsi="Times New Roman" w:eastAsia="Arial" w:cs="Times New Roman"/>
                <w:snapToGrid w:val="0"/>
                <w:color w:val="000000"/>
                <w:kern w:val="0"/>
                <w:sz w:val="21"/>
                <w:szCs w:val="21"/>
                <w:lang w:val="en-US" w:eastAsia="en-US"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444" w:type="dxa"/>
            <w:vMerge w:val="continue"/>
            <w:tcBorders>
              <w:top w:val="nil"/>
              <w:bottom w:val="nil"/>
            </w:tcBorders>
            <w:textDirection w:val="tbRlV"/>
            <w:vAlign w:val="top"/>
          </w:tcPr>
          <w:p>
            <w:pPr>
              <w:rPr>
                <w:rFonts w:hint="default" w:ascii="Times New Roman" w:hAnsi="Times New Roman" w:cs="Times New Roman"/>
                <w:sz w:val="21"/>
              </w:rPr>
            </w:pPr>
          </w:p>
        </w:tc>
        <w:tc>
          <w:tcPr>
            <w:tcW w:w="429" w:type="dxa"/>
            <w:tcBorders>
              <w:bottom w:val="nil"/>
            </w:tcBorders>
            <w:vAlign w:val="top"/>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满意</w:t>
            </w:r>
            <w:r>
              <w:rPr>
                <w:rFonts w:hint="default" w:ascii="Times New Roman" w:hAnsi="Times New Roman" w:cs="Times New Roman"/>
                <w:spacing w:val="-1"/>
                <w:sz w:val="18"/>
                <w:szCs w:val="18"/>
                <w:lang w:val="en-US" w:eastAsia="zh-CN"/>
              </w:rPr>
              <w:t>度</w:t>
            </w:r>
            <w:r>
              <w:rPr>
                <w:rFonts w:hint="default" w:ascii="Times New Roman" w:hAnsi="Times New Roman" w:eastAsia="宋体" w:cs="Times New Roman"/>
                <w:spacing w:val="-1"/>
                <w:sz w:val="18"/>
                <w:szCs w:val="18"/>
                <w:lang w:val="en-US" w:eastAsia="zh-CN"/>
              </w:rPr>
              <w:t>指标</w:t>
            </w:r>
          </w:p>
        </w:tc>
        <w:tc>
          <w:tcPr>
            <w:tcW w:w="1039" w:type="dxa"/>
            <w:tcBorders>
              <w:bottom w:val="nil"/>
            </w:tcBorders>
            <w:vAlign w:val="top"/>
          </w:tcPr>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服务对象</w:t>
            </w:r>
          </w:p>
          <w:p>
            <w:pPr>
              <w:pStyle w:val="7"/>
              <w:spacing w:before="52" w:line="219" w:lineRule="auto"/>
              <w:ind w:left="23"/>
              <w:jc w:val="center"/>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满意度指标</w:t>
            </w:r>
          </w:p>
        </w:tc>
        <w:tc>
          <w:tcPr>
            <w:tcW w:w="3406" w:type="dxa"/>
            <w:gridSpan w:val="2"/>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基本公共卫生服务对象满意度</w:t>
            </w:r>
          </w:p>
        </w:tc>
        <w:tc>
          <w:tcPr>
            <w:tcW w:w="1169"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较上年提高</w:t>
            </w:r>
          </w:p>
        </w:tc>
        <w:tc>
          <w:tcPr>
            <w:tcW w:w="969"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较上年有所</w:t>
            </w:r>
          </w:p>
          <w:p>
            <w:pPr>
              <w:pStyle w:val="7"/>
              <w:spacing w:before="52" w:line="219" w:lineRule="auto"/>
              <w:ind w:left="23"/>
              <w:rPr>
                <w:rFonts w:hint="default" w:ascii="Times New Roman" w:hAnsi="Times New Roman" w:eastAsia="宋体" w:cs="Times New Roman"/>
                <w:spacing w:val="-1"/>
                <w:sz w:val="18"/>
                <w:szCs w:val="18"/>
                <w:lang w:val="en-US" w:eastAsia="zh-CN"/>
              </w:rPr>
            </w:pPr>
            <w:r>
              <w:rPr>
                <w:rFonts w:hint="default" w:ascii="Times New Roman" w:hAnsi="Times New Roman" w:eastAsia="宋体" w:cs="Times New Roman"/>
                <w:spacing w:val="-1"/>
                <w:sz w:val="18"/>
                <w:szCs w:val="18"/>
                <w:lang w:val="en-US" w:eastAsia="zh-CN"/>
              </w:rPr>
              <w:t>提高</w:t>
            </w:r>
          </w:p>
        </w:tc>
        <w:tc>
          <w:tcPr>
            <w:tcW w:w="1833" w:type="dxa"/>
            <w:vAlign w:val="center"/>
          </w:tcPr>
          <w:p>
            <w:pPr>
              <w:pStyle w:val="7"/>
              <w:spacing w:before="52" w:line="219" w:lineRule="auto"/>
              <w:ind w:left="23"/>
              <w:rPr>
                <w:rFonts w:hint="default" w:ascii="Times New Roman" w:hAnsi="Times New Roman" w:eastAsia="宋体" w:cs="Times New Roman"/>
                <w:spacing w:val="-1"/>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444" w:type="dxa"/>
            <w:vAlign w:val="top"/>
          </w:tcPr>
          <w:p>
            <w:pPr>
              <w:pStyle w:val="7"/>
              <w:spacing w:before="58" w:line="212" w:lineRule="auto"/>
              <w:ind w:left="15"/>
              <w:rPr>
                <w:rFonts w:hint="default" w:ascii="Times New Roman" w:hAnsi="Times New Roman" w:cs="Times New Roman"/>
                <w:sz w:val="18"/>
                <w:szCs w:val="18"/>
              </w:rPr>
            </w:pPr>
            <w:r>
              <w:rPr>
                <w:rFonts w:hint="default" w:ascii="Times New Roman" w:hAnsi="Times New Roman" w:cs="Times New Roman"/>
                <w:spacing w:val="9"/>
                <w:sz w:val="18"/>
                <w:szCs w:val="18"/>
              </w:rPr>
              <w:t>说明</w:t>
            </w:r>
          </w:p>
        </w:tc>
        <w:tc>
          <w:tcPr>
            <w:tcW w:w="8845" w:type="dxa"/>
            <w:gridSpan w:val="7"/>
            <w:vAlign w:val="top"/>
          </w:tcPr>
          <w:p>
            <w:pPr>
              <w:pStyle w:val="7"/>
              <w:spacing w:before="57" w:line="213" w:lineRule="auto"/>
              <w:ind w:left="10"/>
              <w:jc w:val="left"/>
              <w:rPr>
                <w:rFonts w:hint="default" w:ascii="Times New Roman" w:hAnsi="Times New Roman" w:cs="Times New Roman"/>
                <w:sz w:val="18"/>
                <w:szCs w:val="18"/>
              </w:rPr>
            </w:pPr>
            <w:r>
              <w:rPr>
                <w:rFonts w:hint="default" w:ascii="Times New Roman" w:hAnsi="Times New Roman" w:cs="Times New Roman"/>
                <w:b w:val="0"/>
                <w:bCs w:val="0"/>
                <w:sz w:val="18"/>
                <w:szCs w:val="18"/>
                <w:lang w:eastAsia="zh-CN"/>
              </w:rPr>
              <w:t>无</w:t>
            </w:r>
            <w:r>
              <w:rPr>
                <w:rFonts w:hint="default" w:ascii="Times New Roman" w:hAnsi="Times New Roman" w:cs="Times New Roman"/>
                <w:b w:val="0"/>
                <w:bCs w:val="0"/>
                <w:sz w:val="18"/>
                <w:szCs w:val="18"/>
              </w:rPr>
              <w:t>中央巡视、各级审计和财会监督发现的问题及其所涉及的金额。</w:t>
            </w:r>
          </w:p>
        </w:tc>
      </w:tr>
    </w:tbl>
    <w:p>
      <w:pPr>
        <w:spacing w:before="47" w:line="219" w:lineRule="auto"/>
        <w:ind w:left="374"/>
        <w:rPr>
          <w:rFonts w:hint="default" w:ascii="Times New Roman" w:hAnsi="Times New Roman" w:cs="Times New Roman"/>
        </w:rPr>
      </w:pPr>
    </w:p>
    <w:sectPr>
      <w:headerReference r:id="rId5" w:type="default"/>
      <w:footerReference r:id="rId6" w:type="default"/>
      <w:pgSz w:w="11910" w:h="16850"/>
      <w:pgMar w:top="400" w:right="1349" w:bottom="400" w:left="166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D2C697"/>
    <w:multiLevelType w:val="singleLevel"/>
    <w:tmpl w:val="88D2C697"/>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N2YxZDg1ZTdlMmMxOWE3NjljY2JmMmUzOWZiMDEyZTIifQ=="/>
    <w:docVar w:name="KSO_WPS_MARK_KEY" w:val="79230863-7a8c-49c6-9b68-3a369dbd3c9a"/>
  </w:docVars>
  <w:rsids>
    <w:rsidRoot w:val="00000000"/>
    <w:rsid w:val="000F5645"/>
    <w:rsid w:val="00143693"/>
    <w:rsid w:val="01260E98"/>
    <w:rsid w:val="019D115B"/>
    <w:rsid w:val="04730C2E"/>
    <w:rsid w:val="04FA68C4"/>
    <w:rsid w:val="053E4A03"/>
    <w:rsid w:val="07371C64"/>
    <w:rsid w:val="08E41D65"/>
    <w:rsid w:val="09683BE0"/>
    <w:rsid w:val="0B2E1C4C"/>
    <w:rsid w:val="0F654B8D"/>
    <w:rsid w:val="116003F7"/>
    <w:rsid w:val="127C6382"/>
    <w:rsid w:val="14434596"/>
    <w:rsid w:val="16650B2B"/>
    <w:rsid w:val="186B0D75"/>
    <w:rsid w:val="1D291FE4"/>
    <w:rsid w:val="1D787B4E"/>
    <w:rsid w:val="1DE0292B"/>
    <w:rsid w:val="1EF93301"/>
    <w:rsid w:val="1FEB4E59"/>
    <w:rsid w:val="20393367"/>
    <w:rsid w:val="226B58C3"/>
    <w:rsid w:val="24A73F1B"/>
    <w:rsid w:val="29C70BBB"/>
    <w:rsid w:val="29FB0865"/>
    <w:rsid w:val="2A2614BF"/>
    <w:rsid w:val="2BE47802"/>
    <w:rsid w:val="2FA368A3"/>
    <w:rsid w:val="300C0546"/>
    <w:rsid w:val="3090408B"/>
    <w:rsid w:val="319B6BB5"/>
    <w:rsid w:val="320E1325"/>
    <w:rsid w:val="32DD1896"/>
    <w:rsid w:val="33947D60"/>
    <w:rsid w:val="35F42B0D"/>
    <w:rsid w:val="35FE7713"/>
    <w:rsid w:val="391E1E7A"/>
    <w:rsid w:val="395B47BC"/>
    <w:rsid w:val="3BBE3A81"/>
    <w:rsid w:val="4026421E"/>
    <w:rsid w:val="42DE7867"/>
    <w:rsid w:val="436D4B0C"/>
    <w:rsid w:val="44274886"/>
    <w:rsid w:val="44FE772F"/>
    <w:rsid w:val="46BC33FE"/>
    <w:rsid w:val="471F2E35"/>
    <w:rsid w:val="49E96808"/>
    <w:rsid w:val="4B2E231E"/>
    <w:rsid w:val="4CBB7CB4"/>
    <w:rsid w:val="4E595416"/>
    <w:rsid w:val="4F323738"/>
    <w:rsid w:val="4FDA7242"/>
    <w:rsid w:val="536410A5"/>
    <w:rsid w:val="57EE53E1"/>
    <w:rsid w:val="586821D1"/>
    <w:rsid w:val="5A176492"/>
    <w:rsid w:val="5A184C42"/>
    <w:rsid w:val="5A707529"/>
    <w:rsid w:val="5BB13A53"/>
    <w:rsid w:val="5BF4415A"/>
    <w:rsid w:val="5C5D4249"/>
    <w:rsid w:val="5DCE5755"/>
    <w:rsid w:val="5FCB7B2A"/>
    <w:rsid w:val="61973491"/>
    <w:rsid w:val="645E569D"/>
    <w:rsid w:val="646802C9"/>
    <w:rsid w:val="659770B8"/>
    <w:rsid w:val="664C6B61"/>
    <w:rsid w:val="667C658D"/>
    <w:rsid w:val="668313EA"/>
    <w:rsid w:val="67D55C76"/>
    <w:rsid w:val="681E586F"/>
    <w:rsid w:val="684B418A"/>
    <w:rsid w:val="6860164E"/>
    <w:rsid w:val="686D5EAE"/>
    <w:rsid w:val="69B21E89"/>
    <w:rsid w:val="6AA476C1"/>
    <w:rsid w:val="6B96396E"/>
    <w:rsid w:val="6D0F39D8"/>
    <w:rsid w:val="6D266F73"/>
    <w:rsid w:val="6D3451EC"/>
    <w:rsid w:val="6D8A25D8"/>
    <w:rsid w:val="6EC407F2"/>
    <w:rsid w:val="6FA752D8"/>
    <w:rsid w:val="7136628F"/>
    <w:rsid w:val="71D961AA"/>
    <w:rsid w:val="72591622"/>
    <w:rsid w:val="738A200A"/>
    <w:rsid w:val="74144456"/>
    <w:rsid w:val="7455058C"/>
    <w:rsid w:val="773D46D3"/>
    <w:rsid w:val="77B11527"/>
    <w:rsid w:val="77FA5285"/>
    <w:rsid w:val="788F4339"/>
    <w:rsid w:val="7C7056D8"/>
    <w:rsid w:val="7CC06A9D"/>
    <w:rsid w:val="7CEA58C8"/>
    <w:rsid w:val="7ECA5B98"/>
    <w:rsid w:val="7FC71EF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toc 1"/>
    <w:basedOn w:val="1"/>
    <w:next w:val="1"/>
    <w:autoRedefine/>
    <w:qFormat/>
    <w:uiPriority w:val="0"/>
    <w:pPr>
      <w:widowControl w:val="0"/>
      <w:tabs>
        <w:tab w:val="right" w:leader="dot" w:pos="8778"/>
      </w:tabs>
      <w:spacing w:before="120" w:after="120"/>
    </w:pPr>
    <w:rPr>
      <w:rFonts w:ascii="仿宋_GB2312"/>
      <w:b/>
      <w:caps/>
      <w:color w:val="000000"/>
      <w:kern w:val="2"/>
      <w:sz w:val="36"/>
      <w:lang w:val="en-US" w:eastAsia="zh-CN" w:bidi="ar-SA"/>
    </w:rPr>
  </w:style>
  <w:style w:type="paragraph" w:styleId="3">
    <w:name w:val="Body Text"/>
    <w:basedOn w:val="1"/>
    <w:autoRedefine/>
    <w:semiHidden/>
    <w:qFormat/>
    <w:uiPriority w:val="0"/>
    <w:rPr>
      <w:rFonts w:ascii="仿宋" w:hAnsi="仿宋" w:eastAsia="仿宋" w:cs="仿宋"/>
      <w:sz w:val="36"/>
      <w:szCs w:val="36"/>
      <w:lang w:val="en-US" w:eastAsia="en-US" w:bidi="ar-SA"/>
    </w:rPr>
  </w:style>
  <w:style w:type="table" w:customStyle="1" w:styleId="6">
    <w:name w:val="Table Normal"/>
    <w:autoRedefine/>
    <w:semiHidden/>
    <w:unhideWhenUsed/>
    <w:qFormat/>
    <w:uiPriority w:val="0"/>
    <w:tblPr>
      <w:tblCellMar>
        <w:top w:w="0" w:type="dxa"/>
        <w:left w:w="0" w:type="dxa"/>
        <w:bottom w:w="0" w:type="dxa"/>
        <w:right w:w="0" w:type="dxa"/>
      </w:tblCellMar>
    </w:tblPr>
  </w:style>
  <w:style w:type="paragraph" w:customStyle="1" w:styleId="7">
    <w:name w:val="Table Text"/>
    <w:basedOn w:val="1"/>
    <w:autoRedefine/>
    <w:semiHidden/>
    <w:qFormat/>
    <w:uiPriority w:val="0"/>
    <w:rPr>
      <w:rFonts w:ascii="宋体" w:hAnsi="宋体" w:eastAsia="宋体" w:cs="宋体"/>
      <w:sz w:val="22"/>
      <w:szCs w:val="22"/>
      <w:lang w:val="en-US" w:eastAsia="en-US" w:bidi="ar-SA"/>
    </w:rPr>
  </w:style>
  <w:style w:type="paragraph" w:customStyle="1" w:styleId="8">
    <w:name w:val="新正文"/>
    <w:basedOn w:val="1"/>
    <w:autoRedefine/>
    <w:qFormat/>
    <w:uiPriority w:val="0"/>
    <w:pPr>
      <w:spacing w:line="610" w:lineRule="exact"/>
      <w:ind w:firstLine="880" w:firstLineChars="200"/>
    </w:pPr>
    <w:rPr>
      <w:rFonts w:eastAsia="仿宋_GB2312"/>
      <w:sz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18</Pages>
  <Words>7439</Words>
  <Characters>7697</Characters>
  <TotalTime>5</TotalTime>
  <ScaleCrop>false</ScaleCrop>
  <LinksUpToDate>false</LinksUpToDate>
  <CharactersWithSpaces>7839</CharactersWithSpaces>
  <Application>WPS Office_12.1.0.16388_F1E327BC-269C-435d-A152-05C5408002CA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2024-02-28T10:22:00Z</dcterms:created>
  <dc:creator>Kingsoft-PDF</dc:creator>
  <cp:lastModifiedBy>Administrator</cp:lastModifiedBy>
  <cp:lastPrinted>2024-03-11T07:03:00Z</cp:lastPrinted>
  <dcterms:modified xsi:type="dcterms:W3CDTF">2024-03-11T07:28:24Z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2024-02-28T10:22:57Z</vt:filetime>
  </property>
  <property fmtid="{D5CDD505-2E9C-101B-9397-08002B2CF9AE}" pid="4" name="UsrData">
    <vt:lpwstr>65de98f9a5d5df001fd88d06wl</vt:lpwstr>
  </property>
  <property fmtid="{D5CDD505-2E9C-101B-9397-08002B2CF9AE}" pid="5" name="KSOProductBuildVer">
    <vt:lpwstr>2052-12.1.0.16388</vt:lpwstr>
  </property>
  <property fmtid="{D5CDD505-2E9C-101B-9397-08002B2CF9AE}" pid="6" name="ICV">
    <vt:lpwstr>19C247C9A12A437ABABC166BCB6031BF_13</vt:lpwstr>
  </property>
</Properties>
</file>