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B88A1">
      <w:pPr>
        <w:widowControl/>
        <w:spacing w:line="594" w:lineRule="exact"/>
        <w:jc w:val="left"/>
        <w:rPr>
          <w:rFonts w:eastAsia="黑体"/>
          <w:bCs/>
          <w:kern w:val="0"/>
          <w:szCs w:val="32"/>
        </w:rPr>
      </w:pPr>
      <w:bookmarkStart w:id="1" w:name="_GoBack"/>
      <w:bookmarkEnd w:id="1"/>
      <w:bookmarkStart w:id="0" w:name="RANGE!A1:G4"/>
      <w:r>
        <w:rPr>
          <w:rFonts w:eastAsia="黑体"/>
          <w:bCs/>
          <w:kern w:val="0"/>
          <w:szCs w:val="32"/>
        </w:rPr>
        <w:t>附件3</w:t>
      </w:r>
      <w:bookmarkEnd w:id="0"/>
    </w:p>
    <w:p w14:paraId="09C19279">
      <w:pPr>
        <w:spacing w:line="594" w:lineRule="exact"/>
        <w:jc w:val="center"/>
        <w:rPr>
          <w:rFonts w:eastAsia="方正小标宋简体"/>
          <w:bCs/>
          <w:kern w:val="0"/>
          <w:sz w:val="44"/>
          <w:szCs w:val="44"/>
        </w:rPr>
      </w:pPr>
      <w:r>
        <w:rPr>
          <w:rFonts w:hint="eastAsia" w:eastAsia="方正小标宋简体"/>
          <w:bCs/>
          <w:kern w:val="0"/>
          <w:sz w:val="44"/>
          <w:szCs w:val="44"/>
        </w:rPr>
        <w:t>桃江灰山港产业开发区管理委员会202</w:t>
      </w:r>
      <w:r>
        <w:rPr>
          <w:rFonts w:hint="eastAsia" w:eastAsia="方正小标宋简体"/>
          <w:bCs/>
          <w:kern w:val="0"/>
          <w:sz w:val="44"/>
          <w:szCs w:val="44"/>
          <w:lang w:val="en-US" w:eastAsia="zh-CN"/>
        </w:rPr>
        <w:t>3</w:t>
      </w:r>
      <w:r>
        <w:rPr>
          <w:rFonts w:hint="eastAsia" w:eastAsia="方正小标宋简体"/>
          <w:bCs/>
          <w:kern w:val="0"/>
          <w:sz w:val="44"/>
          <w:szCs w:val="44"/>
        </w:rPr>
        <w:t>年度</w:t>
      </w:r>
      <w:r>
        <w:rPr>
          <w:rFonts w:eastAsia="方正小标宋简体"/>
          <w:bCs/>
          <w:kern w:val="0"/>
          <w:sz w:val="44"/>
          <w:szCs w:val="44"/>
        </w:rPr>
        <w:t>部门整体支出绩效报告</w:t>
      </w:r>
    </w:p>
    <w:p w14:paraId="5960B86C">
      <w:pPr>
        <w:widowControl/>
        <w:spacing w:line="594" w:lineRule="exact"/>
        <w:jc w:val="center"/>
        <w:rPr>
          <w:rFonts w:eastAsia="方正小标宋简体"/>
          <w:color w:val="31849B"/>
          <w:kern w:val="0"/>
          <w:sz w:val="44"/>
          <w:szCs w:val="44"/>
        </w:rPr>
      </w:pPr>
    </w:p>
    <w:p w14:paraId="4BE2C749">
      <w:pPr>
        <w:widowControl/>
        <w:spacing w:line="560" w:lineRule="exact"/>
        <w:ind w:firstLine="640" w:firstLineChars="200"/>
        <w:rPr>
          <w:color w:val="31849B"/>
          <w:kern w:val="0"/>
          <w:szCs w:val="32"/>
        </w:rPr>
      </w:pPr>
      <w:r>
        <w:rPr>
          <w:kern w:val="0"/>
          <w:szCs w:val="32"/>
        </w:rPr>
        <w:t>为认真贯彻落实二十大报告精神，强化财政支出绩效理念和部门责任意识，规范财政资金管理，提高财政资金使用效益，我单位根据桃江县财政局印发的《桃江县财政局关于开展202</w:t>
      </w:r>
      <w:r>
        <w:rPr>
          <w:rFonts w:hint="eastAsia"/>
          <w:kern w:val="0"/>
          <w:szCs w:val="32"/>
          <w:lang w:val="en-US" w:eastAsia="zh-CN"/>
        </w:rPr>
        <w:t>3</w:t>
      </w:r>
      <w:r>
        <w:rPr>
          <w:kern w:val="0"/>
          <w:szCs w:val="32"/>
        </w:rPr>
        <w:t>年度财政资金绩效自评工作的通知》（桃财监〔202</w:t>
      </w:r>
      <w:r>
        <w:rPr>
          <w:rFonts w:hint="eastAsia"/>
          <w:kern w:val="0"/>
          <w:szCs w:val="32"/>
          <w:lang w:val="en-US" w:eastAsia="zh-CN"/>
        </w:rPr>
        <w:t>4</w:t>
      </w:r>
      <w:r>
        <w:rPr>
          <w:kern w:val="0"/>
          <w:szCs w:val="32"/>
        </w:rPr>
        <w:t>〕</w:t>
      </w:r>
      <w:r>
        <w:rPr>
          <w:rFonts w:hint="eastAsia"/>
          <w:kern w:val="0"/>
          <w:szCs w:val="32"/>
          <w:lang w:val="en-US" w:eastAsia="zh-CN"/>
        </w:rPr>
        <w:t>51</w:t>
      </w:r>
      <w:r>
        <w:rPr>
          <w:kern w:val="0"/>
          <w:szCs w:val="32"/>
        </w:rPr>
        <w:t>号）的部署，认真组织进行了202</w:t>
      </w:r>
      <w:r>
        <w:rPr>
          <w:rFonts w:hint="eastAsia"/>
          <w:kern w:val="0"/>
          <w:szCs w:val="32"/>
          <w:lang w:val="en-US" w:eastAsia="zh-CN"/>
        </w:rPr>
        <w:t>3</w:t>
      </w:r>
      <w:r>
        <w:rPr>
          <w:kern w:val="0"/>
          <w:szCs w:val="32"/>
        </w:rPr>
        <w:t>年度预算绩效自评工作，现将我单位整体支出绩效评价情况报告如下：</w:t>
      </w:r>
      <w:r>
        <w:rPr>
          <w:color w:val="31849B"/>
          <w:kern w:val="0"/>
          <w:szCs w:val="32"/>
        </w:rPr>
        <w:t xml:space="preserve"> </w:t>
      </w:r>
    </w:p>
    <w:p w14:paraId="37BF7712">
      <w:pPr>
        <w:spacing w:line="560" w:lineRule="exact"/>
        <w:ind w:firstLine="640" w:firstLineChars="200"/>
        <w:rPr>
          <w:rFonts w:eastAsia="黑体"/>
          <w:color w:val="31849B"/>
          <w:kern w:val="0"/>
          <w:szCs w:val="32"/>
        </w:rPr>
      </w:pPr>
      <w:r>
        <w:rPr>
          <w:rFonts w:eastAsia="黑体"/>
          <w:bCs/>
          <w:color w:val="31849B"/>
          <w:kern w:val="0"/>
          <w:szCs w:val="32"/>
        </w:rPr>
        <w:t xml:space="preserve"> </w:t>
      </w:r>
      <w:r>
        <w:rPr>
          <w:rFonts w:eastAsia="黑体"/>
          <w:bCs/>
          <w:kern w:val="0"/>
          <w:szCs w:val="32"/>
        </w:rPr>
        <w:t>一、部门概况</w:t>
      </w:r>
    </w:p>
    <w:p w14:paraId="3883001C">
      <w:pPr>
        <w:spacing w:line="560" w:lineRule="exact"/>
        <w:ind w:firstLine="640" w:firstLineChars="200"/>
        <w:rPr>
          <w:kern w:val="0"/>
          <w:szCs w:val="32"/>
        </w:rPr>
      </w:pPr>
      <w:r>
        <w:rPr>
          <w:kern w:val="0"/>
          <w:szCs w:val="32"/>
        </w:rPr>
        <w:t>（一）部门基本情况</w:t>
      </w:r>
    </w:p>
    <w:p w14:paraId="204ECE57">
      <w:pPr>
        <w:widowControl/>
        <w:spacing w:line="560" w:lineRule="exact"/>
        <w:ind w:firstLine="640" w:firstLineChars="200"/>
        <w:rPr>
          <w:kern w:val="0"/>
          <w:szCs w:val="32"/>
        </w:rPr>
      </w:pPr>
      <w:r>
        <w:rPr>
          <w:color w:val="31849B"/>
          <w:kern w:val="0"/>
          <w:szCs w:val="32"/>
        </w:rPr>
        <w:t> </w:t>
      </w:r>
      <w:r>
        <w:rPr>
          <w:kern w:val="0"/>
          <w:szCs w:val="32"/>
        </w:rPr>
        <w:t xml:space="preserve"> 1</w:t>
      </w:r>
      <w:r>
        <w:rPr>
          <w:rFonts w:hint="eastAsia"/>
          <w:kern w:val="0"/>
          <w:szCs w:val="32"/>
          <w:lang w:val="en-US" w:eastAsia="zh-CN"/>
        </w:rPr>
        <w:t>.</w:t>
      </w:r>
      <w:r>
        <w:rPr>
          <w:kern w:val="0"/>
          <w:szCs w:val="32"/>
        </w:rPr>
        <w:t>机构及人员情况</w:t>
      </w:r>
    </w:p>
    <w:p w14:paraId="322AD5A9">
      <w:pPr>
        <w:widowControl/>
        <w:spacing w:line="560" w:lineRule="exact"/>
        <w:ind w:firstLine="640" w:firstLineChars="200"/>
        <w:rPr>
          <w:kern w:val="0"/>
          <w:szCs w:val="32"/>
        </w:rPr>
      </w:pPr>
      <w:r>
        <w:rPr>
          <w:kern w:val="0"/>
          <w:szCs w:val="32"/>
        </w:rPr>
        <w:t>2014年12月，正式成立灰山港工业集中区党工委、管委会，主要承担灰山港工业集中区东部片区建设管理工作。2021年7月，根据湘发改地区〔2021〕517号文件通知，本单位名称由桃江县灰山港工业集中区管理委员会变更为桃江灰山港产业开发区管理委员会。根据桃编发〔2021〕12文</w:t>
      </w:r>
    </w:p>
    <w:p w14:paraId="320B057D">
      <w:pPr>
        <w:widowControl/>
        <w:spacing w:line="560" w:lineRule="exact"/>
        <w:rPr>
          <w:kern w:val="0"/>
          <w:szCs w:val="32"/>
        </w:rPr>
      </w:pPr>
      <w:r>
        <w:rPr>
          <w:kern w:val="0"/>
          <w:szCs w:val="32"/>
        </w:rPr>
        <w:t>件，本单位设5个内设机构：办公室、企业招商股、征地拆迁股、工程规划股、安监环保站，核定行政编制6名，全额拨款事业编制</w:t>
      </w:r>
      <w:r>
        <w:rPr>
          <w:rFonts w:hint="eastAsia"/>
          <w:kern w:val="0"/>
          <w:szCs w:val="32"/>
          <w:lang w:val="en-US" w:eastAsia="zh-CN"/>
        </w:rPr>
        <w:t>9</w:t>
      </w:r>
      <w:r>
        <w:rPr>
          <w:kern w:val="0"/>
          <w:szCs w:val="32"/>
        </w:rPr>
        <w:t>名</w:t>
      </w:r>
      <w:r>
        <w:rPr>
          <w:rFonts w:hint="eastAsia"/>
          <w:kern w:val="0"/>
          <w:szCs w:val="32"/>
          <w:lang w:eastAsia="zh-CN"/>
        </w:rPr>
        <w:t>（含</w:t>
      </w:r>
      <w:r>
        <w:rPr>
          <w:kern w:val="0"/>
          <w:szCs w:val="32"/>
        </w:rPr>
        <w:t>财政所</w:t>
      </w:r>
      <w:r>
        <w:rPr>
          <w:rFonts w:hint="eastAsia"/>
          <w:kern w:val="0"/>
          <w:szCs w:val="32"/>
          <w:lang w:val="en-US" w:eastAsia="zh-CN"/>
        </w:rPr>
        <w:t>3名）</w:t>
      </w:r>
      <w:r>
        <w:rPr>
          <w:kern w:val="0"/>
          <w:szCs w:val="32"/>
        </w:rPr>
        <w:t>；下设2个事业单位：灰山港产业区招商事务中心，灰山港产业区信息中心，各核定全额拨款事业编制4名。桃江灰山港产业开发区管理委员会为一级预算单位，无独立二级单位。</w:t>
      </w:r>
    </w:p>
    <w:p w14:paraId="70A00CF9">
      <w:pPr>
        <w:widowControl/>
        <w:spacing w:line="560" w:lineRule="exact"/>
        <w:ind w:firstLine="640" w:firstLineChars="200"/>
        <w:rPr>
          <w:kern w:val="0"/>
          <w:szCs w:val="32"/>
        </w:rPr>
      </w:pPr>
      <w:r>
        <w:rPr>
          <w:kern w:val="0"/>
          <w:szCs w:val="32"/>
        </w:rPr>
        <w:t>2</w:t>
      </w:r>
      <w:r>
        <w:rPr>
          <w:rFonts w:hint="eastAsia"/>
          <w:kern w:val="0"/>
          <w:szCs w:val="32"/>
          <w:lang w:val="en-US" w:eastAsia="zh-CN"/>
        </w:rPr>
        <w:t>.</w:t>
      </w:r>
      <w:r>
        <w:rPr>
          <w:kern w:val="0"/>
          <w:szCs w:val="32"/>
        </w:rPr>
        <w:t>单位主要职能</w:t>
      </w:r>
    </w:p>
    <w:p w14:paraId="31AA027C">
      <w:pPr>
        <w:snapToGrid w:val="0"/>
        <w:spacing w:line="560" w:lineRule="exact"/>
        <w:ind w:firstLine="640" w:firstLineChars="200"/>
        <w:rPr>
          <w:szCs w:val="32"/>
        </w:rPr>
      </w:pPr>
      <w:r>
        <w:rPr>
          <w:szCs w:val="32"/>
        </w:rPr>
        <w:t>(1)负责贯彻执行党和国家关于产业开发区的方针政策、 法律法规和决策部署。研究制定并组织实施产业开发区各项管理 制度和改革措施，探索产业开发区改革和发展的新路子、新模式；开展政策、法规宣传教育工作，检查督促各项政策、法规的执行。</w:t>
      </w:r>
    </w:p>
    <w:p w14:paraId="3E9466E1">
      <w:pPr>
        <w:snapToGrid w:val="0"/>
        <w:spacing w:line="560" w:lineRule="exact"/>
        <w:ind w:firstLine="640" w:firstLineChars="200"/>
        <w:rPr>
          <w:szCs w:val="32"/>
        </w:rPr>
      </w:pPr>
      <w:r>
        <w:rPr>
          <w:szCs w:val="32"/>
        </w:rPr>
        <w:t>(2)会同有关部门编制产业开发区总体规划、中长期建设规划、经济发展规划、科技规划、产业规划，批准后组织实施。</w:t>
      </w:r>
    </w:p>
    <w:p w14:paraId="08C6C60A">
      <w:pPr>
        <w:snapToGrid w:val="0"/>
        <w:spacing w:line="560" w:lineRule="exact"/>
        <w:ind w:firstLine="640" w:firstLineChars="200"/>
        <w:rPr>
          <w:szCs w:val="32"/>
        </w:rPr>
      </w:pPr>
      <w:r>
        <w:rPr>
          <w:szCs w:val="32"/>
        </w:rPr>
        <w:t>(3)按照产业开发区总体规划的要求，规划和管理区内的各种建设项目。</w:t>
      </w:r>
    </w:p>
    <w:p w14:paraId="479CEB6B">
      <w:pPr>
        <w:snapToGrid w:val="0"/>
        <w:spacing w:line="560" w:lineRule="exact"/>
        <w:ind w:firstLine="640" w:firstLineChars="200"/>
        <w:rPr>
          <w:szCs w:val="32"/>
        </w:rPr>
      </w:pPr>
      <w:r>
        <w:rPr>
          <w:szCs w:val="32"/>
        </w:rPr>
        <w:t>(4)负责对区内的企业进行协调；负责入园企业相关手续全程代理服务。</w:t>
      </w:r>
    </w:p>
    <w:p w14:paraId="79F8C68E">
      <w:pPr>
        <w:snapToGrid w:val="0"/>
        <w:spacing w:line="560" w:lineRule="exact"/>
        <w:ind w:firstLine="640" w:firstLineChars="200"/>
        <w:rPr>
          <w:szCs w:val="32"/>
        </w:rPr>
      </w:pPr>
      <w:r>
        <w:rPr>
          <w:szCs w:val="32"/>
        </w:rPr>
        <w:t>(5)审核产业开发区的投资项目，并按照管理权限审批或 报批；指导和督促企业安全生产；负责产业开发区招商引资、对外经济技术合作，按照规定处理区内涉外事务。</w:t>
      </w:r>
    </w:p>
    <w:p w14:paraId="66C9B95B">
      <w:pPr>
        <w:snapToGrid w:val="0"/>
        <w:spacing w:line="560" w:lineRule="exact"/>
        <w:ind w:firstLine="640" w:firstLineChars="200"/>
        <w:rPr>
          <w:szCs w:val="32"/>
        </w:rPr>
      </w:pPr>
      <w:r>
        <w:rPr>
          <w:szCs w:val="32"/>
        </w:rPr>
        <w:t>(6)负责产业开发区的综合、信息、统计、融资、立项争资。</w:t>
      </w:r>
    </w:p>
    <w:p w14:paraId="315A3E2A">
      <w:pPr>
        <w:snapToGrid w:val="0"/>
        <w:spacing w:line="560" w:lineRule="exact"/>
        <w:ind w:firstLine="640" w:firstLineChars="200"/>
        <w:rPr>
          <w:szCs w:val="32"/>
        </w:rPr>
      </w:pPr>
      <w:r>
        <w:rPr>
          <w:szCs w:val="32"/>
        </w:rPr>
        <w:t>(7)依据相关法律、法规负责产业开发区的规划建设、社会治安、财政收支、国有资产、审计管理。</w:t>
      </w:r>
    </w:p>
    <w:p w14:paraId="457AFC6F">
      <w:pPr>
        <w:snapToGrid w:val="0"/>
        <w:spacing w:line="560" w:lineRule="exact"/>
        <w:ind w:firstLine="640" w:firstLineChars="200"/>
        <w:rPr>
          <w:szCs w:val="32"/>
        </w:rPr>
      </w:pPr>
      <w:r>
        <w:rPr>
          <w:szCs w:val="32"/>
        </w:rPr>
        <w:t>(8)负责协调产业开发区的教育、民政、文化、卫生、人口和计划生育、体育等有关社会公共事务。</w:t>
      </w:r>
    </w:p>
    <w:p w14:paraId="61DDBB19">
      <w:pPr>
        <w:snapToGrid w:val="0"/>
        <w:spacing w:line="560" w:lineRule="exact"/>
        <w:ind w:firstLine="640" w:firstLineChars="200"/>
        <w:rPr>
          <w:szCs w:val="32"/>
        </w:rPr>
      </w:pPr>
      <w:r>
        <w:rPr>
          <w:szCs w:val="32"/>
        </w:rPr>
        <w:t>(9)负责产业开发区的党群、宣传、统战、人大政协联络、组织、机构编制、人力资源和社会保障等有关工作。</w:t>
      </w:r>
    </w:p>
    <w:p w14:paraId="4AADCE6F">
      <w:pPr>
        <w:snapToGrid w:val="0"/>
        <w:spacing w:line="560" w:lineRule="exact"/>
        <w:ind w:firstLine="640" w:firstLineChars="200"/>
        <w:rPr>
          <w:szCs w:val="32"/>
        </w:rPr>
      </w:pPr>
      <w:r>
        <w:rPr>
          <w:szCs w:val="32"/>
        </w:rPr>
        <w:t>(10)负责产业开发区内征地、拆迁、补偿、安置等工作。</w:t>
      </w:r>
    </w:p>
    <w:p w14:paraId="50ECBA45">
      <w:pPr>
        <w:snapToGrid w:val="0"/>
        <w:spacing w:line="560" w:lineRule="exact"/>
        <w:ind w:firstLine="640" w:firstLineChars="200"/>
        <w:rPr>
          <w:szCs w:val="32"/>
        </w:rPr>
      </w:pPr>
      <w:r>
        <w:rPr>
          <w:szCs w:val="32"/>
        </w:rPr>
        <w:t>(11)会同自然资源、环保部门负责产业开发区内土地的开发管理、环境保护。</w:t>
      </w:r>
    </w:p>
    <w:p w14:paraId="4B997B3E">
      <w:pPr>
        <w:snapToGrid w:val="0"/>
        <w:spacing w:line="560" w:lineRule="exact"/>
        <w:ind w:firstLine="640" w:firstLineChars="200"/>
        <w:rPr>
          <w:szCs w:val="32"/>
        </w:rPr>
      </w:pPr>
      <w:r>
        <w:rPr>
          <w:szCs w:val="32"/>
        </w:rPr>
        <w:t>(12)根据授权，负责行使产业开发区管理范围内的财政、公安等派出机构工作的指导、监督和协调。</w:t>
      </w:r>
    </w:p>
    <w:p w14:paraId="34031E16">
      <w:pPr>
        <w:snapToGrid w:val="0"/>
        <w:spacing w:line="560" w:lineRule="exact"/>
        <w:ind w:firstLine="640" w:firstLineChars="200"/>
        <w:rPr>
          <w:szCs w:val="32"/>
        </w:rPr>
      </w:pPr>
      <w:r>
        <w:rPr>
          <w:szCs w:val="32"/>
        </w:rPr>
        <w:t>(13)承办县委、县政府交办的其他事项。</w:t>
      </w:r>
    </w:p>
    <w:p w14:paraId="27D2BD54">
      <w:pPr>
        <w:widowControl/>
        <w:spacing w:line="560" w:lineRule="exact"/>
        <w:ind w:firstLine="640" w:firstLineChars="200"/>
        <w:rPr>
          <w:kern w:val="0"/>
          <w:szCs w:val="32"/>
        </w:rPr>
      </w:pPr>
      <w:r>
        <w:rPr>
          <w:kern w:val="0"/>
          <w:szCs w:val="32"/>
        </w:rPr>
        <w:t>（二）部门整体支出规模、使用方向和主要内容、涉及范围</w:t>
      </w:r>
    </w:p>
    <w:p w14:paraId="037DAA7D">
      <w:pPr>
        <w:snapToGrid w:val="0"/>
        <w:spacing w:line="560" w:lineRule="exact"/>
        <w:ind w:firstLine="640" w:firstLineChars="200"/>
        <w:rPr>
          <w:color w:val="auto"/>
          <w:szCs w:val="32"/>
        </w:rPr>
      </w:pPr>
      <w:r>
        <w:rPr>
          <w:szCs w:val="32"/>
        </w:rPr>
        <w:t>桃江灰山港产业开发区管理委员会202</w:t>
      </w:r>
      <w:r>
        <w:rPr>
          <w:rFonts w:hint="eastAsia"/>
          <w:szCs w:val="32"/>
          <w:lang w:val="en-US" w:eastAsia="zh-CN"/>
        </w:rPr>
        <w:t>3</w:t>
      </w:r>
      <w:r>
        <w:rPr>
          <w:szCs w:val="32"/>
        </w:rPr>
        <w:t>年度整体收入合计</w:t>
      </w:r>
      <w:r>
        <w:rPr>
          <w:rFonts w:hint="eastAsia" w:ascii="Times New Roman" w:hAnsi="Times New Roman" w:cs="Times New Roman"/>
          <w:szCs w:val="32"/>
          <w:lang w:val="en-US" w:eastAsia="zh-CN"/>
        </w:rPr>
        <w:t>230.34</w:t>
      </w:r>
      <w:r>
        <w:rPr>
          <w:szCs w:val="32"/>
        </w:rPr>
        <w:t>万元，全部为财政拨款收入；桃江灰山港产业开发区管理委员会</w:t>
      </w:r>
      <w:r>
        <w:rPr>
          <w:rFonts w:hint="eastAsia"/>
          <w:szCs w:val="32"/>
          <w:lang w:eastAsia="zh-CN"/>
        </w:rPr>
        <w:t>2023年</w:t>
      </w:r>
      <w:r>
        <w:rPr>
          <w:szCs w:val="32"/>
        </w:rPr>
        <w:t>整体支出</w:t>
      </w:r>
      <w:r>
        <w:rPr>
          <w:rFonts w:hint="eastAsia" w:ascii="Times New Roman" w:hAnsi="Times New Roman" w:cs="Times New Roman"/>
          <w:szCs w:val="32"/>
          <w:lang w:val="en-US" w:eastAsia="zh-CN"/>
        </w:rPr>
        <w:t>230.34</w:t>
      </w:r>
      <w:r>
        <w:rPr>
          <w:szCs w:val="32"/>
        </w:rPr>
        <w:t>万元，其中：基本支出</w:t>
      </w:r>
      <w:r>
        <w:rPr>
          <w:rFonts w:hint="eastAsia"/>
          <w:szCs w:val="32"/>
          <w:lang w:val="en-US" w:eastAsia="zh-CN"/>
        </w:rPr>
        <w:t>220.68</w:t>
      </w:r>
      <w:r>
        <w:rPr>
          <w:szCs w:val="32"/>
        </w:rPr>
        <w:t>万元，主要是用于机关公职人员的基本工资和其他工资福利支出，以及公务活动的财力保障，切实保障各部门正常运转，完成日常各项工作；项目支出</w:t>
      </w:r>
      <w:r>
        <w:rPr>
          <w:rFonts w:hint="eastAsia"/>
          <w:szCs w:val="32"/>
          <w:lang w:val="en-US" w:eastAsia="zh-CN"/>
        </w:rPr>
        <w:t>9.66</w:t>
      </w:r>
      <w:r>
        <w:rPr>
          <w:szCs w:val="32"/>
        </w:rPr>
        <w:t>万元，</w:t>
      </w:r>
      <w:r>
        <w:rPr>
          <w:color w:val="auto"/>
          <w:szCs w:val="32"/>
        </w:rPr>
        <w:t>主要是用于征拆成本支出，切实发挥财政资金配置作用，加强资金监管。</w:t>
      </w:r>
    </w:p>
    <w:p w14:paraId="5AA89F1F">
      <w:pPr>
        <w:widowControl/>
        <w:spacing w:line="560" w:lineRule="exact"/>
        <w:ind w:firstLine="640" w:firstLineChars="200"/>
        <w:rPr>
          <w:kern w:val="0"/>
          <w:szCs w:val="32"/>
        </w:rPr>
      </w:pPr>
      <w:r>
        <w:rPr>
          <w:kern w:val="0"/>
          <w:szCs w:val="32"/>
        </w:rPr>
        <w:t>（三）绩效目标设立情况，主要包括部门中长期绩效目标和年度绩效目标。</w:t>
      </w:r>
    </w:p>
    <w:p w14:paraId="101CA85C">
      <w:pPr>
        <w:spacing w:line="560" w:lineRule="exact"/>
        <w:ind w:firstLine="630"/>
        <w:rPr>
          <w:rFonts w:hint="eastAsia"/>
          <w:color w:val="auto"/>
          <w:kern w:val="0"/>
          <w:szCs w:val="32"/>
          <w:lang w:eastAsia="zh-CN"/>
        </w:rPr>
      </w:pPr>
      <w:r>
        <w:rPr>
          <w:rFonts w:hint="eastAsia"/>
          <w:kern w:val="0"/>
          <w:szCs w:val="32"/>
          <w:lang w:eastAsia="zh-CN"/>
        </w:rPr>
        <w:t>2023年</w:t>
      </w:r>
      <w:r>
        <w:rPr>
          <w:kern w:val="0"/>
          <w:szCs w:val="32"/>
        </w:rPr>
        <w:t>，桃江灰山港产业开发区围绕“五好”园区建设目标，积极转变招商思路，突出产业项目建设，全面启动基础设施建设。</w:t>
      </w:r>
      <w:r>
        <w:rPr>
          <w:color w:val="auto"/>
          <w:kern w:val="0"/>
          <w:szCs w:val="32"/>
        </w:rPr>
        <w:t>园区重点工作项目有：</w:t>
      </w:r>
      <w:r>
        <w:rPr>
          <w:rFonts w:hint="eastAsia"/>
          <w:color w:val="auto"/>
          <w:kern w:val="0"/>
          <w:szCs w:val="32"/>
        </w:rPr>
        <w:t>铝单板幕墙新型装饰材料生产项目</w:t>
      </w:r>
      <w:r>
        <w:rPr>
          <w:rFonts w:hint="eastAsia"/>
          <w:color w:val="auto"/>
          <w:kern w:val="0"/>
          <w:szCs w:val="32"/>
          <w:lang w:eastAsia="zh-CN"/>
        </w:rPr>
        <w:t>；湖南烯富环保科技有限公司锂电池负极碳材料产业技改扩建项目；年产15000吨负极材料前驱体生产项目；湖南紫荆新材料科技有限公司年产10万吨高端装备铸造关键零部件智能制造项目；湖南省金博新材料科技有限公司5000t/a精锑深加工项目。</w:t>
      </w:r>
    </w:p>
    <w:p w14:paraId="636AC85A">
      <w:pPr>
        <w:spacing w:line="560" w:lineRule="exact"/>
        <w:ind w:firstLine="630"/>
        <w:rPr>
          <w:rFonts w:hint="eastAsia"/>
          <w:color w:val="auto"/>
          <w:kern w:val="0"/>
          <w:szCs w:val="32"/>
          <w:lang w:eastAsia="zh-CN"/>
        </w:rPr>
      </w:pPr>
      <w:r>
        <w:rPr>
          <w:rFonts w:hint="eastAsia"/>
          <w:color w:val="auto"/>
          <w:kern w:val="0"/>
          <w:szCs w:val="32"/>
        </w:rPr>
        <w:t>铝单板幕墙新型装饰材料生产项目</w:t>
      </w:r>
      <w:r>
        <w:rPr>
          <w:rFonts w:hint="eastAsia"/>
          <w:color w:val="auto"/>
          <w:kern w:val="0"/>
          <w:szCs w:val="32"/>
          <w:lang w:eastAsia="zh-CN"/>
        </w:rPr>
        <w:t>已完成工商营业执照办理、红线划定、规划、土地挂牌、施工图设计、地勘、施工图审查；已完成施工建设的地基开挖等前期工作；已完成挡土墙施工；已完成平整场地；已完成桩基础施工。</w:t>
      </w:r>
    </w:p>
    <w:p w14:paraId="443BC756">
      <w:pPr>
        <w:spacing w:line="560" w:lineRule="exact"/>
        <w:ind w:firstLine="630"/>
        <w:rPr>
          <w:rFonts w:hint="eastAsia"/>
          <w:color w:val="auto"/>
          <w:kern w:val="0"/>
          <w:szCs w:val="32"/>
        </w:rPr>
      </w:pPr>
      <w:r>
        <w:rPr>
          <w:rFonts w:hint="eastAsia"/>
          <w:color w:val="auto"/>
          <w:kern w:val="0"/>
          <w:szCs w:val="32"/>
          <w:lang w:eastAsia="zh-CN"/>
        </w:rPr>
        <w:t>湖南烯富环保科技有限公司锂电池负极碳材料产业技改扩建项目已完成</w:t>
      </w:r>
      <w:r>
        <w:rPr>
          <w:rFonts w:hint="eastAsia"/>
          <w:color w:val="auto"/>
          <w:kern w:val="0"/>
          <w:szCs w:val="32"/>
        </w:rPr>
        <w:t>。</w:t>
      </w:r>
    </w:p>
    <w:p w14:paraId="23262B8D">
      <w:pPr>
        <w:spacing w:line="560" w:lineRule="exact"/>
        <w:ind w:firstLine="630"/>
        <w:rPr>
          <w:rFonts w:hint="eastAsia"/>
          <w:color w:val="auto"/>
          <w:kern w:val="0"/>
          <w:szCs w:val="32"/>
        </w:rPr>
      </w:pPr>
      <w:r>
        <w:rPr>
          <w:rFonts w:hint="eastAsia"/>
          <w:color w:val="auto"/>
          <w:kern w:val="0"/>
          <w:szCs w:val="32"/>
        </w:rPr>
        <w:t>年产15000吨负极材料前驱体生产项目已完成规划、设计、图审；已完成立项申请、招标、开标；厂房和办公楼主体框架搭建已基本完成。</w:t>
      </w:r>
    </w:p>
    <w:p w14:paraId="6F8FB84A">
      <w:pPr>
        <w:spacing w:line="560" w:lineRule="exact"/>
        <w:ind w:firstLine="630"/>
        <w:rPr>
          <w:rFonts w:hint="eastAsia"/>
          <w:color w:val="auto"/>
          <w:kern w:val="0"/>
          <w:szCs w:val="32"/>
        </w:rPr>
      </w:pPr>
      <w:r>
        <w:rPr>
          <w:rFonts w:hint="eastAsia"/>
          <w:color w:val="auto"/>
          <w:kern w:val="0"/>
          <w:szCs w:val="32"/>
        </w:rPr>
        <w:t>湖南紫荆新材料科技有限公司年产10万吨高端装备铸造关键零部件智能制造项目已完成。</w:t>
      </w:r>
    </w:p>
    <w:p w14:paraId="57628B45">
      <w:pPr>
        <w:spacing w:line="560" w:lineRule="exact"/>
        <w:ind w:firstLine="630"/>
        <w:rPr>
          <w:color w:val="auto"/>
          <w:kern w:val="0"/>
          <w:szCs w:val="32"/>
        </w:rPr>
      </w:pPr>
      <w:r>
        <w:rPr>
          <w:rFonts w:hint="eastAsia"/>
          <w:color w:val="auto"/>
          <w:kern w:val="0"/>
          <w:szCs w:val="32"/>
        </w:rPr>
        <w:t>湖南省金博新材料科技有限公司5000t/a精锑深加工项目已完成设计及图审，已确定施工单位，目前正在洽谈合同细节；已完成精平；污水收集池以及产区道路正在建设中。</w:t>
      </w:r>
    </w:p>
    <w:p w14:paraId="10A2F2CF">
      <w:pPr>
        <w:widowControl/>
        <w:spacing w:line="560" w:lineRule="exact"/>
        <w:ind w:firstLine="640" w:firstLineChars="200"/>
        <w:rPr>
          <w:kern w:val="0"/>
          <w:szCs w:val="32"/>
        </w:rPr>
      </w:pPr>
      <w:r>
        <w:rPr>
          <w:rFonts w:eastAsia="黑体"/>
          <w:bCs/>
          <w:kern w:val="0"/>
          <w:szCs w:val="32"/>
        </w:rPr>
        <w:t>二、部门整体支出管理及使用情况分析</w:t>
      </w:r>
    </w:p>
    <w:p w14:paraId="715C2D4E">
      <w:pPr>
        <w:widowControl/>
        <w:spacing w:line="560" w:lineRule="exact"/>
        <w:ind w:firstLine="640" w:firstLineChars="200"/>
        <w:rPr>
          <w:rFonts w:eastAsia="楷体_GB2312"/>
          <w:kern w:val="0"/>
          <w:szCs w:val="32"/>
        </w:rPr>
      </w:pPr>
      <w:r>
        <w:rPr>
          <w:rFonts w:eastAsia="楷体_GB2312"/>
          <w:kern w:val="0"/>
          <w:szCs w:val="32"/>
        </w:rPr>
        <w:t>（一）基本支出</w:t>
      </w:r>
    </w:p>
    <w:p w14:paraId="399A3247">
      <w:pPr>
        <w:widowControl/>
        <w:spacing w:line="560" w:lineRule="exact"/>
        <w:ind w:firstLine="640" w:firstLineChars="200"/>
        <w:rPr>
          <w:kern w:val="0"/>
          <w:szCs w:val="32"/>
        </w:rPr>
      </w:pPr>
      <w:r>
        <w:rPr>
          <w:kern w:val="0"/>
          <w:szCs w:val="32"/>
        </w:rPr>
        <w:t>基本支出</w:t>
      </w:r>
      <w:r>
        <w:rPr>
          <w:rFonts w:hint="eastAsia"/>
          <w:szCs w:val="32"/>
          <w:lang w:val="en-US" w:eastAsia="zh-CN"/>
        </w:rPr>
        <w:t>220.68</w:t>
      </w:r>
      <w:r>
        <w:rPr>
          <w:kern w:val="0"/>
          <w:szCs w:val="32"/>
        </w:rPr>
        <w:t>万元，其中工资福利支出</w:t>
      </w:r>
      <w:r>
        <w:rPr>
          <w:rFonts w:hint="eastAsia"/>
          <w:kern w:val="0"/>
          <w:szCs w:val="32"/>
          <w:lang w:val="en-US" w:eastAsia="zh-CN"/>
        </w:rPr>
        <w:t>188.23</w:t>
      </w:r>
      <w:r>
        <w:rPr>
          <w:kern w:val="0"/>
          <w:szCs w:val="32"/>
        </w:rPr>
        <w:t>万元，对个人和家庭补助支出</w:t>
      </w:r>
      <w:r>
        <w:rPr>
          <w:rFonts w:hint="eastAsia"/>
          <w:kern w:val="0"/>
          <w:szCs w:val="32"/>
          <w:lang w:val="en-US" w:eastAsia="zh-CN"/>
        </w:rPr>
        <w:t>2.73</w:t>
      </w:r>
      <w:r>
        <w:rPr>
          <w:kern w:val="0"/>
          <w:szCs w:val="32"/>
        </w:rPr>
        <w:t>万元，商品和服务支出</w:t>
      </w:r>
      <w:r>
        <w:rPr>
          <w:rFonts w:hint="eastAsia"/>
          <w:kern w:val="0"/>
          <w:szCs w:val="32"/>
          <w:lang w:val="en-US" w:eastAsia="zh-CN"/>
        </w:rPr>
        <w:t>29.72</w:t>
      </w:r>
      <w:r>
        <w:rPr>
          <w:kern w:val="0"/>
          <w:szCs w:val="32"/>
        </w:rPr>
        <w:t>万元 ，主要含办公费、水电费、差旅费、会议费、办公设备购置费等机关运行经费，是为保障单位正常运转、完成日常工作任务而发生的各项支出。</w:t>
      </w:r>
    </w:p>
    <w:p w14:paraId="7BBC287E">
      <w:pPr>
        <w:widowControl/>
        <w:spacing w:line="560" w:lineRule="exact"/>
        <w:ind w:firstLine="640" w:firstLineChars="200"/>
        <w:rPr>
          <w:kern w:val="0"/>
          <w:szCs w:val="32"/>
        </w:rPr>
      </w:pPr>
      <w:r>
        <w:rPr>
          <w:rFonts w:hint="eastAsia"/>
          <w:kern w:val="0"/>
          <w:szCs w:val="32"/>
          <w:lang w:eastAsia="zh-CN"/>
        </w:rPr>
        <w:t>2023年</w:t>
      </w:r>
      <w:r>
        <w:rPr>
          <w:kern w:val="0"/>
          <w:szCs w:val="32"/>
        </w:rPr>
        <w:t>三公经费支出为</w:t>
      </w:r>
      <w:r>
        <w:rPr>
          <w:rFonts w:hint="eastAsia"/>
          <w:kern w:val="0"/>
          <w:szCs w:val="32"/>
          <w:lang w:val="en-US" w:eastAsia="zh-CN"/>
        </w:rPr>
        <w:t>2.18</w:t>
      </w:r>
      <w:r>
        <w:rPr>
          <w:kern w:val="0"/>
          <w:szCs w:val="32"/>
        </w:rPr>
        <w:t>万元，其中：因公出国（境） 费0.00万元，公务用车购置及运行维护费0.00万元，公务接待费</w:t>
      </w:r>
      <w:r>
        <w:rPr>
          <w:rFonts w:hint="eastAsia"/>
          <w:kern w:val="0"/>
          <w:szCs w:val="32"/>
          <w:lang w:val="en-US" w:eastAsia="zh-CN"/>
        </w:rPr>
        <w:t>2.18</w:t>
      </w:r>
      <w:r>
        <w:rPr>
          <w:kern w:val="0"/>
          <w:szCs w:val="32"/>
        </w:rPr>
        <w:t>万元。</w:t>
      </w:r>
    </w:p>
    <w:p w14:paraId="43FE5763">
      <w:pPr>
        <w:widowControl/>
        <w:tabs>
          <w:tab w:val="left" w:pos="3396"/>
        </w:tabs>
        <w:spacing w:line="560"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550C45ED">
      <w:pPr>
        <w:widowControl/>
        <w:spacing w:line="560" w:lineRule="exact"/>
        <w:ind w:firstLine="640" w:firstLineChars="200"/>
        <w:rPr>
          <w:rFonts w:hint="default" w:eastAsia="仿宋_GB2312"/>
          <w:kern w:val="0"/>
          <w:szCs w:val="32"/>
          <w:lang w:val="en-US" w:eastAsia="zh-CN"/>
        </w:rPr>
      </w:pPr>
      <w:r>
        <w:rPr>
          <w:kern w:val="0"/>
          <w:szCs w:val="32"/>
        </w:rPr>
        <w:t>项目支出</w:t>
      </w:r>
      <w:r>
        <w:rPr>
          <w:rFonts w:hint="eastAsia"/>
          <w:kern w:val="0"/>
          <w:szCs w:val="32"/>
          <w:lang w:val="en-US" w:eastAsia="zh-CN"/>
        </w:rPr>
        <w:t>9</w:t>
      </w:r>
      <w:r>
        <w:rPr>
          <w:kern w:val="0"/>
          <w:szCs w:val="32"/>
        </w:rPr>
        <w:t>.66万元，是单位为完成特定行政工作任务或事业发展目标而发生的支出。其中：</w:t>
      </w:r>
      <w:r>
        <w:rPr>
          <w:rFonts w:hint="eastAsia"/>
          <w:kern w:val="0"/>
          <w:szCs w:val="32"/>
        </w:rPr>
        <w:t>实施项目“非税收入体制结算”2023年半年度非税收入体制预结算</w:t>
      </w:r>
      <w:r>
        <w:rPr>
          <w:rFonts w:hint="eastAsia"/>
          <w:kern w:val="0"/>
          <w:szCs w:val="32"/>
          <w:lang w:val="en-US" w:eastAsia="zh-CN"/>
        </w:rPr>
        <w:t>0.67万元；实施项目“重点项目前期费”2022年立项争资保障工作经费4.98万元；本级基金2023桃让挂2号安排的乡村振兴资金4.01万元。</w:t>
      </w:r>
    </w:p>
    <w:p w14:paraId="29D694F1">
      <w:pPr>
        <w:widowControl/>
        <w:spacing w:line="560" w:lineRule="exact"/>
        <w:ind w:firstLine="640" w:firstLineChars="200"/>
        <w:rPr>
          <w:kern w:val="0"/>
          <w:szCs w:val="32"/>
        </w:rPr>
      </w:pPr>
      <w:r>
        <w:rPr>
          <w:kern w:val="0"/>
          <w:szCs w:val="32"/>
        </w:rPr>
        <w:t>在资金使用管理方面我园区严格按照财政相关规定及行政单位会计制度规定和财政下达资金的使用范围管理和使用项目经费，做到专款专用，确保资金支出的真实性、安全性、合理性。</w:t>
      </w:r>
    </w:p>
    <w:p w14:paraId="2DB62100">
      <w:pPr>
        <w:widowControl/>
        <w:numPr>
          <w:ilvl w:val="0"/>
          <w:numId w:val="1"/>
        </w:numPr>
        <w:spacing w:line="560" w:lineRule="exact"/>
        <w:ind w:firstLine="640" w:firstLineChars="200"/>
        <w:rPr>
          <w:rFonts w:eastAsia="黑体"/>
          <w:bCs/>
          <w:kern w:val="0"/>
          <w:szCs w:val="32"/>
        </w:rPr>
      </w:pPr>
      <w:r>
        <w:rPr>
          <w:rFonts w:eastAsia="黑体"/>
          <w:bCs/>
          <w:kern w:val="0"/>
          <w:szCs w:val="32"/>
        </w:rPr>
        <w:t>项目组织实施情况分析</w:t>
      </w:r>
    </w:p>
    <w:p w14:paraId="7000CA11">
      <w:pPr>
        <w:widowControl/>
        <w:numPr>
          <w:ilvl w:val="0"/>
          <w:numId w:val="0"/>
        </w:numPr>
        <w:spacing w:line="560" w:lineRule="exact"/>
        <w:ind w:firstLine="640" w:firstLineChars="200"/>
        <w:jc w:val="both"/>
        <w:rPr>
          <w:rFonts w:hint="eastAsia"/>
          <w:kern w:val="0"/>
          <w:szCs w:val="32"/>
          <w:lang w:val="en-US" w:eastAsia="zh-CN"/>
        </w:rPr>
      </w:pPr>
      <w:r>
        <w:rPr>
          <w:rFonts w:hint="eastAsia"/>
          <w:kern w:val="0"/>
          <w:szCs w:val="32"/>
        </w:rPr>
        <w:t>预字〔2023〕0401号实施项目：“非税收入体制结算”2023年半年度非税收入体制预结算</w:t>
      </w:r>
      <w:r>
        <w:rPr>
          <w:rFonts w:hint="eastAsia"/>
          <w:kern w:val="0"/>
          <w:szCs w:val="32"/>
          <w:lang w:val="en-US" w:eastAsia="zh-CN"/>
        </w:rPr>
        <w:t>0.67万元，</w:t>
      </w:r>
      <w:r>
        <w:rPr>
          <w:kern w:val="0"/>
          <w:szCs w:val="32"/>
        </w:rPr>
        <w:t>已用于商品和服务支出。</w:t>
      </w:r>
    </w:p>
    <w:p w14:paraId="0CD23A78">
      <w:pPr>
        <w:widowControl/>
        <w:numPr>
          <w:ilvl w:val="0"/>
          <w:numId w:val="0"/>
        </w:numPr>
        <w:spacing w:line="560" w:lineRule="exact"/>
        <w:ind w:firstLine="640" w:firstLineChars="200"/>
        <w:jc w:val="both"/>
        <w:rPr>
          <w:kern w:val="0"/>
          <w:szCs w:val="32"/>
        </w:rPr>
      </w:pPr>
      <w:r>
        <w:rPr>
          <w:rFonts w:hint="eastAsia"/>
          <w:kern w:val="0"/>
          <w:szCs w:val="32"/>
          <w:lang w:val="en-US" w:eastAsia="zh-CN"/>
        </w:rPr>
        <w:t>预字〔2023〕0105号实施项目：“重点项目前期费”2022年立项争资保障工作经费4.98万元，</w:t>
      </w:r>
      <w:r>
        <w:rPr>
          <w:kern w:val="0"/>
          <w:szCs w:val="32"/>
        </w:rPr>
        <w:t>已用于商品和服务支出。</w:t>
      </w:r>
    </w:p>
    <w:p w14:paraId="5F74ABE6">
      <w:pPr>
        <w:widowControl/>
        <w:numPr>
          <w:ilvl w:val="0"/>
          <w:numId w:val="0"/>
        </w:numPr>
        <w:spacing w:line="560" w:lineRule="exact"/>
        <w:ind w:firstLine="640" w:firstLineChars="200"/>
        <w:jc w:val="both"/>
        <w:rPr>
          <w:rFonts w:hint="eastAsia"/>
          <w:kern w:val="0"/>
          <w:szCs w:val="32"/>
          <w:lang w:val="en-US" w:eastAsia="zh-CN"/>
        </w:rPr>
      </w:pPr>
      <w:r>
        <w:rPr>
          <w:rFonts w:hint="eastAsia"/>
          <w:kern w:val="0"/>
          <w:szCs w:val="32"/>
          <w:lang w:val="en-US" w:eastAsia="zh-CN"/>
        </w:rPr>
        <w:t>预字〔2023〕0457号本级基金：2023桃让挂2号安排的乡村振兴资金4.01万元</w:t>
      </w:r>
      <w:r>
        <w:rPr>
          <w:kern w:val="0"/>
          <w:szCs w:val="32"/>
        </w:rPr>
        <w:t>，</w:t>
      </w:r>
      <w:r>
        <w:rPr>
          <w:rFonts w:hint="eastAsia"/>
          <w:kern w:val="0"/>
          <w:szCs w:val="32"/>
        </w:rPr>
        <w:t>已用于园区基础建设，然后与奔腾公司进行往来账务核销。</w:t>
      </w:r>
    </w:p>
    <w:p w14:paraId="35699043">
      <w:pPr>
        <w:widowControl/>
        <w:spacing w:line="560" w:lineRule="exact"/>
        <w:ind w:firstLine="640" w:firstLineChars="200"/>
        <w:rPr>
          <w:rFonts w:eastAsia="黑体"/>
          <w:bCs/>
          <w:kern w:val="0"/>
          <w:szCs w:val="32"/>
        </w:rPr>
      </w:pPr>
      <w:r>
        <w:rPr>
          <w:rFonts w:eastAsia="黑体"/>
          <w:bCs/>
          <w:kern w:val="0"/>
          <w:szCs w:val="32"/>
        </w:rPr>
        <w:t>四、部门整体支出绩效情况分析</w:t>
      </w:r>
    </w:p>
    <w:p w14:paraId="55E65BB7">
      <w:pPr>
        <w:widowControl/>
        <w:spacing w:line="560" w:lineRule="exact"/>
        <w:ind w:firstLine="640" w:firstLineChars="200"/>
        <w:rPr>
          <w:kern w:val="0"/>
          <w:szCs w:val="32"/>
        </w:rPr>
      </w:pPr>
      <w:r>
        <w:rPr>
          <w:rFonts w:hint="eastAsia"/>
          <w:kern w:val="0"/>
          <w:szCs w:val="32"/>
          <w:lang w:eastAsia="zh-CN"/>
        </w:rPr>
        <w:t>2023年</w:t>
      </w:r>
      <w:r>
        <w:rPr>
          <w:kern w:val="0"/>
          <w:szCs w:val="32"/>
        </w:rPr>
        <w:t>，我单位根据年初工作规划及财政预算计划，积极履职、强化管理，较好的完成了年度工作目标。通过加强预算收支管理、不断建立健全内部管理制度、梳理内部管理流程，部门整体支出管理情况得到提升。我单位</w:t>
      </w:r>
      <w:r>
        <w:rPr>
          <w:rFonts w:hint="eastAsia"/>
          <w:kern w:val="0"/>
          <w:szCs w:val="32"/>
          <w:lang w:eastAsia="zh-CN"/>
        </w:rPr>
        <w:t>2023年</w:t>
      </w:r>
      <w:r>
        <w:rPr>
          <w:kern w:val="0"/>
          <w:szCs w:val="32"/>
        </w:rPr>
        <w:t>度部门整体支出绩效评价自评得分为99分。</w:t>
      </w:r>
    </w:p>
    <w:p w14:paraId="6D4437E7">
      <w:pPr>
        <w:widowControl/>
        <w:spacing w:line="560" w:lineRule="exact"/>
        <w:ind w:firstLine="640" w:firstLineChars="200"/>
        <w:rPr>
          <w:kern w:val="0"/>
          <w:szCs w:val="32"/>
        </w:rPr>
      </w:pPr>
      <w:r>
        <w:rPr>
          <w:kern w:val="0"/>
          <w:szCs w:val="32"/>
        </w:rPr>
        <w:t>（一）经济效益评价</w:t>
      </w:r>
    </w:p>
    <w:p w14:paraId="314357DF">
      <w:pPr>
        <w:widowControl/>
        <w:spacing w:line="560" w:lineRule="exact"/>
        <w:ind w:firstLine="640" w:firstLineChars="200"/>
        <w:rPr>
          <w:kern w:val="0"/>
          <w:szCs w:val="32"/>
        </w:rPr>
      </w:pPr>
      <w:r>
        <w:rPr>
          <w:kern w:val="0"/>
          <w:szCs w:val="32"/>
        </w:rPr>
        <w:t>1</w:t>
      </w:r>
      <w:r>
        <w:rPr>
          <w:rFonts w:hint="eastAsia"/>
          <w:kern w:val="0"/>
          <w:szCs w:val="32"/>
          <w:lang w:val="en-US" w:eastAsia="zh-CN"/>
        </w:rPr>
        <w:t>.</w:t>
      </w:r>
      <w:r>
        <w:rPr>
          <w:kern w:val="0"/>
          <w:szCs w:val="32"/>
        </w:rPr>
        <w:t>支出总额控制在预算总额以内，其中“三公”经费总体控制较好，支出与去年持平，未出现增长。</w:t>
      </w:r>
    </w:p>
    <w:p w14:paraId="795D9F84">
      <w:pPr>
        <w:widowControl/>
        <w:spacing w:line="560" w:lineRule="exact"/>
        <w:ind w:firstLine="640" w:firstLineChars="200"/>
        <w:rPr>
          <w:kern w:val="0"/>
          <w:szCs w:val="32"/>
        </w:rPr>
      </w:pPr>
      <w:r>
        <w:rPr>
          <w:kern w:val="0"/>
          <w:szCs w:val="32"/>
        </w:rPr>
        <w:t>2</w:t>
      </w:r>
      <w:r>
        <w:rPr>
          <w:rFonts w:hint="eastAsia"/>
          <w:kern w:val="0"/>
          <w:szCs w:val="32"/>
          <w:lang w:val="en-US" w:eastAsia="zh-CN"/>
        </w:rPr>
        <w:t>.</w:t>
      </w:r>
      <w:r>
        <w:rPr>
          <w:kern w:val="0"/>
          <w:szCs w:val="32"/>
        </w:rPr>
        <w:t>预算管理方面，编制内在职人员控制率小于100%，预算管理较为理想，制度执行总体较为有效，但仍需进一步强化，资金使用管理需进一步加强。</w:t>
      </w:r>
    </w:p>
    <w:p w14:paraId="4E3F44D9">
      <w:pPr>
        <w:widowControl/>
        <w:spacing w:line="560" w:lineRule="exact"/>
        <w:ind w:firstLine="640" w:firstLineChars="200"/>
        <w:rPr>
          <w:kern w:val="0"/>
          <w:szCs w:val="32"/>
        </w:rPr>
      </w:pPr>
      <w:r>
        <w:rPr>
          <w:kern w:val="0"/>
          <w:szCs w:val="32"/>
        </w:rPr>
        <w:t>（二）有效性评价和效率性评价</w:t>
      </w:r>
    </w:p>
    <w:p w14:paraId="7064143E">
      <w:pPr>
        <w:widowControl/>
        <w:spacing w:line="560" w:lineRule="exact"/>
        <w:ind w:firstLine="640" w:firstLineChars="200"/>
        <w:rPr>
          <w:kern w:val="0"/>
          <w:szCs w:val="32"/>
        </w:rPr>
      </w:pPr>
      <w:r>
        <w:rPr>
          <w:kern w:val="0"/>
          <w:szCs w:val="32"/>
        </w:rPr>
        <w:t>建立了资产管理制度，固定资产利用率高于9</w:t>
      </w:r>
      <w:r>
        <w:rPr>
          <w:rFonts w:hint="eastAsia"/>
          <w:kern w:val="0"/>
          <w:szCs w:val="32"/>
          <w:lang w:val="en-US" w:eastAsia="zh-CN"/>
        </w:rPr>
        <w:t>0</w:t>
      </w:r>
      <w:r>
        <w:rPr>
          <w:kern w:val="0"/>
          <w:szCs w:val="32"/>
        </w:rPr>
        <w:t>%，定期进行了资产盘点和资产清理，总体执行情况良好。</w:t>
      </w:r>
    </w:p>
    <w:p w14:paraId="1C0C48F9">
      <w:pPr>
        <w:widowControl/>
        <w:spacing w:line="560" w:lineRule="exact"/>
        <w:ind w:firstLine="640" w:firstLineChars="200"/>
        <w:rPr>
          <w:kern w:val="0"/>
          <w:szCs w:val="32"/>
        </w:rPr>
      </w:pPr>
      <w:r>
        <w:rPr>
          <w:rFonts w:eastAsia="黑体"/>
          <w:bCs/>
          <w:kern w:val="0"/>
          <w:szCs w:val="32"/>
        </w:rPr>
        <w:t>五、绩效评价工作开展情况</w:t>
      </w:r>
    </w:p>
    <w:p w14:paraId="6F387080">
      <w:pPr>
        <w:widowControl/>
        <w:spacing w:line="560" w:lineRule="exact"/>
        <w:ind w:firstLine="640" w:firstLineChars="200"/>
        <w:rPr>
          <w:kern w:val="0"/>
          <w:szCs w:val="32"/>
        </w:rPr>
      </w:pPr>
      <w:r>
        <w:rPr>
          <w:kern w:val="0"/>
          <w:szCs w:val="32"/>
        </w:rPr>
        <w:t>（一）绩效评价目的</w:t>
      </w:r>
    </w:p>
    <w:p w14:paraId="5D5BD191">
      <w:pPr>
        <w:widowControl/>
        <w:spacing w:line="560" w:lineRule="exact"/>
        <w:ind w:firstLine="640" w:firstLineChars="200"/>
        <w:rPr>
          <w:kern w:val="0"/>
          <w:szCs w:val="32"/>
        </w:rPr>
      </w:pPr>
      <w:r>
        <w:rPr>
          <w:kern w:val="0"/>
          <w:szCs w:val="32"/>
        </w:rPr>
        <w:t>本次自评的目的是通过评价本单位</w:t>
      </w:r>
      <w:r>
        <w:rPr>
          <w:rFonts w:hint="eastAsia"/>
          <w:kern w:val="0"/>
          <w:szCs w:val="32"/>
          <w:lang w:eastAsia="zh-CN"/>
        </w:rPr>
        <w:t>2023年</w:t>
      </w:r>
      <w:r>
        <w:rPr>
          <w:kern w:val="0"/>
          <w:szCs w:val="32"/>
        </w:rPr>
        <w:t>度财政资金支出的绩效状况，为今后预算安排提供决策支持。进一步增强本单位支出管理的责任，加强财政资金的管理，合理、规范、有效地使用财政资金，以达到改进预算管理、优化资源配置、控制节约成本、提高财政资金使用效益、更好地发挥本单位的工作职能。</w:t>
      </w:r>
    </w:p>
    <w:p w14:paraId="721B6AA5">
      <w:pPr>
        <w:widowControl/>
        <w:spacing w:line="560" w:lineRule="exact"/>
        <w:ind w:firstLine="640" w:firstLineChars="200"/>
        <w:rPr>
          <w:kern w:val="0"/>
          <w:szCs w:val="32"/>
        </w:rPr>
      </w:pPr>
      <w:r>
        <w:rPr>
          <w:kern w:val="0"/>
          <w:szCs w:val="32"/>
        </w:rPr>
        <w:t>（二）绩效评价工作过程</w:t>
      </w:r>
    </w:p>
    <w:p w14:paraId="18389C50">
      <w:pPr>
        <w:widowControl/>
        <w:spacing w:line="560" w:lineRule="exact"/>
        <w:ind w:firstLine="640" w:firstLineChars="200"/>
        <w:rPr>
          <w:color w:val="auto"/>
          <w:kern w:val="0"/>
          <w:szCs w:val="32"/>
        </w:rPr>
      </w:pPr>
      <w:r>
        <w:rPr>
          <w:kern w:val="0"/>
          <w:szCs w:val="32"/>
        </w:rPr>
        <w:t>根据《桃江县财政局关于开展202</w:t>
      </w:r>
      <w:r>
        <w:rPr>
          <w:rFonts w:hint="eastAsia"/>
          <w:kern w:val="0"/>
          <w:szCs w:val="32"/>
          <w:lang w:val="en-US" w:eastAsia="zh-CN"/>
        </w:rPr>
        <w:t>3</w:t>
      </w:r>
      <w:r>
        <w:rPr>
          <w:kern w:val="0"/>
          <w:szCs w:val="32"/>
        </w:rPr>
        <w:t>年度财政资金绩效自评工作的通知》（桃财监〔202</w:t>
      </w:r>
      <w:r>
        <w:rPr>
          <w:rFonts w:hint="eastAsia"/>
          <w:kern w:val="0"/>
          <w:szCs w:val="32"/>
          <w:lang w:val="en-US" w:eastAsia="zh-CN"/>
        </w:rPr>
        <w:t>4</w:t>
      </w:r>
      <w:r>
        <w:rPr>
          <w:kern w:val="0"/>
          <w:szCs w:val="32"/>
        </w:rPr>
        <w:t>〕</w:t>
      </w:r>
      <w:r>
        <w:rPr>
          <w:rFonts w:hint="eastAsia"/>
          <w:kern w:val="0"/>
          <w:szCs w:val="32"/>
          <w:lang w:val="en-US" w:eastAsia="zh-CN"/>
        </w:rPr>
        <w:t>51</w:t>
      </w:r>
      <w:r>
        <w:rPr>
          <w:kern w:val="0"/>
          <w:szCs w:val="32"/>
        </w:rPr>
        <w:t>号），我单位成立了绩效评价工作领导小组，负责绩效评价工作的组织领导和具体实施。评价小组采取座谈等方式听取情况，检查基本支出、项目支出有关账目，收集整理支出相关资料，形成绩效评价报告，根据评价指标体系测算，</w:t>
      </w:r>
      <w:r>
        <w:rPr>
          <w:color w:val="auto"/>
          <w:kern w:val="0"/>
          <w:szCs w:val="32"/>
        </w:rPr>
        <w:t>本单位部门整体支出绩效评价得分是：</w:t>
      </w:r>
      <w:r>
        <w:rPr>
          <w:rFonts w:hint="eastAsia"/>
          <w:color w:val="auto"/>
          <w:kern w:val="0"/>
          <w:szCs w:val="32"/>
          <w:lang w:eastAsia="zh-CN"/>
        </w:rPr>
        <w:t>产出指标</w:t>
      </w:r>
      <w:r>
        <w:rPr>
          <w:color w:val="auto"/>
          <w:kern w:val="0"/>
          <w:szCs w:val="32"/>
        </w:rPr>
        <w:t>为</w:t>
      </w:r>
      <w:r>
        <w:rPr>
          <w:rFonts w:hint="eastAsia"/>
          <w:color w:val="auto"/>
          <w:kern w:val="0"/>
          <w:szCs w:val="32"/>
          <w:lang w:val="en-US" w:eastAsia="zh-CN"/>
        </w:rPr>
        <w:t>49</w:t>
      </w:r>
      <w:r>
        <w:rPr>
          <w:color w:val="auto"/>
          <w:kern w:val="0"/>
          <w:szCs w:val="32"/>
        </w:rPr>
        <w:t>分，</w:t>
      </w:r>
      <w:r>
        <w:rPr>
          <w:rFonts w:hint="eastAsia"/>
          <w:color w:val="auto"/>
          <w:kern w:val="0"/>
          <w:szCs w:val="32"/>
          <w:lang w:eastAsia="zh-CN"/>
        </w:rPr>
        <w:t>效益指标</w:t>
      </w:r>
      <w:r>
        <w:rPr>
          <w:color w:val="auto"/>
          <w:kern w:val="0"/>
          <w:szCs w:val="32"/>
        </w:rPr>
        <w:t>为</w:t>
      </w:r>
      <w:r>
        <w:rPr>
          <w:rFonts w:hint="eastAsia"/>
          <w:color w:val="auto"/>
          <w:kern w:val="0"/>
          <w:szCs w:val="32"/>
          <w:lang w:val="en-US" w:eastAsia="zh-CN"/>
        </w:rPr>
        <w:t>40</w:t>
      </w:r>
      <w:r>
        <w:rPr>
          <w:color w:val="auto"/>
          <w:kern w:val="0"/>
          <w:szCs w:val="32"/>
        </w:rPr>
        <w:t>分，</w:t>
      </w:r>
      <w:r>
        <w:rPr>
          <w:rFonts w:hint="eastAsia"/>
          <w:color w:val="auto"/>
          <w:kern w:val="0"/>
          <w:szCs w:val="32"/>
          <w:lang w:eastAsia="zh-CN"/>
        </w:rPr>
        <w:t>满意度指标</w:t>
      </w:r>
      <w:r>
        <w:rPr>
          <w:color w:val="auto"/>
          <w:kern w:val="0"/>
          <w:szCs w:val="32"/>
        </w:rPr>
        <w:t>为</w:t>
      </w:r>
      <w:r>
        <w:rPr>
          <w:rFonts w:hint="eastAsia"/>
          <w:color w:val="auto"/>
          <w:kern w:val="0"/>
          <w:szCs w:val="32"/>
          <w:lang w:val="en-US" w:eastAsia="zh-CN"/>
        </w:rPr>
        <w:t>10</w:t>
      </w:r>
      <w:r>
        <w:rPr>
          <w:color w:val="auto"/>
          <w:kern w:val="0"/>
          <w:szCs w:val="32"/>
        </w:rPr>
        <w:t>分，总绩效为99分。评价结果等次为“优”。</w:t>
      </w:r>
    </w:p>
    <w:p w14:paraId="7DF6F92E">
      <w:pPr>
        <w:widowControl/>
        <w:spacing w:line="560" w:lineRule="exact"/>
        <w:ind w:firstLine="640" w:firstLineChars="200"/>
        <w:rPr>
          <w:rFonts w:eastAsia="黑体"/>
          <w:bCs/>
          <w:kern w:val="0"/>
          <w:szCs w:val="32"/>
        </w:rPr>
      </w:pPr>
      <w:r>
        <w:rPr>
          <w:rFonts w:eastAsia="黑体"/>
          <w:bCs/>
          <w:kern w:val="0"/>
          <w:szCs w:val="32"/>
        </w:rPr>
        <w:t>六、存在的主要问题</w:t>
      </w:r>
    </w:p>
    <w:p w14:paraId="7C5390C8">
      <w:pPr>
        <w:widowControl/>
        <w:spacing w:line="560" w:lineRule="exact"/>
        <w:ind w:firstLine="640" w:firstLineChars="200"/>
        <w:rPr>
          <w:kern w:val="0"/>
          <w:szCs w:val="32"/>
        </w:rPr>
      </w:pPr>
      <w:r>
        <w:rPr>
          <w:kern w:val="0"/>
          <w:szCs w:val="32"/>
        </w:rPr>
        <w:t>（一）我单位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14:paraId="4B832F62">
      <w:pPr>
        <w:widowControl/>
        <w:spacing w:line="560" w:lineRule="exact"/>
        <w:ind w:firstLine="640" w:firstLineChars="200"/>
        <w:rPr>
          <w:kern w:val="0"/>
          <w:szCs w:val="32"/>
        </w:rPr>
      </w:pPr>
      <w:r>
        <w:rPr>
          <w:kern w:val="0"/>
          <w:szCs w:val="32"/>
        </w:rPr>
        <w:t>（</w:t>
      </w:r>
      <w:r>
        <w:rPr>
          <w:rFonts w:hint="eastAsia"/>
          <w:kern w:val="0"/>
          <w:szCs w:val="32"/>
          <w:lang w:eastAsia="zh-CN"/>
        </w:rPr>
        <w:t>二</w:t>
      </w:r>
      <w:r>
        <w:rPr>
          <w:kern w:val="0"/>
          <w:szCs w:val="32"/>
        </w:rPr>
        <w:t>）制度执行总体较为有效，但仍需进一步强化，资金使用管理需进一步加强。</w:t>
      </w:r>
    </w:p>
    <w:p w14:paraId="4670BCEE">
      <w:pPr>
        <w:widowControl/>
        <w:spacing w:line="560" w:lineRule="exact"/>
        <w:ind w:firstLine="640" w:firstLineChars="200"/>
        <w:rPr>
          <w:rFonts w:eastAsia="黑体"/>
          <w:bCs/>
          <w:kern w:val="0"/>
          <w:szCs w:val="32"/>
        </w:rPr>
      </w:pPr>
      <w:r>
        <w:rPr>
          <w:rFonts w:eastAsia="黑体"/>
          <w:bCs/>
          <w:kern w:val="0"/>
          <w:szCs w:val="32"/>
        </w:rPr>
        <w:t>七、改进措施和有关建议</w:t>
      </w:r>
    </w:p>
    <w:p w14:paraId="15CDC2B9">
      <w:pPr>
        <w:widowControl/>
        <w:spacing w:line="560" w:lineRule="exact"/>
        <w:ind w:firstLine="640" w:firstLineChars="200"/>
        <w:rPr>
          <w:kern w:val="0"/>
          <w:szCs w:val="32"/>
        </w:rPr>
      </w:pPr>
      <w:r>
        <w:rPr>
          <w:kern w:val="0"/>
          <w:szCs w:val="32"/>
        </w:rPr>
        <w:t>（一）细化预算编制工作，严格按照预算编制的相关制度和要求做好预算的编制，进一步加强各部室的预算管理意识；全面编制预算项目，优先保障固定的、相对刚性的费用支出项目，尽量压缩变动的、有控制空间的费用项目，进一步提高预算编制的科学性、严谨性和可控性。</w:t>
      </w:r>
    </w:p>
    <w:p w14:paraId="553D8CDA">
      <w:pPr>
        <w:widowControl/>
        <w:spacing w:line="560" w:lineRule="exact"/>
        <w:ind w:firstLine="640" w:firstLineChars="200"/>
        <w:rPr>
          <w:kern w:val="0"/>
          <w:szCs w:val="32"/>
        </w:rPr>
      </w:pPr>
      <w:r>
        <w:rPr>
          <w:kern w:val="0"/>
          <w:szCs w:val="32"/>
        </w:rPr>
        <w:t>（</w:t>
      </w:r>
      <w:r>
        <w:rPr>
          <w:rFonts w:hint="eastAsia"/>
          <w:kern w:val="0"/>
          <w:szCs w:val="32"/>
          <w:lang w:eastAsia="zh-CN"/>
        </w:rPr>
        <w:t>二</w:t>
      </w:r>
      <w:r>
        <w:rPr>
          <w:kern w:val="0"/>
          <w:szCs w:val="32"/>
        </w:rPr>
        <w:t>）认真学习采购相关文件，增强依法采购意识，提高依法采购水平，同时加强政府采购预算、计划编制，采购实施按规定、按计划执行。</w:t>
      </w:r>
    </w:p>
    <w:p w14:paraId="5ACEEECD">
      <w:pPr>
        <w:widowControl/>
        <w:spacing w:line="560" w:lineRule="exact"/>
        <w:ind w:firstLine="640" w:firstLineChars="200"/>
        <w:rPr>
          <w:kern w:val="0"/>
          <w:szCs w:val="32"/>
        </w:rPr>
      </w:pPr>
      <w:r>
        <w:rPr>
          <w:kern w:val="0"/>
          <w:szCs w:val="32"/>
        </w:rPr>
        <w:t>（</w:t>
      </w:r>
      <w:r>
        <w:rPr>
          <w:rFonts w:hint="eastAsia"/>
          <w:kern w:val="0"/>
          <w:szCs w:val="32"/>
          <w:lang w:eastAsia="zh-CN"/>
        </w:rPr>
        <w:t>三</w:t>
      </w:r>
      <w:r>
        <w:rPr>
          <w:kern w:val="0"/>
          <w:szCs w:val="32"/>
        </w:rPr>
        <w:t>）加大财政预算投入的力度，实现政府投资资金的规范、 高效、安全和廉洁使用。</w:t>
      </w:r>
    </w:p>
    <w:p w14:paraId="3579B682">
      <w:pPr>
        <w:widowControl/>
        <w:spacing w:line="560" w:lineRule="exact"/>
        <w:ind w:firstLine="640" w:firstLineChars="200"/>
        <w:rPr>
          <w:kern w:val="0"/>
          <w:szCs w:val="32"/>
        </w:rPr>
      </w:pPr>
      <w:r>
        <w:rPr>
          <w:kern w:val="0"/>
          <w:szCs w:val="32"/>
        </w:rPr>
        <w:t>（</w:t>
      </w:r>
      <w:r>
        <w:rPr>
          <w:rFonts w:hint="eastAsia"/>
          <w:kern w:val="0"/>
          <w:szCs w:val="32"/>
          <w:lang w:eastAsia="zh-CN"/>
        </w:rPr>
        <w:t>四</w:t>
      </w:r>
      <w:r>
        <w:rPr>
          <w:kern w:val="0"/>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489057D7">
      <w:pPr>
        <w:widowControl/>
        <w:spacing w:line="560" w:lineRule="exact"/>
        <w:ind w:firstLine="640" w:firstLineChars="200"/>
        <w:rPr>
          <w:kern w:val="0"/>
          <w:szCs w:val="32"/>
        </w:rPr>
      </w:pPr>
      <w:r>
        <w:rPr>
          <w:kern w:val="0"/>
          <w:szCs w:val="32"/>
        </w:rPr>
        <w:t>（</w:t>
      </w:r>
      <w:r>
        <w:rPr>
          <w:rFonts w:hint="eastAsia"/>
          <w:kern w:val="0"/>
          <w:szCs w:val="32"/>
          <w:lang w:eastAsia="zh-CN"/>
        </w:rPr>
        <w:t>五</w:t>
      </w:r>
      <w:r>
        <w:rPr>
          <w:kern w:val="0"/>
          <w:szCs w:val="32"/>
        </w:rPr>
        <w:t>）按照财政支出绩效管理的要求，建立科学的财政资金效 益考评体系，牢固树立行政成本意识，不断提高财政资金使用管理的水平和效率。</w:t>
      </w:r>
    </w:p>
    <w:p w14:paraId="4435F6DB">
      <w:pPr>
        <w:widowControl/>
        <w:spacing w:line="560" w:lineRule="exact"/>
        <w:ind w:firstLine="640" w:firstLineChars="200"/>
        <w:rPr>
          <w:kern w:val="0"/>
          <w:szCs w:val="32"/>
        </w:rPr>
      </w:pPr>
    </w:p>
    <w:p w14:paraId="49DC9F1E">
      <w:pPr>
        <w:widowControl/>
        <w:spacing w:line="560" w:lineRule="exact"/>
        <w:ind w:firstLine="640" w:firstLineChars="200"/>
        <w:rPr>
          <w:kern w:val="0"/>
          <w:szCs w:val="32"/>
        </w:rPr>
      </w:pPr>
    </w:p>
    <w:p w14:paraId="3B185325">
      <w:pPr>
        <w:widowControl/>
        <w:spacing w:line="560" w:lineRule="exact"/>
        <w:ind w:firstLine="4480" w:firstLineChars="1400"/>
        <w:rPr>
          <w:kern w:val="0"/>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03F8">
    <w:pPr>
      <w:spacing w:line="183" w:lineRule="auto"/>
      <w:ind w:left="7589"/>
      <w:rPr>
        <w:rFonts w:ascii="宋体" w:hAnsi="宋体" w:eastAsia="宋体" w:cs="宋体"/>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DAC1">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DCFDAC1">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1CB6E"/>
    <w:multiLevelType w:val="singleLevel"/>
    <w:tmpl w:val="A1E1CB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2E3YzU0NzZjNWQ0MTE0MTFhYWY2NjUxNTRiZmUifQ=="/>
  </w:docVars>
  <w:rsids>
    <w:rsidRoot w:val="0017689E"/>
    <w:rsid w:val="00071ECE"/>
    <w:rsid w:val="00097875"/>
    <w:rsid w:val="00162C5B"/>
    <w:rsid w:val="0017689E"/>
    <w:rsid w:val="001D49EE"/>
    <w:rsid w:val="004711A7"/>
    <w:rsid w:val="005037C1"/>
    <w:rsid w:val="00563D2E"/>
    <w:rsid w:val="006F37F4"/>
    <w:rsid w:val="00726A01"/>
    <w:rsid w:val="00AB27C0"/>
    <w:rsid w:val="00B15F86"/>
    <w:rsid w:val="00B473CA"/>
    <w:rsid w:val="00C921FA"/>
    <w:rsid w:val="00D12E04"/>
    <w:rsid w:val="00DF71C4"/>
    <w:rsid w:val="00F46958"/>
    <w:rsid w:val="00F91529"/>
    <w:rsid w:val="01D722C7"/>
    <w:rsid w:val="0494271E"/>
    <w:rsid w:val="04EB0EE8"/>
    <w:rsid w:val="05285672"/>
    <w:rsid w:val="072A1F1B"/>
    <w:rsid w:val="075574F0"/>
    <w:rsid w:val="09300B06"/>
    <w:rsid w:val="096B185B"/>
    <w:rsid w:val="0BDC1A83"/>
    <w:rsid w:val="0CA45BA7"/>
    <w:rsid w:val="0DC22E83"/>
    <w:rsid w:val="0E770099"/>
    <w:rsid w:val="0F233E94"/>
    <w:rsid w:val="0F251391"/>
    <w:rsid w:val="107473C8"/>
    <w:rsid w:val="10B160D5"/>
    <w:rsid w:val="112E5DFA"/>
    <w:rsid w:val="113E37A2"/>
    <w:rsid w:val="13E14C7A"/>
    <w:rsid w:val="14F67A1E"/>
    <w:rsid w:val="15801699"/>
    <w:rsid w:val="15DE2449"/>
    <w:rsid w:val="15E51663"/>
    <w:rsid w:val="16954C41"/>
    <w:rsid w:val="19D32F7C"/>
    <w:rsid w:val="19FE0E86"/>
    <w:rsid w:val="1A472261"/>
    <w:rsid w:val="1BA04740"/>
    <w:rsid w:val="1BB36666"/>
    <w:rsid w:val="1BEE40A3"/>
    <w:rsid w:val="1C423E38"/>
    <w:rsid w:val="1CDF4CA1"/>
    <w:rsid w:val="202242D0"/>
    <w:rsid w:val="207565DE"/>
    <w:rsid w:val="21091382"/>
    <w:rsid w:val="21BD73A6"/>
    <w:rsid w:val="21DB27FA"/>
    <w:rsid w:val="245F74F5"/>
    <w:rsid w:val="24A738BE"/>
    <w:rsid w:val="26AA254A"/>
    <w:rsid w:val="276232E8"/>
    <w:rsid w:val="28C3544D"/>
    <w:rsid w:val="28E10B6F"/>
    <w:rsid w:val="29BD2CE7"/>
    <w:rsid w:val="2B5D6C43"/>
    <w:rsid w:val="2D2D51D9"/>
    <w:rsid w:val="2D567B6F"/>
    <w:rsid w:val="2E0D2CA8"/>
    <w:rsid w:val="2EDB37BF"/>
    <w:rsid w:val="2F546F7F"/>
    <w:rsid w:val="30653919"/>
    <w:rsid w:val="31EA0402"/>
    <w:rsid w:val="320C49FE"/>
    <w:rsid w:val="33382968"/>
    <w:rsid w:val="33571971"/>
    <w:rsid w:val="33865643"/>
    <w:rsid w:val="340051FB"/>
    <w:rsid w:val="347543D2"/>
    <w:rsid w:val="35281A16"/>
    <w:rsid w:val="36C90A28"/>
    <w:rsid w:val="3754337B"/>
    <w:rsid w:val="37A421C5"/>
    <w:rsid w:val="3B6021FD"/>
    <w:rsid w:val="3CD06FB2"/>
    <w:rsid w:val="3FEC1970"/>
    <w:rsid w:val="3FEE5EEF"/>
    <w:rsid w:val="40131C1E"/>
    <w:rsid w:val="40CB41A0"/>
    <w:rsid w:val="4136750F"/>
    <w:rsid w:val="41674954"/>
    <w:rsid w:val="426A144F"/>
    <w:rsid w:val="42D448D2"/>
    <w:rsid w:val="44622677"/>
    <w:rsid w:val="44DC6B09"/>
    <w:rsid w:val="45C338EC"/>
    <w:rsid w:val="468601EC"/>
    <w:rsid w:val="491E07E9"/>
    <w:rsid w:val="4AA8154D"/>
    <w:rsid w:val="4CA806BF"/>
    <w:rsid w:val="4DED28AC"/>
    <w:rsid w:val="4DED625E"/>
    <w:rsid w:val="4FBD0FBD"/>
    <w:rsid w:val="50100513"/>
    <w:rsid w:val="50BB47F1"/>
    <w:rsid w:val="50DD6710"/>
    <w:rsid w:val="51863833"/>
    <w:rsid w:val="52D408F0"/>
    <w:rsid w:val="54A55034"/>
    <w:rsid w:val="54B003A9"/>
    <w:rsid w:val="553C57D6"/>
    <w:rsid w:val="556A0D8B"/>
    <w:rsid w:val="55F743B9"/>
    <w:rsid w:val="56C072C3"/>
    <w:rsid w:val="581F2825"/>
    <w:rsid w:val="593904CD"/>
    <w:rsid w:val="596F37A7"/>
    <w:rsid w:val="5D90733E"/>
    <w:rsid w:val="60794718"/>
    <w:rsid w:val="611C2FBF"/>
    <w:rsid w:val="619478C7"/>
    <w:rsid w:val="62892F14"/>
    <w:rsid w:val="638B23DF"/>
    <w:rsid w:val="639067F1"/>
    <w:rsid w:val="64451B85"/>
    <w:rsid w:val="647E11BA"/>
    <w:rsid w:val="653B759B"/>
    <w:rsid w:val="681214B3"/>
    <w:rsid w:val="681B7E38"/>
    <w:rsid w:val="682246B5"/>
    <w:rsid w:val="68CA656F"/>
    <w:rsid w:val="698A60E9"/>
    <w:rsid w:val="6A25335A"/>
    <w:rsid w:val="6AD67D87"/>
    <w:rsid w:val="6B0D5973"/>
    <w:rsid w:val="6B634733"/>
    <w:rsid w:val="6C211F81"/>
    <w:rsid w:val="6E526E42"/>
    <w:rsid w:val="6F9E2F7C"/>
    <w:rsid w:val="70085AEA"/>
    <w:rsid w:val="71C231AD"/>
    <w:rsid w:val="76F31BE2"/>
    <w:rsid w:val="781E0F73"/>
    <w:rsid w:val="78E935B6"/>
    <w:rsid w:val="78FD51A7"/>
    <w:rsid w:val="799D6817"/>
    <w:rsid w:val="7A1134E6"/>
    <w:rsid w:val="7A7C506B"/>
    <w:rsid w:val="7C43257E"/>
    <w:rsid w:val="7CAC73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 w:type="character" w:customStyle="1" w:styleId="8">
    <w:name w:val="font31"/>
    <w:basedOn w:val="6"/>
    <w:uiPriority w:val="0"/>
    <w:rPr>
      <w:rFonts w:hint="eastAsia" w:ascii="宋体" w:hAnsi="宋体" w:eastAsia="宋体" w:cs="宋体"/>
      <w:color w:val="000000"/>
      <w:sz w:val="24"/>
      <w:szCs w:val="24"/>
      <w:u w:val="none"/>
    </w:rPr>
  </w:style>
  <w:style w:type="character" w:customStyle="1" w:styleId="9">
    <w:name w:val="font21"/>
    <w:basedOn w:val="6"/>
    <w:uiPriority w:val="0"/>
    <w:rPr>
      <w:rFonts w:hint="default" w:ascii="Times New Roman" w:hAnsi="Times New Roman" w:cs="Times New Roman"/>
      <w:color w:val="000000"/>
      <w:sz w:val="24"/>
      <w:szCs w:val="24"/>
      <w:u w:val="none"/>
    </w:rPr>
  </w:style>
  <w:style w:type="paragraph" w:customStyle="1" w:styleId="10">
    <w:name w:val="Body text|1"/>
    <w:basedOn w:val="1"/>
    <w:qFormat/>
    <w:uiPriority w:val="0"/>
    <w:pPr>
      <w:widowControl w:val="0"/>
      <w:shd w:val="clear" w:color="auto" w:fill="auto"/>
      <w:spacing w:line="382" w:lineRule="auto"/>
      <w:ind w:firstLine="4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3620</Words>
  <Characters>3847</Characters>
  <Lines>27</Lines>
  <Paragraphs>7</Paragraphs>
  <TotalTime>25</TotalTime>
  <ScaleCrop>false</ScaleCrop>
  <LinksUpToDate>false</LinksUpToDate>
  <CharactersWithSpaces>3859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DL</cp:lastModifiedBy>
  <cp:lastPrinted>2023-05-06T04:18:00Z</cp:lastPrinted>
  <dcterms:modified xsi:type="dcterms:W3CDTF">2024-11-14T02:10:18Z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E79F0076CB984012A300C8BBA78673D9_13</vt:lpwstr>
  </property>
</Properties>
</file>