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B8464">
      <w:pPr>
        <w:widowControl/>
        <w:jc w:val="center"/>
        <w:outlineLvl w:val="1"/>
        <w:rPr>
          <w:rFonts w:ascii="微软雅黑" w:hAnsi="微软雅黑" w:eastAsia="微软雅黑" w:cs="宋体"/>
          <w:color w:val="auto"/>
          <w:kern w:val="0"/>
          <w:sz w:val="46"/>
          <w:szCs w:val="46"/>
        </w:rPr>
      </w:pPr>
      <w:r>
        <w:rPr>
          <w:rFonts w:hint="eastAsia" w:ascii="微软雅黑" w:hAnsi="微软雅黑" w:eastAsia="微软雅黑" w:cs="宋体"/>
          <w:color w:val="auto"/>
          <w:kern w:val="0"/>
          <w:sz w:val="46"/>
          <w:szCs w:val="46"/>
        </w:rPr>
        <w:t>桃花江国家森林公园管理处20</w:t>
      </w:r>
      <w:r>
        <w:rPr>
          <w:rFonts w:hint="eastAsia" w:ascii="微软雅黑" w:hAnsi="微软雅黑" w:eastAsia="微软雅黑" w:cs="宋体"/>
          <w:color w:val="auto"/>
          <w:kern w:val="0"/>
          <w:sz w:val="46"/>
          <w:szCs w:val="46"/>
          <w:lang w:val="en-US" w:eastAsia="zh-CN"/>
        </w:rPr>
        <w:t>23</w:t>
      </w:r>
      <w:r>
        <w:rPr>
          <w:rFonts w:hint="eastAsia" w:ascii="微软雅黑" w:hAnsi="微软雅黑" w:eastAsia="微软雅黑" w:cs="宋体"/>
          <w:color w:val="auto"/>
          <w:kern w:val="0"/>
          <w:sz w:val="46"/>
          <w:szCs w:val="46"/>
        </w:rPr>
        <w:t>年度部门整体支出绩效评价报告</w:t>
      </w:r>
    </w:p>
    <w:p w14:paraId="179D36AB">
      <w:pPr>
        <w:widowControl/>
        <w:shd w:val="clear" w:color="auto" w:fill="FFFFFF"/>
        <w:spacing w:line="554" w:lineRule="atLeast"/>
        <w:jc w:val="left"/>
        <w:rPr>
          <w:rFonts w:hint="eastAsia" w:ascii="微软雅黑" w:hAnsi="微软雅黑" w:eastAsia="微软雅黑" w:cs="宋体"/>
          <w:color w:val="333333"/>
          <w:kern w:val="0"/>
          <w:sz w:val="30"/>
          <w:szCs w:val="30"/>
        </w:rPr>
      </w:pPr>
      <w:r>
        <w:rPr>
          <w:rFonts w:ascii="Times New Roman" w:hAnsi="Times New Roman" w:eastAsia="微软雅黑"/>
          <w:color w:val="333333"/>
          <w:kern w:val="0"/>
          <w:sz w:val="32"/>
          <w:szCs w:val="32"/>
        </w:rPr>
        <w:t>        </w:t>
      </w:r>
      <w:r>
        <w:rPr>
          <w:rFonts w:hint="eastAsia" w:ascii="仿宋" w:hAnsi="仿宋" w:eastAsia="仿宋" w:cs="宋体"/>
          <w:color w:val="333333"/>
          <w:kern w:val="0"/>
          <w:sz w:val="32"/>
          <w:szCs w:val="32"/>
        </w:rPr>
        <w:t>根据《湖南省人民政府关于全面推进预算绩效管理的意见》(湘政发[2012]33号)等有关绩效评价的相关规定，本着独立、客观、公正、科学的原则，我处对20</w:t>
      </w:r>
      <w:r>
        <w:rPr>
          <w:rFonts w:hint="eastAsia" w:ascii="仿宋" w:hAnsi="仿宋" w:eastAsia="仿宋" w:cs="宋体"/>
          <w:color w:val="333333"/>
          <w:kern w:val="0"/>
          <w:sz w:val="32"/>
          <w:szCs w:val="32"/>
          <w:lang w:val="en-US" w:eastAsia="zh-CN"/>
        </w:rPr>
        <w:t>23</w:t>
      </w:r>
      <w:r>
        <w:rPr>
          <w:rFonts w:hint="eastAsia" w:ascii="仿宋" w:hAnsi="仿宋" w:eastAsia="仿宋" w:cs="宋体"/>
          <w:color w:val="333333"/>
          <w:kern w:val="0"/>
          <w:sz w:val="32"/>
          <w:szCs w:val="32"/>
        </w:rPr>
        <w:t>年部门整体支出进行了绩效自评，现将绩效自评情况及自评结果报告如下：</w:t>
      </w:r>
    </w:p>
    <w:p w14:paraId="72E2A5C2">
      <w:pPr>
        <w:widowControl/>
        <w:shd w:val="clear" w:color="auto" w:fill="FFFFFF"/>
        <w:spacing w:line="554" w:lineRule="atLeast"/>
        <w:jc w:val="left"/>
        <w:rPr>
          <w:rFonts w:hint="eastAsia" w:ascii="微软雅黑" w:hAnsi="微软雅黑" w:eastAsia="微软雅黑" w:cs="宋体"/>
          <w:color w:val="333333"/>
          <w:kern w:val="0"/>
          <w:sz w:val="30"/>
          <w:szCs w:val="30"/>
        </w:rPr>
      </w:pPr>
      <w:r>
        <w:rPr>
          <w:rFonts w:hint="eastAsia" w:ascii="宋体" w:hAnsi="宋体" w:cs="宋体"/>
          <w:color w:val="333333"/>
          <w:kern w:val="0"/>
          <w:sz w:val="32"/>
          <w:szCs w:val="32"/>
        </w:rPr>
        <w:t>  </w:t>
      </w:r>
      <w:r>
        <w:rPr>
          <w:rFonts w:hint="eastAsia" w:ascii="仿宋" w:hAnsi="仿宋" w:eastAsia="仿宋" w:cs="宋体"/>
          <w:b/>
          <w:bCs/>
          <w:color w:val="333333"/>
          <w:kern w:val="0"/>
          <w:sz w:val="32"/>
          <w:szCs w:val="32"/>
        </w:rPr>
        <w:t>一、部门概况</w:t>
      </w:r>
    </w:p>
    <w:p w14:paraId="3014377B">
      <w:pPr>
        <w:widowControl/>
        <w:shd w:val="clear" w:color="auto" w:fill="FFFFFF"/>
        <w:spacing w:line="554" w:lineRule="atLeast"/>
        <w:ind w:firstLine="580"/>
        <w:jc w:val="left"/>
        <w:rPr>
          <w:rFonts w:hint="eastAsia" w:ascii="微软雅黑" w:hAnsi="微软雅黑" w:eastAsia="微软雅黑" w:cs="宋体"/>
          <w:color w:val="333333"/>
          <w:kern w:val="0"/>
          <w:sz w:val="30"/>
          <w:szCs w:val="30"/>
        </w:rPr>
      </w:pPr>
      <w:r>
        <w:rPr>
          <w:rFonts w:hint="eastAsia" w:ascii="仿宋" w:hAnsi="仿宋" w:eastAsia="仿宋" w:cs="宋体"/>
          <w:b/>
          <w:bCs/>
          <w:color w:val="333333"/>
          <w:kern w:val="0"/>
          <w:sz w:val="32"/>
          <w:szCs w:val="32"/>
        </w:rPr>
        <w:t>（一）部门基本情况</w:t>
      </w:r>
    </w:p>
    <w:p w14:paraId="2EFAA0B8">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b/>
          <w:bCs/>
          <w:color w:val="333333"/>
          <w:kern w:val="0"/>
          <w:sz w:val="32"/>
          <w:szCs w:val="32"/>
        </w:rPr>
        <w:t>（1）机构设置。</w:t>
      </w:r>
    </w:p>
    <w:p w14:paraId="01548963">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color w:val="333333"/>
          <w:kern w:val="0"/>
          <w:sz w:val="32"/>
          <w:szCs w:val="32"/>
        </w:rPr>
        <w:t>湖南桃花江国家森林公园于经国家林业局批准设立，由桃花湖、浮邱山、桃花江竹海三个景区组成，总面积3153.05公顷。2009年2月，市编委（益编办发[2009]13号）批准我县设立正科级森林公园管理机构；2011年，湘编办</w:t>
      </w:r>
      <w:r>
        <w:rPr>
          <w:rFonts w:hint="eastAsia" w:ascii="仿宋" w:hAnsi="仿宋" w:eastAsia="仿宋" w:cs="宋体"/>
          <w:color w:val="000000"/>
          <w:kern w:val="0"/>
          <w:sz w:val="32"/>
          <w:szCs w:val="32"/>
        </w:rPr>
        <w:t>〔</w:t>
      </w:r>
      <w:r>
        <w:rPr>
          <w:rFonts w:hint="eastAsia" w:ascii="仿宋" w:hAnsi="仿宋" w:eastAsia="仿宋" w:cs="宋体"/>
          <w:color w:val="333333"/>
          <w:kern w:val="0"/>
          <w:sz w:val="32"/>
          <w:szCs w:val="32"/>
        </w:rPr>
        <w:t>2011</w:t>
      </w:r>
      <w:r>
        <w:rPr>
          <w:rFonts w:hint="eastAsia" w:ascii="仿宋" w:hAnsi="仿宋" w:eastAsia="仿宋" w:cs="宋体"/>
          <w:color w:val="000000"/>
          <w:kern w:val="0"/>
          <w:sz w:val="32"/>
          <w:szCs w:val="32"/>
        </w:rPr>
        <w:t>〕</w:t>
      </w:r>
      <w:r>
        <w:rPr>
          <w:rFonts w:hint="eastAsia" w:ascii="仿宋" w:hAnsi="仿宋" w:eastAsia="仿宋" w:cs="宋体"/>
          <w:color w:val="333333"/>
          <w:kern w:val="0"/>
          <w:sz w:val="32"/>
          <w:szCs w:val="32"/>
        </w:rPr>
        <w:t>17号文件明确管理处升格为副处级事业单位。</w:t>
      </w:r>
    </w:p>
    <w:p w14:paraId="5D85DE0C">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color w:val="333333"/>
          <w:kern w:val="0"/>
          <w:sz w:val="32"/>
          <w:szCs w:val="32"/>
        </w:rPr>
        <w:t>机关2017年底有干职工12人，内设办公室、建设管理科、市场营销科三个副科级和资源保护科（正股级）四个科室，下设竹海、桃花湖、浮邱山三个副科级景区管理所。2017年4月，县政府重新明确了管理处"三定"方案、职责职能和人员机构设置，并明确桃花江、浮邱山、石井头三个国有林场和县林科所由县林业局管理划归森林公园管理处管理。</w:t>
      </w:r>
    </w:p>
    <w:p w14:paraId="30C18A64">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color w:val="333333"/>
          <w:kern w:val="0"/>
          <w:sz w:val="32"/>
          <w:szCs w:val="32"/>
        </w:rPr>
        <w:t>（</w:t>
      </w:r>
      <w:r>
        <w:rPr>
          <w:rFonts w:hint="eastAsia" w:ascii="仿宋" w:hAnsi="仿宋" w:eastAsia="仿宋" w:cs="宋体"/>
          <w:b/>
          <w:bCs/>
          <w:color w:val="333333"/>
          <w:kern w:val="0"/>
          <w:sz w:val="32"/>
          <w:szCs w:val="32"/>
        </w:rPr>
        <w:t>2）主要职能（2017年5月桃政办发[2017]23号确定）。</w:t>
      </w:r>
    </w:p>
    <w:p w14:paraId="76808383">
      <w:pPr>
        <w:widowControl/>
        <w:shd w:val="clear" w:color="auto" w:fill="FFFFFF"/>
        <w:spacing w:line="554" w:lineRule="atLeast"/>
        <w:ind w:firstLine="620"/>
        <w:jc w:val="left"/>
        <w:rPr>
          <w:rFonts w:hint="eastAsia" w:ascii="微软雅黑" w:hAnsi="微软雅黑" w:eastAsia="微软雅黑" w:cs="宋体"/>
          <w:color w:val="333333"/>
          <w:kern w:val="0"/>
          <w:sz w:val="30"/>
          <w:szCs w:val="30"/>
        </w:rPr>
      </w:pPr>
      <w:r>
        <w:rPr>
          <w:rFonts w:hint="eastAsia" w:ascii="仿宋" w:hAnsi="仿宋" w:eastAsia="仿宋" w:cs="宋体"/>
          <w:color w:val="333333"/>
          <w:kern w:val="0"/>
          <w:sz w:val="32"/>
          <w:szCs w:val="32"/>
        </w:rPr>
        <w:t>宣传贯彻执行国家关于森林公园规划、建设、经营和管理的法律法规和方针政策。结合实际制定公园中长期发展规划、年度发展计划和公园建设、经营、管理办法，并组织实施。</w:t>
      </w:r>
    </w:p>
    <w:p w14:paraId="750ACFE0">
      <w:pPr>
        <w:widowControl/>
        <w:shd w:val="clear" w:color="auto" w:fill="FFFFFF"/>
        <w:spacing w:line="554" w:lineRule="atLeast"/>
        <w:ind w:firstLine="500"/>
        <w:jc w:val="left"/>
        <w:rPr>
          <w:rFonts w:hint="eastAsia" w:ascii="微软雅黑" w:hAnsi="微软雅黑" w:eastAsia="微软雅黑" w:cs="宋体"/>
          <w:color w:val="333333"/>
          <w:kern w:val="0"/>
          <w:sz w:val="30"/>
          <w:szCs w:val="30"/>
        </w:rPr>
      </w:pPr>
      <w:r>
        <w:rPr>
          <w:rFonts w:hint="eastAsia" w:ascii="仿宋" w:hAnsi="仿宋" w:eastAsia="仿宋" w:cs="宋体"/>
          <w:color w:val="333333"/>
          <w:kern w:val="0"/>
          <w:sz w:val="32"/>
        </w:rPr>
        <w:t>负责公园森林及其他风景资源的保护。做好森林及其他风景资源和生物多样性的监测、保护、培育和管理工作；做好植树造林、森林防火、森林病虫害防治、林木林地和野生动植物资源保护及古树名木、古园林建筑、历史遗迹的建档保护等工作。</w:t>
      </w:r>
    </w:p>
    <w:p w14:paraId="401A4D80">
      <w:pPr>
        <w:widowControl/>
        <w:shd w:val="clear" w:color="auto" w:fill="FFFFFF"/>
        <w:spacing w:line="554" w:lineRule="atLeast"/>
        <w:ind w:firstLine="620"/>
        <w:jc w:val="left"/>
        <w:rPr>
          <w:rFonts w:hint="eastAsia" w:ascii="微软雅黑" w:hAnsi="微软雅黑" w:eastAsia="微软雅黑" w:cs="宋体"/>
          <w:color w:val="333333"/>
          <w:kern w:val="0"/>
          <w:sz w:val="30"/>
          <w:szCs w:val="30"/>
        </w:rPr>
      </w:pPr>
      <w:r>
        <w:rPr>
          <w:rFonts w:hint="eastAsia" w:ascii="仿宋" w:hAnsi="仿宋" w:eastAsia="仿宋" w:cs="宋体"/>
          <w:color w:val="333333"/>
          <w:kern w:val="0"/>
          <w:sz w:val="32"/>
          <w:szCs w:val="32"/>
        </w:rPr>
        <w:t>负责公园森林和其他旅游资源的合理开发利用。建立并管理经营公司，做好旅游景区开发建设和经营管理。对园内参与建设和经营的其他单位和个人进行管理和监督。</w:t>
      </w:r>
    </w:p>
    <w:p w14:paraId="09A50A04">
      <w:pPr>
        <w:widowControl/>
        <w:shd w:val="clear" w:color="auto" w:fill="FFFFFF"/>
        <w:spacing w:line="554" w:lineRule="atLeast"/>
        <w:ind w:firstLine="620"/>
        <w:jc w:val="left"/>
        <w:rPr>
          <w:rFonts w:hint="eastAsia" w:ascii="微软雅黑" w:hAnsi="微软雅黑" w:eastAsia="微软雅黑" w:cs="宋体"/>
          <w:color w:val="333333"/>
          <w:kern w:val="0"/>
          <w:sz w:val="30"/>
          <w:szCs w:val="30"/>
        </w:rPr>
      </w:pPr>
      <w:r>
        <w:rPr>
          <w:rFonts w:hint="eastAsia" w:ascii="仿宋" w:hAnsi="仿宋" w:eastAsia="仿宋" w:cs="宋体"/>
          <w:color w:val="333333"/>
          <w:kern w:val="0"/>
          <w:sz w:val="32"/>
          <w:szCs w:val="32"/>
        </w:rPr>
        <w:t>负责公园旅游秩序、安全、环保及卫生的管理。做好旅游秩序、安全、环保及卫生维护的宣传、相关基础设施和标志的设置、维护管理等工作。</w:t>
      </w:r>
    </w:p>
    <w:p w14:paraId="271E921B">
      <w:pPr>
        <w:widowControl/>
        <w:shd w:val="clear" w:color="auto" w:fill="FFFFFF"/>
        <w:spacing w:line="554" w:lineRule="atLeast"/>
        <w:ind w:firstLine="620"/>
        <w:jc w:val="left"/>
        <w:rPr>
          <w:rFonts w:hint="eastAsia" w:ascii="微软雅黑" w:hAnsi="微软雅黑" w:eastAsia="微软雅黑" w:cs="宋体"/>
          <w:color w:val="333333"/>
          <w:kern w:val="0"/>
          <w:sz w:val="30"/>
          <w:szCs w:val="30"/>
        </w:rPr>
      </w:pPr>
      <w:r>
        <w:rPr>
          <w:rFonts w:hint="eastAsia" w:ascii="仿宋" w:hAnsi="仿宋" w:eastAsia="仿宋" w:cs="宋体"/>
          <w:color w:val="333333"/>
          <w:kern w:val="0"/>
          <w:sz w:val="32"/>
          <w:szCs w:val="32"/>
        </w:rPr>
        <w:t>受委托负责公园管理的相关行政执法。做好公园内违反森林公园管理法律法规行为的行政处罚和相关案件查处有关工作。</w:t>
      </w:r>
    </w:p>
    <w:p w14:paraId="271A0F2C">
      <w:pPr>
        <w:widowControl/>
        <w:shd w:val="clear" w:color="auto" w:fill="FFFFFF"/>
        <w:spacing w:line="554" w:lineRule="atLeast"/>
        <w:ind w:firstLine="640"/>
        <w:jc w:val="left"/>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完成县委、政府和上级业务主管部门交办的其他工作。</w:t>
      </w:r>
    </w:p>
    <w:p w14:paraId="4F28C166">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b/>
          <w:bCs/>
          <w:color w:val="333333"/>
          <w:kern w:val="0"/>
          <w:sz w:val="32"/>
          <w:szCs w:val="32"/>
        </w:rPr>
        <w:t>（二）部门整体支出情况</w:t>
      </w:r>
    </w:p>
    <w:p w14:paraId="2CFA6BA3">
      <w:pPr>
        <w:widowControl/>
        <w:numPr>
          <w:ilvl w:val="0"/>
          <w:numId w:val="0"/>
        </w:numPr>
        <w:shd w:val="clear" w:color="auto" w:fill="FFFFFF"/>
        <w:spacing w:line="554" w:lineRule="atLeast"/>
        <w:ind w:firstLine="643" w:firstLineChars="200"/>
        <w:jc w:val="left"/>
        <w:rPr>
          <w:rFonts w:hint="eastAsia" w:ascii="仿宋" w:hAnsi="仿宋" w:eastAsia="仿宋" w:cs="宋体"/>
          <w:b/>
          <w:bCs/>
          <w:color w:val="333333"/>
          <w:kern w:val="0"/>
          <w:sz w:val="32"/>
          <w:szCs w:val="32"/>
        </w:rPr>
      </w:pPr>
      <w:r>
        <w:rPr>
          <w:rFonts w:hint="eastAsia" w:ascii="仿宋" w:hAnsi="仿宋" w:eastAsia="仿宋" w:cs="宋体"/>
          <w:b/>
          <w:bCs/>
          <w:color w:val="333333"/>
          <w:kern w:val="0"/>
          <w:sz w:val="32"/>
          <w:szCs w:val="32"/>
        </w:rPr>
        <w:t>（1）基本支出绩效情况</w:t>
      </w:r>
    </w:p>
    <w:p w14:paraId="3977B66F">
      <w:pPr>
        <w:widowControl/>
        <w:shd w:val="clear" w:color="auto" w:fill="FFFFFF"/>
        <w:spacing w:line="554" w:lineRule="atLeast"/>
        <w:ind w:firstLine="640"/>
        <w:jc w:val="left"/>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基本支出用于为保障机构正常运转、完成日常工作任务而发生的支出，包括人员经费和日常公用经费。</w:t>
      </w:r>
    </w:p>
    <w:p w14:paraId="35216400">
      <w:pPr>
        <w:widowControl/>
        <w:shd w:val="clear" w:color="auto" w:fill="FFFFFF"/>
        <w:spacing w:line="554" w:lineRule="atLeast"/>
        <w:ind w:firstLine="640"/>
        <w:jc w:val="left"/>
        <w:rPr>
          <w:rFonts w:hint="eastAsia" w:ascii="仿宋" w:hAnsi="仿宋" w:eastAsia="仿宋" w:cs="宋体"/>
          <w:b/>
          <w:bCs/>
          <w:color w:val="333333"/>
          <w:kern w:val="0"/>
          <w:sz w:val="32"/>
          <w:szCs w:val="32"/>
          <w:u w:val="none"/>
        </w:rPr>
      </w:pPr>
      <w:r>
        <w:rPr>
          <w:rFonts w:hint="eastAsia" w:ascii="仿宋" w:hAnsi="仿宋" w:eastAsia="仿宋" w:cs="宋体"/>
          <w:color w:val="333333"/>
          <w:kern w:val="0"/>
          <w:sz w:val="32"/>
          <w:szCs w:val="32"/>
          <w:u w:val="none"/>
        </w:rPr>
        <w:t>202</w:t>
      </w:r>
      <w:r>
        <w:rPr>
          <w:rFonts w:hint="eastAsia" w:ascii="仿宋" w:hAnsi="仿宋" w:eastAsia="仿宋" w:cs="宋体"/>
          <w:color w:val="333333"/>
          <w:kern w:val="0"/>
          <w:sz w:val="32"/>
          <w:szCs w:val="32"/>
          <w:u w:val="none"/>
          <w:lang w:val="en-US" w:eastAsia="zh-CN"/>
        </w:rPr>
        <w:t>1</w:t>
      </w:r>
      <w:r>
        <w:rPr>
          <w:rFonts w:hint="eastAsia" w:ascii="仿宋" w:hAnsi="仿宋" w:eastAsia="仿宋" w:cs="宋体"/>
          <w:color w:val="333333"/>
          <w:kern w:val="0"/>
          <w:sz w:val="32"/>
          <w:szCs w:val="32"/>
          <w:u w:val="none"/>
        </w:rPr>
        <w:t>年，县财政批复的桃江县桃花江</w:t>
      </w:r>
      <w:r>
        <w:rPr>
          <w:rFonts w:hint="eastAsia" w:ascii="仿宋" w:hAnsi="仿宋" w:eastAsia="仿宋" w:cs="宋体"/>
          <w:color w:val="333333"/>
          <w:kern w:val="0"/>
          <w:sz w:val="32"/>
          <w:szCs w:val="32"/>
          <w:u w:val="none"/>
          <w:lang w:val="en-US" w:eastAsia="zh-CN"/>
        </w:rPr>
        <w:t>国家森林公园管理处</w:t>
      </w:r>
      <w:r>
        <w:rPr>
          <w:rFonts w:hint="eastAsia" w:ascii="仿宋" w:hAnsi="仿宋" w:eastAsia="仿宋" w:cs="宋体"/>
          <w:color w:val="333333"/>
          <w:kern w:val="0"/>
          <w:sz w:val="32"/>
          <w:szCs w:val="32"/>
          <w:u w:val="none"/>
        </w:rPr>
        <w:t>基本支出年初预算</w:t>
      </w:r>
      <w:r>
        <w:rPr>
          <w:rFonts w:hint="eastAsia" w:ascii="仿宋" w:hAnsi="仿宋" w:eastAsia="仿宋" w:cs="宋体"/>
          <w:color w:val="333333"/>
          <w:kern w:val="0"/>
          <w:sz w:val="32"/>
          <w:szCs w:val="32"/>
          <w:u w:val="none"/>
          <w:lang w:val="en-US" w:eastAsia="zh-CN"/>
        </w:rPr>
        <w:t>1860.7</w:t>
      </w:r>
      <w:r>
        <w:rPr>
          <w:rFonts w:hint="eastAsia" w:ascii="仿宋" w:hAnsi="仿宋" w:eastAsia="仿宋" w:cs="宋体"/>
          <w:color w:val="333333"/>
          <w:kern w:val="0"/>
          <w:sz w:val="32"/>
          <w:szCs w:val="32"/>
          <w:u w:val="none"/>
        </w:rPr>
        <w:t>万元。按经济科目划分，各项支出决算金额分别为：工资福利支出</w:t>
      </w:r>
      <w:r>
        <w:rPr>
          <w:rFonts w:hint="eastAsia" w:ascii="仿宋" w:hAnsi="仿宋" w:eastAsia="仿宋" w:cs="宋体"/>
          <w:color w:val="333333"/>
          <w:kern w:val="0"/>
          <w:sz w:val="32"/>
          <w:szCs w:val="32"/>
          <w:u w:val="none"/>
          <w:lang w:val="en-US" w:eastAsia="zh-CN"/>
        </w:rPr>
        <w:t>1637.1</w:t>
      </w:r>
      <w:r>
        <w:rPr>
          <w:rFonts w:hint="eastAsia" w:ascii="仿宋" w:hAnsi="仿宋" w:eastAsia="仿宋" w:cs="宋体"/>
          <w:color w:val="333333"/>
          <w:kern w:val="0"/>
          <w:sz w:val="32"/>
          <w:szCs w:val="32"/>
          <w:u w:val="none"/>
        </w:rPr>
        <w:t>万元；商品和服务支出</w:t>
      </w:r>
      <w:r>
        <w:rPr>
          <w:rFonts w:hint="eastAsia" w:ascii="仿宋" w:hAnsi="仿宋" w:eastAsia="仿宋" w:cs="宋体"/>
          <w:color w:val="333333"/>
          <w:kern w:val="0"/>
          <w:sz w:val="32"/>
          <w:szCs w:val="32"/>
          <w:u w:val="none"/>
          <w:lang w:val="en-US" w:eastAsia="zh-CN"/>
        </w:rPr>
        <w:t>194</w:t>
      </w:r>
      <w:r>
        <w:rPr>
          <w:rFonts w:hint="eastAsia" w:ascii="仿宋" w:hAnsi="仿宋" w:eastAsia="仿宋" w:cs="宋体"/>
          <w:color w:val="333333"/>
          <w:kern w:val="0"/>
          <w:sz w:val="32"/>
          <w:szCs w:val="32"/>
          <w:u w:val="none"/>
        </w:rPr>
        <w:t>万元；对个人和家庭的补助</w:t>
      </w:r>
      <w:r>
        <w:rPr>
          <w:rFonts w:hint="eastAsia" w:ascii="仿宋" w:hAnsi="仿宋" w:eastAsia="仿宋" w:cs="宋体"/>
          <w:color w:val="333333"/>
          <w:kern w:val="0"/>
          <w:sz w:val="32"/>
          <w:szCs w:val="32"/>
          <w:u w:val="none"/>
          <w:lang w:val="en-US" w:eastAsia="zh-CN"/>
        </w:rPr>
        <w:t>29.6</w:t>
      </w:r>
      <w:r>
        <w:rPr>
          <w:rFonts w:hint="eastAsia" w:ascii="仿宋" w:hAnsi="仿宋" w:eastAsia="仿宋" w:cs="宋体"/>
          <w:color w:val="333333"/>
          <w:kern w:val="0"/>
          <w:sz w:val="32"/>
          <w:szCs w:val="32"/>
          <w:u w:val="none"/>
        </w:rPr>
        <w:t>万元，其他资本性支出</w:t>
      </w:r>
      <w:r>
        <w:rPr>
          <w:rFonts w:hint="eastAsia" w:ascii="仿宋" w:hAnsi="仿宋" w:eastAsia="仿宋" w:cs="宋体"/>
          <w:color w:val="333333"/>
          <w:kern w:val="0"/>
          <w:sz w:val="32"/>
          <w:szCs w:val="32"/>
          <w:u w:val="none"/>
          <w:lang w:val="en-US" w:eastAsia="zh-CN"/>
        </w:rPr>
        <w:t>0</w:t>
      </w:r>
      <w:r>
        <w:rPr>
          <w:rFonts w:hint="eastAsia" w:ascii="仿宋" w:hAnsi="仿宋" w:eastAsia="仿宋" w:cs="宋体"/>
          <w:color w:val="333333"/>
          <w:kern w:val="0"/>
          <w:sz w:val="32"/>
          <w:szCs w:val="32"/>
          <w:u w:val="none"/>
        </w:rPr>
        <w:t>万元，基本支出合计为</w:t>
      </w:r>
      <w:r>
        <w:rPr>
          <w:rFonts w:hint="eastAsia" w:ascii="仿宋" w:hAnsi="仿宋" w:eastAsia="仿宋" w:cs="宋体"/>
          <w:color w:val="333333"/>
          <w:kern w:val="0"/>
          <w:sz w:val="32"/>
          <w:szCs w:val="32"/>
          <w:u w:val="none"/>
          <w:lang w:val="en-US" w:eastAsia="zh-CN"/>
        </w:rPr>
        <w:t>1860.7</w:t>
      </w:r>
      <w:r>
        <w:rPr>
          <w:rFonts w:hint="eastAsia" w:ascii="仿宋" w:hAnsi="仿宋" w:eastAsia="仿宋" w:cs="宋体"/>
          <w:color w:val="333333"/>
          <w:kern w:val="0"/>
          <w:sz w:val="32"/>
          <w:szCs w:val="32"/>
          <w:u w:val="none"/>
        </w:rPr>
        <w:t>万元。</w:t>
      </w:r>
    </w:p>
    <w:p w14:paraId="3F30A9BE">
      <w:pPr>
        <w:widowControl/>
        <w:shd w:val="clear" w:color="auto" w:fill="FFFFFF"/>
        <w:spacing w:line="554" w:lineRule="atLeast"/>
        <w:ind w:firstLine="620"/>
        <w:jc w:val="left"/>
        <w:rPr>
          <w:rFonts w:hint="eastAsia" w:ascii="微软雅黑" w:hAnsi="微软雅黑" w:eastAsia="微软雅黑" w:cs="宋体"/>
          <w:color w:val="333333"/>
          <w:kern w:val="0"/>
          <w:sz w:val="30"/>
          <w:szCs w:val="30"/>
        </w:rPr>
      </w:pPr>
      <w:r>
        <w:rPr>
          <w:rFonts w:hint="eastAsia" w:ascii="仿宋" w:hAnsi="仿宋" w:eastAsia="仿宋" w:cs="宋体"/>
          <w:b/>
          <w:bCs/>
          <w:color w:val="333333"/>
          <w:kern w:val="0"/>
          <w:sz w:val="32"/>
          <w:szCs w:val="32"/>
        </w:rPr>
        <w:t>（</w:t>
      </w:r>
      <w:r>
        <w:rPr>
          <w:rFonts w:hint="eastAsia" w:ascii="仿宋" w:hAnsi="仿宋" w:eastAsia="仿宋" w:cs="宋体"/>
          <w:b/>
          <w:bCs/>
          <w:color w:val="333333"/>
          <w:kern w:val="0"/>
          <w:sz w:val="32"/>
          <w:szCs w:val="32"/>
          <w:lang w:val="en-US" w:eastAsia="zh-CN"/>
        </w:rPr>
        <w:t>2</w:t>
      </w:r>
      <w:r>
        <w:rPr>
          <w:rFonts w:hint="eastAsia" w:ascii="仿宋" w:hAnsi="仿宋" w:eastAsia="仿宋" w:cs="宋体"/>
          <w:b/>
          <w:bCs/>
          <w:color w:val="333333"/>
          <w:kern w:val="0"/>
          <w:sz w:val="32"/>
          <w:szCs w:val="32"/>
        </w:rPr>
        <w:t>）</w:t>
      </w:r>
      <w:r>
        <w:rPr>
          <w:rFonts w:hint="eastAsia" w:ascii="仿宋" w:hAnsi="仿宋" w:eastAsia="仿宋" w:cs="宋体"/>
          <w:b/>
          <w:bCs/>
          <w:color w:val="414141"/>
          <w:kern w:val="0"/>
          <w:sz w:val="32"/>
          <w:szCs w:val="32"/>
        </w:rPr>
        <w:t>项目支出绩效情况</w:t>
      </w:r>
    </w:p>
    <w:p w14:paraId="33526E2A">
      <w:pPr>
        <w:widowControl/>
        <w:shd w:val="clear" w:color="auto" w:fill="FFFFFF"/>
        <w:spacing w:line="554" w:lineRule="atLeast"/>
        <w:ind w:firstLine="640"/>
        <w:jc w:val="left"/>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项目支出是在基本支出之外为完成其特定的行政工作任务而发生的支出，主要用于</w:t>
      </w:r>
      <w:r>
        <w:rPr>
          <w:rFonts w:hint="eastAsia" w:ascii="仿宋" w:hAnsi="仿宋" w:eastAsia="仿宋" w:cs="宋体"/>
          <w:color w:val="333333"/>
          <w:kern w:val="0"/>
          <w:sz w:val="32"/>
          <w:szCs w:val="32"/>
          <w:lang w:val="en-US" w:eastAsia="zh-CN"/>
        </w:rPr>
        <w:t>景区</w:t>
      </w:r>
      <w:r>
        <w:rPr>
          <w:rFonts w:hint="eastAsia" w:ascii="仿宋" w:hAnsi="仿宋" w:eastAsia="仿宋" w:cs="宋体"/>
          <w:color w:val="333333"/>
          <w:kern w:val="0"/>
          <w:sz w:val="32"/>
          <w:szCs w:val="32"/>
          <w:u w:val="none"/>
        </w:rPr>
        <w:t>管理</w:t>
      </w:r>
      <w:r>
        <w:rPr>
          <w:rFonts w:hint="eastAsia" w:ascii="仿宋" w:hAnsi="仿宋" w:eastAsia="仿宋" w:cs="宋体"/>
          <w:color w:val="333333"/>
          <w:kern w:val="0"/>
          <w:sz w:val="32"/>
          <w:szCs w:val="32"/>
        </w:rPr>
        <w:t>、</w:t>
      </w:r>
      <w:r>
        <w:rPr>
          <w:rFonts w:hint="eastAsia" w:ascii="仿宋" w:hAnsi="仿宋" w:eastAsia="仿宋" w:cs="宋体"/>
          <w:color w:val="333333"/>
          <w:kern w:val="0"/>
          <w:sz w:val="32"/>
          <w:szCs w:val="32"/>
          <w:lang w:val="en-US" w:eastAsia="zh-CN"/>
        </w:rPr>
        <w:t>安全生产</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lang w:val="en-US" w:eastAsia="zh-CN"/>
        </w:rPr>
        <w:t>护林</w:t>
      </w:r>
      <w:r>
        <w:rPr>
          <w:rFonts w:hint="eastAsia" w:ascii="仿宋" w:hAnsi="仿宋" w:eastAsia="仿宋" w:cs="宋体"/>
          <w:color w:val="333333"/>
          <w:kern w:val="0"/>
          <w:sz w:val="32"/>
          <w:szCs w:val="32"/>
        </w:rPr>
        <w:t>和</w:t>
      </w:r>
      <w:r>
        <w:rPr>
          <w:rFonts w:hint="eastAsia" w:ascii="仿宋" w:hAnsi="仿宋" w:eastAsia="仿宋" w:cs="宋体"/>
          <w:color w:val="333333"/>
          <w:kern w:val="0"/>
          <w:sz w:val="32"/>
          <w:szCs w:val="32"/>
          <w:lang w:val="en-US" w:eastAsia="zh-CN"/>
        </w:rPr>
        <w:t>森林防火</w:t>
      </w:r>
      <w:r>
        <w:rPr>
          <w:rFonts w:hint="eastAsia" w:ascii="仿宋" w:hAnsi="仿宋" w:eastAsia="仿宋" w:cs="宋体"/>
          <w:color w:val="333333"/>
          <w:kern w:val="0"/>
          <w:sz w:val="32"/>
          <w:szCs w:val="32"/>
        </w:rPr>
        <w:t>支出专项等。</w:t>
      </w:r>
    </w:p>
    <w:p w14:paraId="586D326C">
      <w:pPr>
        <w:widowControl/>
        <w:shd w:val="clear" w:color="auto" w:fill="FFFFFF"/>
        <w:spacing w:line="554" w:lineRule="atLeast"/>
        <w:ind w:firstLine="640"/>
        <w:jc w:val="left"/>
        <w:rPr>
          <w:rFonts w:hint="eastAsia" w:ascii="仿宋" w:hAnsi="仿宋" w:eastAsia="仿宋" w:cs="宋体"/>
          <w:color w:val="333333"/>
          <w:kern w:val="0"/>
          <w:sz w:val="32"/>
          <w:szCs w:val="32"/>
          <w:u w:val="none"/>
          <w:lang w:eastAsia="zh-CN"/>
        </w:rPr>
      </w:pPr>
      <w:r>
        <w:rPr>
          <w:rFonts w:hint="eastAsia" w:ascii="仿宋" w:hAnsi="仿宋" w:eastAsia="仿宋" w:cs="宋体"/>
          <w:color w:val="333333"/>
          <w:kern w:val="0"/>
          <w:sz w:val="32"/>
          <w:szCs w:val="32"/>
          <w:u w:val="none"/>
        </w:rPr>
        <w:t>202</w:t>
      </w:r>
      <w:r>
        <w:rPr>
          <w:rFonts w:hint="eastAsia" w:ascii="仿宋" w:hAnsi="仿宋" w:eastAsia="仿宋" w:cs="宋体"/>
          <w:color w:val="333333"/>
          <w:kern w:val="0"/>
          <w:sz w:val="32"/>
          <w:szCs w:val="32"/>
          <w:u w:val="none"/>
          <w:lang w:val="en-US" w:eastAsia="zh-CN"/>
        </w:rPr>
        <w:t>1</w:t>
      </w:r>
      <w:r>
        <w:rPr>
          <w:rFonts w:hint="eastAsia" w:ascii="仿宋" w:hAnsi="仿宋" w:eastAsia="仿宋" w:cs="宋体"/>
          <w:color w:val="333333"/>
          <w:kern w:val="0"/>
          <w:sz w:val="32"/>
          <w:szCs w:val="32"/>
          <w:u w:val="none"/>
        </w:rPr>
        <w:t>年，县财政批复的桃江县桃花江</w:t>
      </w:r>
      <w:r>
        <w:rPr>
          <w:rFonts w:hint="eastAsia" w:ascii="仿宋" w:hAnsi="仿宋" w:eastAsia="仿宋" w:cs="宋体"/>
          <w:color w:val="333333"/>
          <w:kern w:val="0"/>
          <w:sz w:val="32"/>
          <w:szCs w:val="32"/>
          <w:u w:val="none"/>
          <w:lang w:val="en-US" w:eastAsia="zh-CN"/>
        </w:rPr>
        <w:t>国家森林公园管理处</w:t>
      </w:r>
      <w:r>
        <w:rPr>
          <w:rFonts w:hint="eastAsia" w:ascii="仿宋" w:hAnsi="仿宋" w:eastAsia="仿宋" w:cs="宋体"/>
          <w:color w:val="333333"/>
          <w:kern w:val="0"/>
          <w:sz w:val="32"/>
          <w:szCs w:val="32"/>
          <w:u w:val="none"/>
        </w:rPr>
        <w:t>基本支出年初预算</w:t>
      </w:r>
      <w:r>
        <w:rPr>
          <w:rFonts w:hint="eastAsia" w:ascii="仿宋" w:hAnsi="仿宋" w:eastAsia="仿宋" w:cs="宋体"/>
          <w:color w:val="333333"/>
          <w:kern w:val="0"/>
          <w:sz w:val="32"/>
          <w:szCs w:val="32"/>
          <w:u w:val="none"/>
          <w:lang w:val="en-US" w:eastAsia="zh-CN"/>
        </w:rPr>
        <w:t>0</w:t>
      </w:r>
      <w:r>
        <w:rPr>
          <w:rFonts w:hint="eastAsia" w:ascii="仿宋" w:hAnsi="仿宋" w:eastAsia="仿宋" w:cs="宋体"/>
          <w:color w:val="333333"/>
          <w:kern w:val="0"/>
          <w:sz w:val="32"/>
          <w:szCs w:val="32"/>
          <w:u w:val="none"/>
        </w:rPr>
        <w:t>万元</w:t>
      </w:r>
      <w:r>
        <w:rPr>
          <w:rFonts w:hint="eastAsia" w:ascii="仿宋" w:hAnsi="仿宋" w:eastAsia="仿宋" w:cs="宋体"/>
          <w:color w:val="333333"/>
          <w:kern w:val="0"/>
          <w:sz w:val="32"/>
          <w:szCs w:val="32"/>
          <w:u w:val="none"/>
          <w:lang w:eastAsia="zh-CN"/>
        </w:rPr>
        <w:t>。</w:t>
      </w:r>
      <w:r>
        <w:rPr>
          <w:rFonts w:hint="eastAsia" w:ascii="仿宋" w:hAnsi="仿宋" w:eastAsia="仿宋" w:cs="宋体"/>
          <w:color w:val="333333"/>
          <w:kern w:val="0"/>
          <w:sz w:val="32"/>
          <w:szCs w:val="32"/>
          <w:u w:val="none"/>
        </w:rPr>
        <w:t>按经济科目划分，各项支出决算金额分别为：商品和服务支出</w:t>
      </w:r>
      <w:r>
        <w:rPr>
          <w:rFonts w:hint="eastAsia" w:ascii="仿宋" w:hAnsi="仿宋" w:eastAsia="仿宋" w:cs="宋体"/>
          <w:color w:val="333333"/>
          <w:kern w:val="0"/>
          <w:sz w:val="32"/>
          <w:szCs w:val="32"/>
          <w:u w:val="none"/>
          <w:lang w:val="en-US" w:eastAsia="zh-CN"/>
        </w:rPr>
        <w:t>314.7</w:t>
      </w:r>
      <w:r>
        <w:rPr>
          <w:rFonts w:hint="eastAsia" w:ascii="仿宋" w:hAnsi="仿宋" w:eastAsia="仿宋" w:cs="宋体"/>
          <w:color w:val="333333"/>
          <w:kern w:val="0"/>
          <w:sz w:val="32"/>
          <w:szCs w:val="32"/>
          <w:u w:val="none"/>
        </w:rPr>
        <w:t>万元；对个人和家庭的补助0万元，其他资本性支出0万元</w:t>
      </w:r>
      <w:r>
        <w:rPr>
          <w:rFonts w:hint="eastAsia" w:ascii="仿宋" w:hAnsi="仿宋" w:eastAsia="仿宋" w:cs="宋体"/>
          <w:color w:val="333333"/>
          <w:kern w:val="0"/>
          <w:sz w:val="32"/>
          <w:szCs w:val="32"/>
          <w:u w:val="none"/>
          <w:lang w:eastAsia="zh-CN"/>
        </w:rPr>
        <w:t>，</w:t>
      </w:r>
      <w:r>
        <w:rPr>
          <w:rFonts w:hint="eastAsia" w:ascii="仿宋" w:hAnsi="仿宋" w:eastAsia="仿宋" w:cs="宋体"/>
          <w:color w:val="333333"/>
          <w:kern w:val="0"/>
          <w:sz w:val="32"/>
          <w:szCs w:val="32"/>
          <w:u w:val="none"/>
          <w:lang w:val="en-US" w:eastAsia="zh-CN"/>
        </w:rPr>
        <w:t>项目</w:t>
      </w:r>
      <w:r>
        <w:rPr>
          <w:rFonts w:hint="eastAsia" w:ascii="仿宋" w:hAnsi="仿宋" w:eastAsia="仿宋" w:cs="宋体"/>
          <w:color w:val="333333"/>
          <w:kern w:val="0"/>
          <w:sz w:val="32"/>
          <w:szCs w:val="32"/>
          <w:u w:val="none"/>
        </w:rPr>
        <w:t>支出合计为</w:t>
      </w:r>
      <w:r>
        <w:rPr>
          <w:rFonts w:hint="eastAsia" w:ascii="仿宋" w:hAnsi="仿宋" w:eastAsia="仿宋" w:cs="宋体"/>
          <w:color w:val="333333"/>
          <w:kern w:val="0"/>
          <w:sz w:val="32"/>
          <w:szCs w:val="32"/>
          <w:u w:val="none"/>
          <w:lang w:val="en-US" w:eastAsia="zh-CN"/>
        </w:rPr>
        <w:t>314.7</w:t>
      </w:r>
      <w:r>
        <w:rPr>
          <w:rFonts w:hint="eastAsia" w:ascii="仿宋" w:hAnsi="仿宋" w:eastAsia="仿宋" w:cs="宋体"/>
          <w:color w:val="333333"/>
          <w:kern w:val="0"/>
          <w:sz w:val="32"/>
          <w:szCs w:val="32"/>
          <w:u w:val="none"/>
        </w:rPr>
        <w:t>万元。</w:t>
      </w:r>
    </w:p>
    <w:p w14:paraId="5310567D">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b/>
          <w:bCs/>
          <w:color w:val="333333"/>
          <w:kern w:val="0"/>
          <w:sz w:val="32"/>
          <w:szCs w:val="32"/>
        </w:rPr>
        <w:t>（三）绩效目标设立情况</w:t>
      </w:r>
    </w:p>
    <w:p w14:paraId="52D6D3CB">
      <w:pPr>
        <w:widowControl/>
        <w:shd w:val="clear" w:color="auto" w:fill="FFFFFF"/>
        <w:spacing w:line="554" w:lineRule="atLeast"/>
        <w:ind w:firstLine="640"/>
        <w:jc w:val="left"/>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我处根据国家、省、市旅游开发重点以及桃江县"十</w:t>
      </w:r>
      <w:r>
        <w:rPr>
          <w:rFonts w:hint="eastAsia" w:ascii="仿宋" w:hAnsi="仿宋" w:eastAsia="仿宋" w:cs="宋体"/>
          <w:color w:val="333333"/>
          <w:kern w:val="0"/>
          <w:sz w:val="32"/>
          <w:szCs w:val="32"/>
          <w:lang w:eastAsia="zh-CN"/>
        </w:rPr>
        <w:t>四</w:t>
      </w:r>
      <w:r>
        <w:rPr>
          <w:rFonts w:hint="eastAsia" w:ascii="仿宋" w:hAnsi="仿宋" w:eastAsia="仿宋" w:cs="宋体"/>
          <w:color w:val="333333"/>
          <w:kern w:val="0"/>
          <w:sz w:val="32"/>
          <w:szCs w:val="32"/>
        </w:rPr>
        <w:t>五"发展规划，结合单位实际，制定了森林公园2</w:t>
      </w:r>
      <w:r>
        <w:rPr>
          <w:rFonts w:hint="eastAsia" w:ascii="仿宋" w:hAnsi="仿宋" w:eastAsia="仿宋" w:cs="宋体"/>
          <w:color w:val="333333"/>
          <w:kern w:val="0"/>
          <w:sz w:val="32"/>
          <w:szCs w:val="32"/>
          <w:lang w:val="en-US" w:eastAsia="zh-CN"/>
        </w:rPr>
        <w:t>023</w:t>
      </w:r>
      <w:r>
        <w:rPr>
          <w:rFonts w:hint="eastAsia" w:ascii="仿宋" w:hAnsi="仿宋" w:eastAsia="仿宋" w:cs="宋体"/>
          <w:color w:val="333333"/>
          <w:kern w:val="0"/>
          <w:sz w:val="32"/>
          <w:szCs w:val="32"/>
        </w:rPr>
        <w:t>年重点工作，明确了具体绩效目标，制定了相关考核细则。下发了《桃花江国家森林公园管理处关于印发〈20</w:t>
      </w:r>
      <w:r>
        <w:rPr>
          <w:rFonts w:hint="eastAsia" w:ascii="仿宋" w:hAnsi="仿宋" w:eastAsia="仿宋" w:cs="宋体"/>
          <w:color w:val="333333"/>
          <w:kern w:val="0"/>
          <w:sz w:val="32"/>
          <w:szCs w:val="32"/>
          <w:lang w:val="en-US" w:eastAsia="zh-CN"/>
        </w:rPr>
        <w:t>23</w:t>
      </w:r>
      <w:r>
        <w:rPr>
          <w:rFonts w:hint="eastAsia" w:ascii="仿宋" w:hAnsi="仿宋" w:eastAsia="仿宋" w:cs="宋体"/>
          <w:color w:val="333333"/>
          <w:kern w:val="0"/>
          <w:sz w:val="32"/>
          <w:szCs w:val="32"/>
        </w:rPr>
        <w:t>年度工作目标绩效考核办法〉的通知》。重点工作均明确了牵头领导、牵头股室、责任单位和时间要求，确保了各项任务顺利完成。</w:t>
      </w:r>
    </w:p>
    <w:p w14:paraId="02D8782A">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b/>
          <w:bCs/>
          <w:color w:val="333333"/>
          <w:kern w:val="0"/>
          <w:sz w:val="32"/>
          <w:szCs w:val="32"/>
        </w:rPr>
        <w:t>二、部门整体支出管理及使用情况</w:t>
      </w:r>
    </w:p>
    <w:p w14:paraId="149EF6E1">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color w:val="333333"/>
          <w:kern w:val="0"/>
          <w:sz w:val="32"/>
          <w:szCs w:val="32"/>
        </w:rPr>
        <w:t>根据《会计法》、《预算法》、《行政单位财务规则》等法律和财政部及省财政厅有关财务规章的规定，我处制订了《财务管理制度》、《会计岗位职责》、《出纳岗位职责》，对会计和出纳作出明确规定；制订了《采购管理制度》、《财产清查制度》等，对资产的配置、处置、管理和清查进行了规范。严格控制三公经费，遵守会议费、差旅费、培训费、公务接待费、公车管理等相关规定，明确了相应原则和要求、开支范围、程序、办法及标准、审批权限等，上述制度规定基本得到执行。</w:t>
      </w:r>
    </w:p>
    <w:p w14:paraId="590966DE">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b/>
          <w:bCs/>
          <w:color w:val="333333"/>
          <w:kern w:val="0"/>
          <w:sz w:val="32"/>
          <w:szCs w:val="32"/>
        </w:rPr>
        <w:t>三、部门整体支出绩效情况</w:t>
      </w:r>
    </w:p>
    <w:p w14:paraId="4EB7F1BB">
      <w:pPr>
        <w:widowControl/>
        <w:shd w:val="clear" w:color="auto" w:fill="FFFFFF"/>
        <w:spacing w:line="554" w:lineRule="atLeast"/>
        <w:ind w:firstLine="640"/>
        <w:jc w:val="left"/>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森林公园管理处在财政资金使用方面严格执行预算计划，在有效的资金范围内全面完成各项工作任务，积极推动森林公园开发建设，取得事业成效如下：</w:t>
      </w:r>
    </w:p>
    <w:p w14:paraId="2DC403FE">
      <w:pPr>
        <w:widowControl/>
        <w:numPr>
          <w:ilvl w:val="0"/>
          <w:numId w:val="1"/>
        </w:numPr>
        <w:shd w:val="clear" w:color="auto" w:fill="FFFFFF"/>
        <w:spacing w:line="554" w:lineRule="atLeast"/>
        <w:ind w:firstLine="640"/>
        <w:jc w:val="left"/>
        <w:rPr>
          <w:rFonts w:ascii="微软雅黑" w:hAnsi="微软雅黑" w:eastAsia="微软雅黑" w:cs="微软雅黑"/>
          <w:i w:val="0"/>
          <w:iCs w:val="0"/>
          <w:caps w:val="0"/>
          <w:color w:val="333333"/>
          <w:spacing w:val="0"/>
          <w:sz w:val="24"/>
          <w:szCs w:val="24"/>
        </w:rPr>
      </w:pPr>
      <w:r>
        <w:rPr>
          <w:rFonts w:hint="eastAsia" w:ascii="仿宋" w:hAnsi="仿宋" w:eastAsia="仿宋" w:cs="宋体"/>
          <w:b/>
          <w:bCs/>
          <w:color w:val="333333"/>
          <w:kern w:val="0"/>
          <w:sz w:val="32"/>
          <w:szCs w:val="32"/>
        </w:rPr>
        <w:t>基本支出绩效情况</w:t>
      </w:r>
    </w:p>
    <w:p w14:paraId="61A9465B">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eastAsia" w:ascii="仿宋" w:hAnsi="仿宋" w:eastAsia="仿宋" w:cs="宋体"/>
          <w:color w:val="333333"/>
          <w:kern w:val="0"/>
          <w:sz w:val="32"/>
          <w:szCs w:val="32"/>
          <w:lang w:val="en-US" w:eastAsia="zh-CN" w:bidi="ar-SA"/>
        </w:rPr>
      </w:pPr>
      <w:r>
        <w:rPr>
          <w:rFonts w:hint="eastAsia" w:ascii="仿宋" w:hAnsi="仿宋" w:eastAsia="仿宋" w:cs="宋体"/>
          <w:color w:val="333333"/>
          <w:kern w:val="0"/>
          <w:sz w:val="32"/>
          <w:szCs w:val="32"/>
          <w:lang w:val="en-US" w:eastAsia="zh-CN" w:bidi="ar-SA"/>
        </w:rPr>
        <w:t>严控“三公”经费支出。森林公园在三公经费支出过程中，严格遵守各项规章制度，从严管理，厉行节约，有效落实上级有关精神，取得了良好效果。</w:t>
      </w:r>
    </w:p>
    <w:p w14:paraId="4DD587BC">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default" w:eastAsia="宋体"/>
          <w:lang w:val="en-US" w:eastAsia="zh-CN"/>
        </w:rPr>
      </w:pPr>
      <w:r>
        <w:rPr>
          <w:rFonts w:hint="eastAsia" w:ascii="仿宋" w:hAnsi="仿宋" w:eastAsia="仿宋" w:cs="宋体"/>
          <w:color w:val="333333"/>
          <w:kern w:val="0"/>
          <w:sz w:val="32"/>
          <w:szCs w:val="32"/>
          <w:lang w:val="en-US" w:eastAsia="zh-CN" w:bidi="ar-SA"/>
        </w:rPr>
        <w:t>注重日常管理维护，力保森林公园良好发展。落实森林防火工作责任制，严格联防联治、值班值守、巡查监管和野外用火管理。组建了防灭火半专业队伍，刷新和增设固定防火宣传牌6处、张贴宣传标语500张、悬挂横幅60条、出动宣传车上600百台/次，全年没有发生任何森林火警、火灾。加强与自然资源局、森林公安等部门沟通衔接，及时发现、查处各类安全隐患，确保了资源安全、景区安全、游客安全。着力提升生态旅游服务水平，重点加强林场景区的环境卫生、道路设施、游客服务等建设，投入并对二级机构林场进行旅游设施修复、植树造林、绿化补植等。</w:t>
      </w:r>
    </w:p>
    <w:p w14:paraId="11DEFCB7">
      <w:pPr>
        <w:wordWrap/>
        <w:adjustRightInd/>
        <w:snapToGrid/>
        <w:spacing w:line="540" w:lineRule="exact"/>
        <w:ind w:firstLine="640" w:firstLineChars="200"/>
        <w:textAlignment w:val="auto"/>
        <w:rPr>
          <w:rFonts w:hint="default" w:ascii="仿宋" w:hAnsi="仿宋" w:eastAsia="仿宋" w:cs="宋体"/>
          <w:color w:val="333333"/>
          <w:kern w:val="0"/>
          <w:sz w:val="32"/>
          <w:szCs w:val="32"/>
          <w:lang w:val="en-US" w:eastAsia="zh-CN" w:bidi="ar-SA"/>
        </w:rPr>
      </w:pPr>
      <w:r>
        <w:rPr>
          <w:rFonts w:hint="eastAsia" w:ascii="仿宋" w:hAnsi="仿宋" w:eastAsia="仿宋" w:cs="宋体"/>
          <w:color w:val="333333"/>
          <w:kern w:val="0"/>
          <w:sz w:val="32"/>
          <w:szCs w:val="32"/>
          <w:lang w:val="en-US" w:eastAsia="zh-CN" w:bidi="ar-SA"/>
        </w:rPr>
        <w:t>3.</w:t>
      </w:r>
      <w:r>
        <w:rPr>
          <w:rFonts w:hint="eastAsia" w:ascii="仿宋" w:hAnsi="仿宋" w:eastAsia="仿宋" w:cs="宋体"/>
          <w:color w:val="333333"/>
          <w:kern w:val="0"/>
          <w:sz w:val="32"/>
          <w:szCs w:val="32"/>
          <w:lang w:val="en-US" w:eastAsia="zh-CN" w:bidi="ar-SA"/>
        </w:rPr>
        <w:t>目标管理方面，内部财务管理制度健全，制定了工作目标与项目质量要求标准；专项资金专款专用，支出报销审批手续完备，资金拨付审批程序完整；全面完成了年初工作计划，重大事项或者项目的重大调整经过了集体研究，并经常开展财务检查和工作督查落实。</w:t>
      </w:r>
    </w:p>
    <w:p w14:paraId="722CFA65">
      <w:pPr>
        <w:widowControl/>
        <w:shd w:val="clear" w:color="auto" w:fill="FFFFFF"/>
        <w:spacing w:line="554" w:lineRule="atLeast"/>
        <w:ind w:firstLine="640"/>
        <w:jc w:val="left"/>
        <w:rPr>
          <w:rFonts w:hint="eastAsia" w:ascii="仿宋" w:hAnsi="仿宋" w:eastAsia="仿宋" w:cs="宋体"/>
          <w:b/>
          <w:bCs/>
          <w:color w:val="333333"/>
          <w:kern w:val="0"/>
          <w:sz w:val="32"/>
          <w:szCs w:val="32"/>
        </w:rPr>
      </w:pPr>
      <w:r>
        <w:rPr>
          <w:rFonts w:hint="eastAsia" w:ascii="仿宋" w:hAnsi="仿宋" w:eastAsia="仿宋" w:cs="宋体"/>
          <w:b/>
          <w:bCs/>
          <w:color w:val="333333"/>
          <w:kern w:val="0"/>
          <w:sz w:val="32"/>
          <w:szCs w:val="32"/>
        </w:rPr>
        <w:t>（</w:t>
      </w:r>
      <w:r>
        <w:rPr>
          <w:rFonts w:hint="eastAsia" w:ascii="仿宋" w:hAnsi="仿宋" w:eastAsia="仿宋" w:cs="宋体"/>
          <w:b/>
          <w:bCs/>
          <w:color w:val="333333"/>
          <w:kern w:val="0"/>
          <w:sz w:val="32"/>
          <w:szCs w:val="32"/>
          <w:lang w:val="en-US" w:eastAsia="zh-CN"/>
        </w:rPr>
        <w:t>二</w:t>
      </w:r>
      <w:r>
        <w:rPr>
          <w:rFonts w:hint="eastAsia" w:ascii="仿宋" w:hAnsi="仿宋" w:eastAsia="仿宋" w:cs="宋体"/>
          <w:b/>
          <w:bCs/>
          <w:color w:val="333333"/>
          <w:kern w:val="0"/>
          <w:sz w:val="32"/>
          <w:szCs w:val="32"/>
        </w:rPr>
        <w:t>）</w:t>
      </w:r>
      <w:r>
        <w:rPr>
          <w:rFonts w:hint="eastAsia" w:ascii="仿宋" w:hAnsi="仿宋" w:eastAsia="仿宋" w:cs="宋体"/>
          <w:b/>
          <w:bCs/>
          <w:color w:val="333333"/>
          <w:kern w:val="0"/>
          <w:sz w:val="32"/>
          <w:szCs w:val="32"/>
          <w:lang w:val="en-US" w:eastAsia="zh-CN"/>
        </w:rPr>
        <w:t>项目</w:t>
      </w:r>
      <w:r>
        <w:rPr>
          <w:rFonts w:hint="eastAsia" w:ascii="仿宋" w:hAnsi="仿宋" w:eastAsia="仿宋" w:cs="宋体"/>
          <w:b/>
          <w:bCs/>
          <w:color w:val="333333"/>
          <w:kern w:val="0"/>
          <w:sz w:val="32"/>
          <w:szCs w:val="32"/>
        </w:rPr>
        <w:t>支出绩效情况</w:t>
      </w:r>
    </w:p>
    <w:p w14:paraId="02D3EFC1">
      <w:pPr>
        <w:pStyle w:val="8"/>
        <w:spacing w:before="0" w:beforeAutospacing="0" w:after="2" w:afterAutospacing="0"/>
        <w:ind w:left="0" w:firstLine="640"/>
        <w:rPr>
          <w:rFonts w:hint="eastAsia" w:ascii="仿宋" w:hAnsi="仿宋" w:eastAsia="仿宋" w:cs="宋体"/>
          <w:color w:val="333333"/>
          <w:kern w:val="0"/>
          <w:sz w:val="32"/>
          <w:szCs w:val="32"/>
          <w:lang w:val="en-US" w:eastAsia="zh-CN" w:bidi="ar-SA"/>
        </w:rPr>
      </w:pPr>
      <w:r>
        <w:rPr>
          <w:rFonts w:hint="eastAsia" w:ascii="仿宋" w:hAnsi="仿宋" w:eastAsia="仿宋" w:cs="宋体"/>
          <w:color w:val="333333"/>
          <w:kern w:val="0"/>
          <w:sz w:val="32"/>
          <w:szCs w:val="32"/>
          <w:lang w:val="en-US" w:eastAsia="zh-CN" w:bidi="ar-SA"/>
        </w:rPr>
        <w:t>项目全年预算数为0万元，执行数为314.7万元，超出预算的100%。项目绩效目标完成情况：一是未出现重大资源减少；二是社会效益与生态效益显著提升，群众满意度较高。</w:t>
      </w:r>
    </w:p>
    <w:p w14:paraId="79613A49">
      <w:pPr>
        <w:ind w:firstLine="640" w:firstLineChars="200"/>
        <w:rPr>
          <w:rFonts w:hint="default" w:ascii="仿宋" w:hAnsi="仿宋" w:eastAsia="仿宋" w:cs="宋体"/>
          <w:color w:val="333333"/>
          <w:kern w:val="0"/>
          <w:sz w:val="32"/>
          <w:szCs w:val="32"/>
          <w:lang w:val="en-US" w:eastAsia="zh-CN" w:bidi="ar-SA"/>
        </w:rPr>
      </w:pPr>
      <w:r>
        <w:rPr>
          <w:rFonts w:hint="eastAsia" w:ascii="仿宋" w:hAnsi="仿宋" w:eastAsia="仿宋" w:cs="宋体"/>
          <w:color w:val="333333"/>
          <w:kern w:val="0"/>
          <w:sz w:val="32"/>
          <w:szCs w:val="32"/>
          <w:lang w:val="en-US" w:eastAsia="zh-CN" w:bidi="ar-SA"/>
        </w:rPr>
        <w:t>2023年我处中央、省级、县级乡村振兴资金总收入为314.7万元。其中（1）中央乡村振兴资金120万元；（2）森林防火补助资金10万元；（3）植被恢复费资金15万元；（4）停伐补助资金8万元；（5）退役军人医社保补助20.62万元；（6）非税收入137万元；（7）丧葬抚恤费2.65万元；（8）引进人才生活补贴1.43万元。</w:t>
      </w:r>
    </w:p>
    <w:p w14:paraId="5D3B41C9">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b/>
          <w:bCs/>
          <w:color w:val="333333"/>
          <w:kern w:val="0"/>
          <w:sz w:val="32"/>
          <w:szCs w:val="32"/>
        </w:rPr>
        <w:t>四、存在的</w:t>
      </w:r>
      <w:bookmarkStart w:id="0" w:name="_GoBack"/>
      <w:bookmarkEnd w:id="0"/>
      <w:r>
        <w:rPr>
          <w:rFonts w:hint="eastAsia" w:ascii="仿宋" w:hAnsi="仿宋" w:eastAsia="仿宋" w:cs="宋体"/>
          <w:b/>
          <w:bCs/>
          <w:color w:val="333333"/>
          <w:kern w:val="0"/>
          <w:sz w:val="32"/>
          <w:szCs w:val="32"/>
        </w:rPr>
        <w:t>主要问题</w:t>
      </w:r>
    </w:p>
    <w:p w14:paraId="67CC56AC">
      <w:pPr>
        <w:widowControl/>
        <w:shd w:val="clear" w:color="auto" w:fill="FFFFFF"/>
        <w:spacing w:line="554" w:lineRule="atLeast"/>
        <w:ind w:firstLine="640"/>
        <w:jc w:val="left"/>
        <w:rPr>
          <w:rFonts w:hint="eastAsia" w:ascii="宋体" w:hAnsi="宋体" w:eastAsia="宋体" w:cs="宋体"/>
          <w:color w:val="000000"/>
          <w:kern w:val="2"/>
          <w:sz w:val="32"/>
          <w:szCs w:val="32"/>
          <w:lang w:val="en-US" w:eastAsia="zh-CN" w:bidi="ar"/>
        </w:rPr>
      </w:pPr>
      <w:r>
        <w:rPr>
          <w:rFonts w:hint="eastAsia" w:ascii="仿宋" w:hAnsi="仿宋" w:eastAsia="仿宋" w:cs="宋体"/>
          <w:b/>
          <w:bCs/>
          <w:color w:val="333333"/>
          <w:kern w:val="0"/>
          <w:sz w:val="32"/>
          <w:szCs w:val="32"/>
          <w:lang w:val="en-US" w:eastAsia="zh-CN"/>
        </w:rPr>
        <w:t>1.经济效益不明显。</w:t>
      </w:r>
      <w:r>
        <w:rPr>
          <w:rFonts w:hint="eastAsia" w:ascii="仿宋" w:hAnsi="仿宋" w:eastAsia="仿宋" w:cs="宋体"/>
          <w:color w:val="333333"/>
          <w:kern w:val="0"/>
          <w:sz w:val="32"/>
          <w:szCs w:val="32"/>
        </w:rPr>
        <w:t>资产配置和资产管理</w:t>
      </w:r>
      <w:r>
        <w:rPr>
          <w:rFonts w:hint="eastAsia" w:ascii="仿宋" w:hAnsi="仿宋" w:eastAsia="仿宋" w:cs="宋体"/>
          <w:color w:val="333333"/>
          <w:kern w:val="0"/>
          <w:sz w:val="32"/>
          <w:szCs w:val="32"/>
          <w:lang w:val="en-US" w:eastAsia="zh-CN"/>
        </w:rPr>
        <w:t>未</w:t>
      </w:r>
      <w:r>
        <w:rPr>
          <w:rFonts w:hint="eastAsia" w:ascii="仿宋" w:hAnsi="仿宋" w:eastAsia="仿宋" w:cs="宋体"/>
          <w:color w:val="333333"/>
          <w:kern w:val="0"/>
          <w:sz w:val="32"/>
          <w:szCs w:val="32"/>
        </w:rPr>
        <w:t>优化，</w:t>
      </w:r>
      <w:r>
        <w:rPr>
          <w:rFonts w:hint="eastAsia" w:ascii="仿宋" w:hAnsi="仿宋" w:eastAsia="仿宋" w:cs="宋体"/>
          <w:color w:val="333333"/>
          <w:kern w:val="0"/>
          <w:sz w:val="32"/>
          <w:szCs w:val="32"/>
          <w:lang w:val="en-US" w:eastAsia="zh-CN"/>
        </w:rPr>
        <w:t>未</w:t>
      </w:r>
      <w:r>
        <w:rPr>
          <w:rFonts w:hint="eastAsia" w:ascii="仿宋" w:hAnsi="仿宋" w:eastAsia="仿宋" w:cs="宋体"/>
          <w:color w:val="333333"/>
          <w:kern w:val="0"/>
          <w:sz w:val="32"/>
          <w:szCs w:val="32"/>
        </w:rPr>
        <w:t>充分发挥资产的利用价值</w:t>
      </w:r>
      <w:r>
        <w:rPr>
          <w:rFonts w:hint="eastAsia" w:ascii="宋体" w:hAnsi="宋体" w:eastAsia="宋体" w:cs="宋体"/>
          <w:color w:val="000000"/>
          <w:kern w:val="2"/>
          <w:sz w:val="32"/>
          <w:szCs w:val="32"/>
          <w:lang w:val="en-US" w:eastAsia="zh-CN" w:bidi="ar"/>
        </w:rPr>
        <w:t>。</w:t>
      </w:r>
    </w:p>
    <w:p w14:paraId="5051713D">
      <w:pPr>
        <w:widowControl/>
        <w:shd w:val="clear" w:color="auto" w:fill="FFFFFF"/>
        <w:spacing w:line="554" w:lineRule="atLeast"/>
        <w:ind w:firstLine="640"/>
        <w:jc w:val="left"/>
        <w:rPr>
          <w:rFonts w:hint="default" w:ascii="仿宋" w:hAnsi="仿宋" w:eastAsia="仿宋" w:cs="宋体"/>
          <w:color w:val="333333"/>
          <w:kern w:val="0"/>
          <w:sz w:val="32"/>
          <w:szCs w:val="32"/>
          <w:lang w:val="en-US" w:eastAsia="zh-CN"/>
        </w:rPr>
      </w:pPr>
      <w:r>
        <w:rPr>
          <w:rFonts w:hint="eastAsia" w:ascii="宋体" w:hAnsi="宋体" w:cs="宋体"/>
          <w:color w:val="000000"/>
          <w:kern w:val="2"/>
          <w:sz w:val="32"/>
          <w:szCs w:val="32"/>
          <w:lang w:val="en-US" w:eastAsia="zh-CN" w:bidi="ar"/>
        </w:rPr>
        <w:t>2.</w:t>
      </w:r>
      <w:r>
        <w:rPr>
          <w:rFonts w:hint="eastAsia" w:ascii="仿宋" w:hAnsi="仿宋" w:eastAsia="仿宋" w:cs="宋体"/>
          <w:b/>
          <w:bCs/>
          <w:color w:val="333333"/>
          <w:kern w:val="0"/>
          <w:sz w:val="32"/>
          <w:szCs w:val="32"/>
          <w:lang w:val="en-US" w:eastAsia="zh-CN"/>
        </w:rPr>
        <w:t>绩效使用存在偏差</w:t>
      </w:r>
      <w:r>
        <w:rPr>
          <w:rFonts w:hint="eastAsia" w:ascii="宋体" w:hAnsi="宋体" w:cs="宋体"/>
          <w:color w:val="000000"/>
          <w:kern w:val="2"/>
          <w:sz w:val="32"/>
          <w:szCs w:val="32"/>
          <w:lang w:val="en-US" w:eastAsia="zh-CN" w:bidi="ar"/>
        </w:rPr>
        <w:t>。</w:t>
      </w:r>
      <w:r>
        <w:rPr>
          <w:rFonts w:hint="eastAsia" w:ascii="仿宋" w:hAnsi="仿宋" w:eastAsia="仿宋" w:cs="宋体"/>
          <w:color w:val="333333"/>
          <w:kern w:val="0"/>
          <w:sz w:val="32"/>
          <w:szCs w:val="32"/>
          <w:lang w:val="en-US" w:eastAsia="zh-CN"/>
        </w:rPr>
        <w:t>专项资金金额不大，无法完整完成项目建设目的。</w:t>
      </w:r>
    </w:p>
    <w:p w14:paraId="32D43735">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b/>
          <w:bCs/>
          <w:color w:val="333333"/>
          <w:kern w:val="0"/>
          <w:sz w:val="32"/>
          <w:szCs w:val="32"/>
        </w:rPr>
        <w:t>五、改进措施和有关建议</w:t>
      </w:r>
    </w:p>
    <w:p w14:paraId="48F6396E">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b/>
          <w:bCs/>
          <w:color w:val="333333"/>
          <w:kern w:val="0"/>
          <w:sz w:val="32"/>
          <w:szCs w:val="32"/>
        </w:rPr>
        <w:t>1、科学合理预算。</w:t>
      </w:r>
      <w:r>
        <w:rPr>
          <w:rFonts w:hint="eastAsia" w:ascii="仿宋" w:hAnsi="仿宋" w:eastAsia="仿宋" w:cs="宋体"/>
          <w:color w:val="333333"/>
          <w:kern w:val="0"/>
          <w:sz w:val="32"/>
          <w:szCs w:val="32"/>
        </w:rPr>
        <w:t>按照《预算法》的相关规定，参考上一年的预算执行情况和本年度的绩效目标科学编制预算，避免年中大幅追加以及超预算，尽可能缩小预算调整率，提高政府采购执行率，提高预算编制的准确性。在预算执行中，严格按照预算项目支出，尽量避免预算项目间的资金调剂。</w:t>
      </w:r>
    </w:p>
    <w:p w14:paraId="6CCB9025">
      <w:pPr>
        <w:widowControl/>
        <w:shd w:val="clear" w:color="auto" w:fill="FFFFFF"/>
        <w:spacing w:line="554" w:lineRule="atLeast"/>
        <w:ind w:firstLine="640"/>
        <w:jc w:val="left"/>
        <w:rPr>
          <w:rFonts w:hint="eastAsia" w:ascii="微软雅黑" w:hAnsi="微软雅黑" w:eastAsia="微软雅黑" w:cs="宋体"/>
          <w:color w:val="333333"/>
          <w:kern w:val="0"/>
          <w:sz w:val="30"/>
          <w:szCs w:val="30"/>
        </w:rPr>
      </w:pPr>
      <w:r>
        <w:rPr>
          <w:rFonts w:hint="eastAsia" w:ascii="仿宋" w:hAnsi="仿宋" w:eastAsia="仿宋" w:cs="宋体"/>
          <w:b/>
          <w:bCs/>
          <w:color w:val="333333"/>
          <w:kern w:val="0"/>
          <w:sz w:val="32"/>
          <w:szCs w:val="32"/>
        </w:rPr>
        <w:t>2、继续加强制度建设。</w:t>
      </w:r>
      <w:r>
        <w:rPr>
          <w:rFonts w:hint="eastAsia" w:ascii="仿宋" w:hAnsi="仿宋" w:eastAsia="仿宋" w:cs="宋体"/>
          <w:color w:val="333333"/>
          <w:kern w:val="0"/>
          <w:sz w:val="32"/>
          <w:szCs w:val="32"/>
        </w:rPr>
        <w:t>根据实际情况不断完善管理制度，强化单位内部控制，在实际执行过程中，从严要求，保证各指标不超标。</w:t>
      </w:r>
    </w:p>
    <w:p w14:paraId="7605B07F">
      <w:pPr>
        <w:widowControl/>
        <w:shd w:val="clear" w:color="auto" w:fill="FFFFFF"/>
        <w:spacing w:line="554" w:lineRule="atLeast"/>
        <w:ind w:firstLine="640"/>
        <w:jc w:val="left"/>
        <w:rPr>
          <w:rFonts w:hint="eastAsia" w:ascii="仿宋" w:hAnsi="仿宋" w:eastAsia="仿宋" w:cs="宋体"/>
          <w:color w:val="333333"/>
          <w:kern w:val="0"/>
          <w:sz w:val="32"/>
          <w:szCs w:val="32"/>
          <w:lang w:val="en-US" w:eastAsia="zh-CN"/>
        </w:rPr>
      </w:pPr>
      <w:r>
        <w:rPr>
          <w:rFonts w:hint="eastAsia" w:ascii="仿宋" w:hAnsi="仿宋" w:eastAsia="仿宋" w:cs="宋体"/>
          <w:b/>
          <w:bCs/>
          <w:color w:val="333333"/>
          <w:kern w:val="0"/>
          <w:sz w:val="32"/>
          <w:szCs w:val="32"/>
        </w:rPr>
        <w:t>3、提高财务管理水平</w:t>
      </w:r>
      <w:r>
        <w:rPr>
          <w:rFonts w:hint="eastAsia" w:ascii="仿宋" w:hAnsi="仿宋" w:eastAsia="仿宋" w:cs="宋体"/>
          <w:color w:val="333333"/>
          <w:kern w:val="0"/>
          <w:sz w:val="32"/>
          <w:szCs w:val="32"/>
        </w:rPr>
        <w:t>。建议财政部门，加强对各单位财务管理方面的指导，帮助和督促单位提高财务管理水平</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lang w:val="en-US" w:eastAsia="zh-CN"/>
        </w:rPr>
        <w:t>申报项目会集中力量，将有效的资金投入最迫切的地方。</w:t>
      </w:r>
    </w:p>
    <w:p w14:paraId="0C2F8919">
      <w:pPr>
        <w:widowControl/>
        <w:spacing w:line="594" w:lineRule="exact"/>
        <w:jc w:val="left"/>
        <w:rPr>
          <w:rFonts w:eastAsia="黑体"/>
          <w:bCs/>
          <w:kern w:val="0"/>
          <w:szCs w:val="32"/>
        </w:rPr>
      </w:pPr>
    </w:p>
    <w:p w14:paraId="55B76E8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8BEDD"/>
    <w:multiLevelType w:val="singleLevel"/>
    <w:tmpl w:val="DFB8BEDD"/>
    <w:lvl w:ilvl="0" w:tentative="0">
      <w:start w:val="1"/>
      <w:numFmt w:val="decimal"/>
      <w:lvlText w:val="%1."/>
      <w:lvlJc w:val="left"/>
      <w:pPr>
        <w:tabs>
          <w:tab w:val="left" w:pos="312"/>
        </w:tabs>
      </w:pPr>
    </w:lvl>
  </w:abstractNum>
  <w:abstractNum w:abstractNumId="1">
    <w:nsid w:val="1C50C211"/>
    <w:multiLevelType w:val="singleLevel"/>
    <w:tmpl w:val="1C50C21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hMWEyMzAwMzUyZWJmMzc0ZjQ4ODUyYmJhZmZiYzMifQ=="/>
  </w:docVars>
  <w:rsids>
    <w:rsidRoot w:val="25827F8B"/>
    <w:rsid w:val="030264AE"/>
    <w:rsid w:val="05257DE5"/>
    <w:rsid w:val="08C2594B"/>
    <w:rsid w:val="099E1F14"/>
    <w:rsid w:val="18E45469"/>
    <w:rsid w:val="22625D7D"/>
    <w:rsid w:val="25827F8B"/>
    <w:rsid w:val="2F2E6FE6"/>
    <w:rsid w:val="2F454A5C"/>
    <w:rsid w:val="309A1997"/>
    <w:rsid w:val="330054D0"/>
    <w:rsid w:val="42733236"/>
    <w:rsid w:val="43B9736F"/>
    <w:rsid w:val="48174664"/>
    <w:rsid w:val="4A3B288C"/>
    <w:rsid w:val="4F2935FA"/>
    <w:rsid w:val="5878114F"/>
    <w:rsid w:val="58CA7BFC"/>
    <w:rsid w:val="617C3A5E"/>
    <w:rsid w:val="6AF55A7F"/>
    <w:rsid w:val="6B923E7E"/>
    <w:rsid w:val="6EE64C0C"/>
    <w:rsid w:val="73586F2F"/>
    <w:rsid w:val="74055B35"/>
    <w:rsid w:val="760140DA"/>
    <w:rsid w:val="795D5ACB"/>
    <w:rsid w:val="7D855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9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6193</Words>
  <Characters>6487</Characters>
  <Lines>0</Lines>
  <Paragraphs>0</Paragraphs>
  <TotalTime>0</TotalTime>
  <ScaleCrop>false</ScaleCrop>
  <LinksUpToDate>false</LinksUpToDate>
  <CharactersWithSpaces>6747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2022-11-14T03:09:00Z</dcterms:created>
  <dc:creator>vanessa</dc:creator>
  <cp:lastModifiedBy>vanessa</cp:lastModifiedBy>
  <dcterms:modified xsi:type="dcterms:W3CDTF">2024-11-07T07:49:31Z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ADD31B05F999434F9EF9C2C3EAB78C81_13</vt:lpwstr>
  </property>
</Properties>
</file>