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spacing w:line="586" w:lineRule="exact"/>
        <w:ind w:firstLine="649" w:firstLineChars="147"/>
        <w:jc w:val="center"/>
        <w:rPr>
          <w:rFonts w:hint="eastAsia" w:ascii="楷体_GB2312" w:eastAsia="楷体_GB2312" w:cs="Times New Roman"/>
          <w:b/>
          <w:sz w:val="44"/>
          <w:szCs w:val="44"/>
          <w:lang w:eastAsia="zh-CN"/>
        </w:rPr>
      </w:pPr>
      <w:r>
        <w:rPr>
          <w:rFonts w:hint="eastAsia" w:ascii="楷体_GB2312" w:eastAsia="楷体_GB2312" w:cs="Times New Roman"/>
          <w:b/>
          <w:sz w:val="44"/>
          <w:szCs w:val="44"/>
          <w:lang w:eastAsia="zh-CN"/>
        </w:rPr>
        <w:t>桃江县乡村振兴局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spacing w:line="586" w:lineRule="exact"/>
        <w:ind w:firstLine="649" w:firstLineChars="147"/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 w:cs="Times New Roman"/>
          <w:b/>
          <w:sz w:val="44"/>
          <w:szCs w:val="44"/>
        </w:rPr>
        <w:t>20</w:t>
      </w:r>
      <w:r>
        <w:rPr>
          <w:rFonts w:hint="eastAsia" w:ascii="楷体_GB2312" w:eastAsia="楷体_GB2312" w:cs="Times New Roman"/>
          <w:b/>
          <w:sz w:val="44"/>
          <w:szCs w:val="44"/>
          <w:lang w:val="en-US" w:eastAsia="zh-CN"/>
        </w:rPr>
        <w:t>23</w:t>
      </w:r>
      <w:r>
        <w:rPr>
          <w:rFonts w:hint="eastAsia" w:ascii="楷体_GB2312" w:eastAsia="楷体_GB2312" w:cs="Times New Roman"/>
          <w:b/>
          <w:sz w:val="44"/>
          <w:szCs w:val="44"/>
        </w:rPr>
        <w:t>年部门整体支出绩效报告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加强财政支出的监督管理，规范支出预算执行，提高财政资金使用效益，切实发挥财政资金资源配置作用，全面推行预算绩效管理，根据《桃江县财政局关于开展2023年度财政资金绩效自评工作的通知》（桃财监〔2024〕51号）的要求，我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对20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年度财政性资金整体使用情况进行了绩效自评，现将有关情况报告如下：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一、部门概况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（一）部门基本情况（包括部门的在职人员情况、机构设置、主要职能及重点工作计划等）。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1.机构设置及人员构成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桃江县乡村振兴局，为</w:t>
      </w:r>
      <w:r>
        <w:rPr>
          <w:rFonts w:hint="eastAsia" w:ascii="仿宋_GB2312" w:eastAsia="仿宋_GB2312" w:cs="Times New Roman"/>
          <w:sz w:val="32"/>
          <w:szCs w:val="32"/>
        </w:rPr>
        <w:t>一级预算单位。核定人员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行政</w:t>
      </w:r>
      <w:r>
        <w:rPr>
          <w:rFonts w:hint="eastAsia" w:ascii="仿宋_GB2312" w:eastAsia="仿宋_GB2312" w:cs="Times New Roman"/>
          <w:sz w:val="32"/>
          <w:szCs w:val="32"/>
        </w:rPr>
        <w:t>编制数10人，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机关工勤编制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1人，事业编制10人。</w:t>
      </w:r>
      <w:r>
        <w:rPr>
          <w:rFonts w:hint="eastAsia" w:ascii="仿宋_GB2312" w:eastAsia="仿宋_GB2312" w:cs="Times New Roman"/>
          <w:sz w:val="32"/>
          <w:szCs w:val="32"/>
        </w:rPr>
        <w:t>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Times New Roman"/>
          <w:sz w:val="32"/>
          <w:szCs w:val="32"/>
        </w:rPr>
        <w:t>年实有工作人员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Times New Roman"/>
          <w:sz w:val="32"/>
          <w:szCs w:val="32"/>
        </w:rPr>
        <w:t>人（其中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在编在岗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Times New Roman"/>
          <w:sz w:val="32"/>
          <w:szCs w:val="32"/>
        </w:rPr>
        <w:t>人，由于工作需要，从其他单位抽调了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sz w:val="32"/>
          <w:szCs w:val="32"/>
        </w:rPr>
        <w:t>人到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局村振兴局</w:t>
      </w:r>
      <w:r>
        <w:rPr>
          <w:rFonts w:hint="eastAsia" w:ascii="仿宋_GB2312" w:eastAsia="仿宋_GB2312" w:cs="Times New Roman"/>
          <w:sz w:val="32"/>
          <w:szCs w:val="32"/>
        </w:rPr>
        <w:t>集中办公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），</w:t>
      </w:r>
      <w:r>
        <w:rPr>
          <w:rFonts w:hint="eastAsia" w:ascii="仿宋_GB2312" w:eastAsia="仿宋_GB2312" w:cs="Times New Roman"/>
          <w:sz w:val="32"/>
          <w:szCs w:val="32"/>
        </w:rPr>
        <w:t>他们的基本工资由原单位发放，出差补助，伙食补助，法定节日补助，绩效考核奖励等由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局村振兴局</w:t>
      </w:r>
      <w:r>
        <w:rPr>
          <w:rFonts w:hint="eastAsia" w:ascii="仿宋_GB2312" w:eastAsia="仿宋_GB2312" w:cs="Times New Roman"/>
          <w:sz w:val="32"/>
          <w:szCs w:val="32"/>
        </w:rPr>
        <w:t>发放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，他们的工作经费由县局村振兴局保障。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2.主要职能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桃江县乡村振兴局隶属桃江县人民政府辖下的正科级行政单位，单位统一社会信用代码为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11430922MB17219344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，办公地点设桃江县谷山路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107号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。其主要职责为：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 xml:space="preserve">（一）负责组织、协调、指导全县局村振兴工作。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 xml:space="preserve">（二）负责拟定全县局村振兴战略、中长期规划和全县局村振兴的政策、措施和规范性文件；负责制定各类专项规划和年度计划，并组织实施和监督检查；负责协调解决扶贫开发工作中的重大问题。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 xml:space="preserve">（三）负责组织开展全县局村振兴工作，动态调整和贫困监测工作。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 xml:space="preserve">（四）根据相关规定协调管理中央、省、市和县级财政衔接资金；会同有关部门研究拟定全县局村振兴专项资金分配方案，指导监督和检查扶贫资金的使用；负责组织财政衔接资金项目的规划、设计、论证、筛选、审批和组织实施；负责局村振兴项目库建设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 xml:space="preserve">（五）负责制定全县局村振兴科技推广和培训计划；组织指导局村振兴有关培训工作；负责局村振兴有关的信息和宣传工作。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 xml:space="preserve">（六）协助指导全县驻村帮扶和结对帮扶工作、扶贫协作和对口支援工作。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 xml:space="preserve">（七）负责并协调局村振兴工作，涉贫信访和舆情处置。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 xml:space="preserve">（八）负责组织全县局村振兴调研、督查、考核工作。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 xml:space="preserve">（九）负责县局村振兴领导小组的日常工作和交办的其他事项。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 xml:space="preserve">（十）负责指导、协调全县局村振兴工作。指导有关局村振兴的项目的实施和管理。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（十一）承办县委、县人民政府交办的其他事项。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（二）部门整体支出规模、使用方向和主要内容、涉及范围等。</w:t>
      </w:r>
    </w:p>
    <w:p>
      <w:pPr>
        <w:widowControl/>
        <w:shd w:val="clear" w:color="auto" w:fill="FFFFFF"/>
        <w:spacing w:before="150" w:after="2" w:line="540" w:lineRule="atLeast"/>
        <w:ind w:firstLine="641"/>
        <w:jc w:val="left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50" w:after="2" w:line="540" w:lineRule="exact"/>
        <w:ind w:firstLine="641"/>
        <w:jc w:val="left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桃江县乡村振兴局2023年度收入合计3818.47万元，其中：财政拨款收入3818.47万元，占100%；上级补助收入0万元，占0%；事业收入0万元，占0%；经营收入0万元，占0%；附属单位上缴收入0万元，占0%；其他收入0万元，占0%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221.21万元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是为保障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机关日常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正常运转、完成日常工作任务而发生的各项支出，主要包括：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181.77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85.65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：基本工资、津贴补贴、奖金、伙食补助费、绩效工资、机关事业单位基本养老保险缴费、职业年金缴费、职工基本医疗保险缴费、其他社会保障缴费、住房公积金、其他工资福利支出、抚恤金、生活补助、医疗费补助、其他对个人和家庭的补助。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13.35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%，主要包括：办公费、印刷费、水费、电费、物业管理费、差旅费、维修（护）费、公务接待费、劳务费、工会经费、其他商品和服务支出。</w:t>
      </w:r>
    </w:p>
    <w:p>
      <w:pPr>
        <w:numPr>
          <w:ilvl w:val="0"/>
          <w:numId w:val="0"/>
        </w:numPr>
        <w:ind w:leftChars="200"/>
        <w:rPr>
          <w:rFonts w:hint="eastAsia" w:eastAsia="宋体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项目支出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3597.26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其他巩固脱贫攻坚成果衔接乡村振兴支出2129.9万元，防贫综合保险426.06万元，农村基础设施建设卫生厕所建设和农村公共厕所建设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highlight w:val="none"/>
          <w:lang w:val="en-US" w:eastAsia="zh-CN"/>
        </w:rPr>
        <w:t>588.75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highlight w:val="none"/>
        </w:rPr>
        <w:t>万元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新（改）户用厕所支出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highlight w:val="none"/>
          <w:lang w:val="en-US" w:eastAsia="zh-CN"/>
        </w:rPr>
        <w:t>278.38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highlight w:val="none"/>
        </w:rPr>
        <w:t>万元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其他文化旅游体育与传媒支出1万元，农林水支出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lang w:val="en-US" w:eastAsia="zh-CN"/>
        </w:rPr>
        <w:t>173.17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</w:rPr>
        <w:t>万元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（三）项目绩效目标设立情况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中央、省、市、县各级财政安排，2023年度项目资金决算3597.27万元，分产业扶贫、农村基础设施建设、扶贫小额信贷贴息、雨露计划、扶贫特惠保、致富带头人培训、对口帮扶等项目，项目决策具有规范性、合理性、明确性，资金预算已分配到局镇或项目实施单位，并制定了年度绩效目标.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二、部门整体支出管理及使用情况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（一）基本支出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1、基本支出的主要用途、范围等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基本支出的范围和主要用途包括机关的人员经费和日常公用经费。主要用于全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Times New Roman"/>
          <w:sz w:val="32"/>
          <w:szCs w:val="32"/>
        </w:rPr>
        <w:t>名在职行政事业单位工作人员工资、津补贴、绩效工资、目标考核奖及医保、伙食费补助等方面的开支和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sz w:val="32"/>
          <w:szCs w:val="32"/>
        </w:rPr>
        <w:t>名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跟班学习人员</w:t>
      </w:r>
      <w:r>
        <w:rPr>
          <w:rFonts w:hint="eastAsia" w:ascii="仿宋_GB2312" w:eastAsia="仿宋_GB2312" w:cs="Times New Roman"/>
          <w:sz w:val="32"/>
          <w:szCs w:val="32"/>
        </w:rPr>
        <w:t>的绩效工资、目标考核奖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、工会福利、</w:t>
      </w:r>
      <w:r>
        <w:rPr>
          <w:rFonts w:hint="eastAsia" w:ascii="仿宋_GB2312" w:eastAsia="仿宋_GB2312" w:cs="Times New Roman"/>
          <w:sz w:val="32"/>
          <w:szCs w:val="32"/>
        </w:rPr>
        <w:t>伙食费补助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等开支</w:t>
      </w:r>
      <w:r>
        <w:rPr>
          <w:rFonts w:hint="eastAsia" w:ascii="仿宋_GB2312" w:eastAsia="仿宋_GB2312" w:cs="Times New Roman"/>
          <w:sz w:val="32"/>
          <w:szCs w:val="32"/>
        </w:rPr>
        <w:t>。具体包括：工资福利支出、对个人和家庭的补助、商品和服务支出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、资本性支出</w:t>
      </w:r>
      <w:r>
        <w:rPr>
          <w:rFonts w:hint="eastAsia" w:ascii="仿宋_GB2312" w:eastAsia="仿宋_GB2312" w:cs="Times New Roman"/>
          <w:sz w:val="32"/>
          <w:szCs w:val="32"/>
        </w:rPr>
        <w:t>。基本支出的管理和使用情况如下：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基本支出本年预算指标可用及执行情况（单位：万元）</w:t>
      </w:r>
    </w:p>
    <w:tbl>
      <w:tblPr>
        <w:tblStyle w:val="6"/>
        <w:tblW w:w="841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9"/>
        <w:gridCol w:w="1560"/>
        <w:gridCol w:w="1710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560" w:firstLineChars="200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预算项目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本年预算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本年追加</w:t>
            </w:r>
          </w:p>
        </w:tc>
        <w:tc>
          <w:tcPr>
            <w:tcW w:w="2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本年决算金额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工资福利支出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157.62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24.16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181.78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2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商品和服务支出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23.94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15.49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39.43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对个人和家庭补助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560" w:firstLineChars="200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合 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181.56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39.65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221.21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根据本年预算、本年预算追加及本年决算执行情况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 w:cs="Times New Roman"/>
          <w:sz w:val="32"/>
          <w:szCs w:val="32"/>
        </w:rPr>
        <w:t>年我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基本支出比预算增加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39.65</w:t>
      </w:r>
      <w:r>
        <w:rPr>
          <w:rFonts w:hint="eastAsia" w:ascii="仿宋_GB2312" w:eastAsia="仿宋_GB2312" w:cs="Times New Roman"/>
          <w:sz w:val="32"/>
          <w:szCs w:val="32"/>
        </w:rPr>
        <w:t>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left="0" w:firstLine="640" w:firstLineChars="200"/>
        <w:rPr>
          <w:rFonts w:hint="eastAsia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 w:cs="Times New Roman"/>
          <w:sz w:val="32"/>
          <w:szCs w:val="32"/>
        </w:rPr>
        <w:t>“三公”经费使用管理情况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2023</w:t>
      </w:r>
      <w:r>
        <w:rPr>
          <w:rFonts w:hint="eastAsia" w:ascii="仿宋_GB2312" w:eastAsia="仿宋_GB2312" w:cs="Times New Roman"/>
          <w:sz w:val="32"/>
          <w:szCs w:val="32"/>
        </w:rPr>
        <w:t>年“三公”经费预算情况（单位：万元）</w:t>
      </w:r>
    </w:p>
    <w:tbl>
      <w:tblPr>
        <w:tblStyle w:val="6"/>
        <w:tblW w:w="861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0"/>
        <w:gridCol w:w="2112"/>
        <w:gridCol w:w="207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费用项目</w:t>
            </w:r>
          </w:p>
        </w:tc>
        <w:tc>
          <w:tcPr>
            <w:tcW w:w="21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基本支出</w:t>
            </w:r>
          </w:p>
        </w:tc>
        <w:tc>
          <w:tcPr>
            <w:tcW w:w="2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项目支出</w:t>
            </w:r>
          </w:p>
        </w:tc>
        <w:tc>
          <w:tcPr>
            <w:tcW w:w="2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公务接待费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2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ind w:firstLine="560" w:firstLineChars="200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局2023</w:t>
      </w:r>
      <w:r>
        <w:rPr>
          <w:rFonts w:hint="eastAsia" w:ascii="仿宋_GB2312" w:eastAsia="仿宋_GB2312" w:cs="Times New Roman"/>
          <w:sz w:val="32"/>
          <w:szCs w:val="32"/>
        </w:rPr>
        <w:t>年“三公”经费预算金额为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Times New Roman"/>
          <w:sz w:val="32"/>
          <w:szCs w:val="32"/>
        </w:rPr>
        <w:t>万元，全部为财政拨款资金。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rPr>
          <w:rFonts w:hint="eastAsia" w:ascii="仿宋_GB2312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jc w:val="both"/>
        <w:rPr>
          <w:rFonts w:hint="eastAsia" w:ascii="仿宋_GB2312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“三公”经费预算执行情况（单位：万元）</w:t>
      </w:r>
    </w:p>
    <w:p>
      <w:pPr>
        <w:rPr>
          <w:rFonts w:hint="eastAsia"/>
        </w:rPr>
      </w:pPr>
    </w:p>
    <w:tbl>
      <w:tblPr>
        <w:tblStyle w:val="6"/>
        <w:tblW w:w="9146" w:type="dxa"/>
        <w:tblInd w:w="1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206"/>
        <w:gridCol w:w="1506"/>
        <w:gridCol w:w="1260"/>
        <w:gridCol w:w="1260"/>
        <w:gridCol w:w="121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费用项目</w:t>
            </w:r>
          </w:p>
        </w:tc>
        <w:tc>
          <w:tcPr>
            <w:tcW w:w="271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预算金额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决算金额</w:t>
            </w:r>
          </w:p>
        </w:tc>
        <w:tc>
          <w:tcPr>
            <w:tcW w:w="26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差额（预-决）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/>
        </w:tc>
        <w:tc>
          <w:tcPr>
            <w:tcW w:w="1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基本支出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项目支出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基本支出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项目支出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基本支出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公务接待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0.19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0.19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0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局2023</w:t>
      </w:r>
      <w:r>
        <w:rPr>
          <w:rFonts w:hint="eastAsia" w:ascii="仿宋_GB2312" w:eastAsia="仿宋_GB2312" w:cs="Times New Roman"/>
          <w:sz w:val="32"/>
          <w:szCs w:val="32"/>
        </w:rPr>
        <w:t>年度“三公”经费预算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Times New Roman"/>
          <w:sz w:val="32"/>
          <w:szCs w:val="32"/>
        </w:rPr>
        <w:t>万元，实际支出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2.81</w:t>
      </w:r>
      <w:r>
        <w:rPr>
          <w:rFonts w:hint="eastAsia" w:ascii="仿宋_GB2312" w:eastAsia="仿宋_GB2312" w:cs="Times New Roman"/>
          <w:sz w:val="32"/>
          <w:szCs w:val="32"/>
        </w:rPr>
        <w:t>万元，结余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0.19</w:t>
      </w:r>
      <w:r>
        <w:rPr>
          <w:rFonts w:hint="eastAsia" w:ascii="仿宋_GB2312" w:eastAsia="仿宋_GB2312" w:cs="Times New Roman"/>
          <w:sz w:val="32"/>
          <w:szCs w:val="32"/>
        </w:rPr>
        <w:t>万元，结余率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6.3</w:t>
      </w:r>
      <w:r>
        <w:rPr>
          <w:rFonts w:hint="eastAsia" w:ascii="仿宋_GB2312" w:eastAsia="仿宋_GB2312" w:cs="Times New Roman"/>
          <w:sz w:val="32"/>
          <w:szCs w:val="32"/>
        </w:rPr>
        <w:t>%，实现了对“三公”经费的严格把控与费用节约。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（二）项目支出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1、专项资金支出管理和使用情况</w:t>
      </w:r>
    </w:p>
    <w:p>
      <w:pPr>
        <w:numPr>
          <w:ilvl w:val="0"/>
          <w:numId w:val="0"/>
        </w:numPr>
        <w:ind w:left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2023</w:t>
      </w:r>
      <w:r>
        <w:rPr>
          <w:rFonts w:hint="eastAsia" w:ascii="仿宋_GB2312" w:eastAsia="仿宋_GB2312" w:cs="Times New Roman"/>
          <w:sz w:val="32"/>
          <w:szCs w:val="32"/>
        </w:rPr>
        <w:t>年我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项目支出预算数为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113</w:t>
      </w:r>
      <w:r>
        <w:rPr>
          <w:rFonts w:hint="eastAsia" w:ascii="仿宋_GB2312" w:eastAsia="仿宋_GB2312" w:cs="Times New Roman"/>
          <w:sz w:val="32"/>
          <w:szCs w:val="32"/>
        </w:rPr>
        <w:t>万元，决算数为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3597.27</w:t>
      </w:r>
      <w:r>
        <w:rPr>
          <w:rFonts w:hint="eastAsia" w:ascii="仿宋_GB2312" w:eastAsia="仿宋_GB2312" w:cs="Times New Roman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其他巩固脱贫攻坚成果衔接乡村振兴支出2129.9万元，防贫综合保险426.06万元，农村基础设施建设卫生厕所建设和农村公共厕所建设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highlight w:val="none"/>
          <w:lang w:val="en-US" w:eastAsia="zh-CN"/>
        </w:rPr>
        <w:t>588.75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highlight w:val="none"/>
        </w:rPr>
        <w:t>万元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新（改）户用厕所支出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highlight w:val="none"/>
          <w:lang w:val="en-US" w:eastAsia="zh-CN"/>
        </w:rPr>
        <w:t>278.38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highlight w:val="none"/>
        </w:rPr>
        <w:t>万元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其他文化旅游体育与传媒支出1万元，农林水支出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lang w:val="en-US" w:eastAsia="zh-CN"/>
        </w:rPr>
        <w:t>173.17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</w:rPr>
        <w:t>万元</w:t>
      </w:r>
      <w:r>
        <w:rPr>
          <w:rFonts w:hint="eastAsia" w:ascii="宋体" w:hAnsi="宋体" w:eastAsia="宋体" w:cs="Helvetica"/>
          <w:color w:val="000000"/>
          <w:kern w:val="0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三、专项资金管理和组织实施情况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局对乡村振兴衔接资金</w:t>
      </w:r>
      <w:r>
        <w:rPr>
          <w:rFonts w:hint="eastAsia" w:ascii="仿宋_GB2312" w:eastAsia="仿宋_GB2312" w:cs="Times New Roman"/>
          <w:sz w:val="32"/>
          <w:szCs w:val="32"/>
        </w:rPr>
        <w:t>按照通用财务管理制度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和《桃江县财政专项扶贫资金管理办法》</w:t>
      </w:r>
      <w:r>
        <w:rPr>
          <w:rFonts w:hint="eastAsia" w:ascii="仿宋_GB2312" w:eastAsia="仿宋_GB2312" w:cs="Times New Roman"/>
          <w:sz w:val="32"/>
          <w:szCs w:val="32"/>
        </w:rPr>
        <w:t>进行了业务管理，设有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专项科目</w:t>
      </w:r>
      <w:r>
        <w:rPr>
          <w:rFonts w:hint="eastAsia" w:ascii="仿宋_GB2312" w:eastAsia="仿宋_GB2312" w:cs="Times New Roman"/>
          <w:sz w:val="32"/>
          <w:szCs w:val="32"/>
        </w:rPr>
        <w:t>核算，纳入财政统一核算管理，财务上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由规划财务股</w:t>
      </w:r>
      <w:r>
        <w:rPr>
          <w:rFonts w:hint="eastAsia" w:ascii="仿宋_GB2312" w:eastAsia="仿宋_GB2312" w:cs="Times New Roman"/>
          <w:sz w:val="32"/>
          <w:szCs w:val="32"/>
        </w:rPr>
        <w:t>负责管理，业务执行情况好，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项</w:t>
      </w:r>
      <w:r>
        <w:rPr>
          <w:rFonts w:hint="eastAsia" w:ascii="仿宋_GB2312" w:eastAsia="仿宋_GB2312" w:cs="Times New Roman"/>
          <w:sz w:val="32"/>
          <w:szCs w:val="32"/>
        </w:rPr>
        <w:t>目资金管理到位。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四、部门整体支出绩效情况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2023</w:t>
      </w:r>
      <w:r>
        <w:rPr>
          <w:rFonts w:hint="eastAsia" w:ascii="仿宋_GB2312" w:eastAsia="仿宋_GB2312" w:cs="Times New Roman"/>
          <w:sz w:val="32"/>
          <w:szCs w:val="32"/>
        </w:rPr>
        <w:t>年，根据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年初工作规划和重点性工作，围绕县委、县政府经济工作会议精神，积极履职，强化管理，较好的完成了年度工作目标。通过加强预算收支管理，不断建立健全内部管理制度，梳理内部管理流程，部门整体支出管理情况得到提升。根据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2023</w:t>
      </w:r>
      <w:r>
        <w:rPr>
          <w:rFonts w:hint="eastAsia" w:ascii="仿宋_GB2312" w:eastAsia="仿宋_GB2312" w:cs="Times New Roman"/>
          <w:sz w:val="32"/>
          <w:szCs w:val="32"/>
        </w:rPr>
        <w:t>年度部门整体支出状况的概述和分析，部门整体支出绩效情况如下：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</w:rPr>
        <w:t>（一）经济效益评价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1. 本年预算配置控制较好。财政供养人员控制在预算编制以内，编制内在职人员控制率小于100%；“三公”经费实际执行相较于预算总额结余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0.19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万元，实现了对“三公”经费的严格把控与费用节约。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2. 预算执行方面。支出总额控制在预算总额以内，投入进度正常；“三公”经费总体控制较好。预算管理方面，制度执行总体较为有效，仍需进一步强化；资金使用管理需进一步加强。资产管理方面，建立了资产管理制度，定期进行了盘点和资产清理，总体执行较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根据部门整体支出绩效评价指标体系，本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年度评价得分为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99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（二）效率性评价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color w:val="FF0000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预算安排的基本支出保障了我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正常的工作运转，体现了县委县政府对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桃江县乡村振兴局</w:t>
      </w:r>
      <w:r>
        <w:rPr>
          <w:rFonts w:hint="eastAsia" w:ascii="仿宋_GB2312" w:eastAsia="仿宋_GB2312" w:cs="Times New Roman"/>
          <w:sz w:val="32"/>
          <w:szCs w:val="32"/>
        </w:rPr>
        <w:t>的关心和重视，预算安排的项目支出是非常必要的，我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严格遵守各项财经纪律执行的，在财政资金的管理和使用上，严守法律底线、纪律底线、道德底线。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</w:rPr>
        <w:t>五、绩效评价工作情况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</w:rPr>
        <w:t>（一）绩效评价目的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本次绩效评价的目的是为了全面分析和综合评价我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本级财政预算资金的使用管理情况，为切实提高财政资金使用效益，强化预算支出的责任和效率提供参考依据。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（二）绩效评价工作过程，主要包括前期准备、组织实施和分析评价等内容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我们按照县财政局绩效评价工作要求，第一阶段为前期准备：由我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局规划财务股</w:t>
      </w:r>
      <w:r>
        <w:rPr>
          <w:rFonts w:hint="eastAsia" w:ascii="仿宋_GB2312" w:eastAsia="仿宋_GB2312" w:cs="Times New Roman"/>
          <w:sz w:val="32"/>
          <w:szCs w:val="32"/>
        </w:rPr>
        <w:t>牵头，组织有关业务部门制定了详细的工作方案，明确部门责任；第二阶段开展自评：根据上一阶段任务布置，按照要求展开自评工作；第三阶段为定性终评，并出具评价报告：我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局规划财务股</w:t>
      </w:r>
      <w:r>
        <w:rPr>
          <w:rFonts w:hint="eastAsia" w:ascii="仿宋_GB2312" w:eastAsia="仿宋_GB2312" w:cs="Times New Roman"/>
          <w:sz w:val="32"/>
          <w:szCs w:val="32"/>
        </w:rPr>
        <w:t>联合相关部门查阅相关文件资料和财务凭证，对收集资料进行定量定性分析，综合评议后形成评价结论，出具绩效评价报告。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六、存在的主要问题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预算制度执行总体较为有效，但仍需进一步强化，资金使用管理需进一步加强。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七、有关建议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针对上述存在的问题及我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整体支出管理工作的需要，拟实施的改进措施如下：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 w:cs="Times New Roman"/>
          <w:sz w:val="32"/>
          <w:szCs w:val="32"/>
        </w:rPr>
        <w:t>细化预算编制工作，认真做好预算的编制。进一步加强预算管理意识，严格按照预算编制的相关制度和要求进行预算编制；进一步提高预算编制的科学性、严谨性和可控性。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（二）加强财务管理，严格财务审核。在费用报账支付时，按照预算规定的费用项目和用途进行资金使用审核、列报支付、财务核算，杜绝超支现象的发生。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（三）持续抓好“三公”经费控制管理。严格控制“三公”经费的规模和比例，把关“三公”经费支出的审核、审批，杜绝挪用和挤占其他预算资金行为。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/>
        </w:rPr>
      </w:pPr>
      <w:r>
        <w:rPr>
          <w:rFonts w:hint="eastAsia" w:ascii="仿宋_GB2312" w:eastAsia="仿宋_GB2312" w:cs="Times New Roman"/>
          <w:sz w:val="32"/>
          <w:szCs w:val="32"/>
        </w:rPr>
        <w:t>（四）认真展开绩效管理。加强项目开展进度的跟踪，开展项目绩效评价，确保项目绩效目标的完成。</w:t>
      </w:r>
    </w:p>
    <w:p>
      <w:pPr>
        <w:rPr>
          <w:rFonts w:hint="eastAsia" w:ascii="仿宋_GB2312" w:eastAsia="仿宋_GB2312" w:cs="Times New Roman"/>
          <w:sz w:val="32"/>
          <w:szCs w:val="32"/>
        </w:rPr>
      </w:pPr>
    </w:p>
    <w:p>
      <w:pPr>
        <w:pStyle w:val="5"/>
        <w:jc w:val="right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                     桃江县乡村振兴局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                      2024年5月5日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91" w:right="1417" w:bottom="1191" w:left="141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 w:val="en-US" w:eastAsia="zh-CN"/>
      </w:rPr>
      <w:t>8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4B8E37"/>
    <w:multiLevelType w:val="singleLevel"/>
    <w:tmpl w:val="474B8E3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NzVlOWI3MDBiNmU2NGY4YTlmM2ZlMzk4YmVkMzMifQ=="/>
  </w:docVars>
  <w:rsids>
    <w:rsidRoot w:val="5CBA2D06"/>
    <w:rsid w:val="07693529"/>
    <w:rsid w:val="0BCB2D68"/>
    <w:rsid w:val="166F7508"/>
    <w:rsid w:val="1D077978"/>
    <w:rsid w:val="1FD91AA0"/>
    <w:rsid w:val="24514947"/>
    <w:rsid w:val="24FD5DC3"/>
    <w:rsid w:val="262A0F92"/>
    <w:rsid w:val="271B75ED"/>
    <w:rsid w:val="27BA6BCB"/>
    <w:rsid w:val="2A5549C9"/>
    <w:rsid w:val="2A831D35"/>
    <w:rsid w:val="2BC2163A"/>
    <w:rsid w:val="32823817"/>
    <w:rsid w:val="359F1D02"/>
    <w:rsid w:val="36C73B5D"/>
    <w:rsid w:val="39146E2E"/>
    <w:rsid w:val="3CBC28BB"/>
    <w:rsid w:val="42FF312C"/>
    <w:rsid w:val="45637299"/>
    <w:rsid w:val="464402D5"/>
    <w:rsid w:val="464F7254"/>
    <w:rsid w:val="4C9E5BFF"/>
    <w:rsid w:val="55724743"/>
    <w:rsid w:val="58A65D36"/>
    <w:rsid w:val="59FF57B3"/>
    <w:rsid w:val="5CBA2D06"/>
    <w:rsid w:val="5D864D5E"/>
    <w:rsid w:val="5DD90BA3"/>
    <w:rsid w:val="5E785A05"/>
    <w:rsid w:val="5F866E00"/>
    <w:rsid w:val="65660CAD"/>
    <w:rsid w:val="71754026"/>
    <w:rsid w:val="737E5B13"/>
    <w:rsid w:val="7508619A"/>
    <w:rsid w:val="78CD4747"/>
    <w:rsid w:val="7B650B27"/>
    <w:rsid w:val="7BBD7E4B"/>
    <w:rsid w:val="7D1953FB"/>
    <w:rsid w:val="7EAF3A96"/>
    <w:rsid w:val="7F563EC2"/>
    <w:rsid w:val="7F59EEFD"/>
    <w:rsid w:val="7FFE7A05"/>
    <w:rsid w:val="997B15DB"/>
    <w:rsid w:val="9CF75514"/>
    <w:rsid w:val="DBCFBB2D"/>
    <w:rsid w:val="DFC35F45"/>
    <w:rsid w:val="DFF70926"/>
    <w:rsid w:val="EDFFAE98"/>
    <w:rsid w:val="EF2EC188"/>
    <w:rsid w:val="F2DBA8C0"/>
    <w:rsid w:val="F5AFDD69"/>
    <w:rsid w:val="F7FFD1A5"/>
    <w:rsid w:val="F9DB8F34"/>
    <w:rsid w:val="FAFDCE18"/>
    <w:rsid w:val="FC7DCB02"/>
    <w:rsid w:val="FEFF7580"/>
    <w:rsid w:val="FF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仿宋_GB2312"/>
      <w:bCs/>
      <w:sz w:val="32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rPr>
      <w:rFonts w:ascii="Calibri" w:hAnsi="Calibri"/>
    </w:rPr>
  </w:style>
  <w:style w:type="character" w:styleId="8">
    <w:name w:val="page number"/>
    <w:basedOn w:val="7"/>
    <w:qFormat/>
    <w:uiPriority w:val="0"/>
  </w:style>
  <w:style w:type="paragraph" w:customStyle="1" w:styleId="9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4165</Words>
  <Characters>4632</Characters>
  <Lines>0</Lines>
  <Paragraphs>0</Paragraphs>
  <TotalTime>3</TotalTime>
  <ScaleCrop>false</ScaleCrop>
  <LinksUpToDate>false</LinksUpToDate>
  <CharactersWithSpaces>4710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2023-05-16T01:45:00Z</dcterms:created>
  <dc:creator>Administrator</dc:creator>
  <cp:lastModifiedBy>kylin</cp:lastModifiedBy>
  <dcterms:modified xsi:type="dcterms:W3CDTF">2024-11-18T16:18:17Z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245E06D9E0EA4569A9498F215BBEA6E7_11</vt:lpwstr>
  </property>
</Properties>
</file>