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  <w:lang w:eastAsia="zh-CN"/>
        </w:rPr>
      </w:pPr>
      <w:r>
        <w:rPr>
          <w:rFonts w:eastAsia="方正小标宋简体"/>
          <w:kern w:val="0"/>
          <w:sz w:val="44"/>
          <w:szCs w:val="44"/>
        </w:rPr>
        <w:t>桃江县</w:t>
      </w:r>
      <w:r>
        <w:rPr>
          <w:rFonts w:hint="eastAsia" w:eastAsia="方正小标宋简体"/>
          <w:kern w:val="0"/>
          <w:sz w:val="44"/>
          <w:szCs w:val="44"/>
          <w:lang w:val="en-US" w:eastAsia="zh-CN"/>
        </w:rPr>
        <w:t>全民健身服务中心2023</w:t>
      </w:r>
      <w:r>
        <w:rPr>
          <w:rFonts w:hint="eastAsia" w:eastAsia="方正小标宋简体"/>
          <w:kern w:val="0"/>
          <w:sz w:val="44"/>
          <w:szCs w:val="44"/>
        </w:rPr>
        <w:t>年度</w:t>
      </w:r>
      <w:r>
        <w:rPr>
          <w:rFonts w:eastAsia="方正小标宋简体"/>
          <w:kern w:val="0"/>
          <w:sz w:val="44"/>
          <w:szCs w:val="44"/>
        </w:rPr>
        <w:t>部门整体支出绩效报告</w:t>
      </w:r>
    </w:p>
    <w:p>
      <w:pPr>
        <w:widowControl/>
        <w:spacing w:line="594" w:lineRule="exact"/>
        <w:jc w:val="left"/>
        <w:rPr>
          <w:b/>
          <w:bCs/>
          <w:kern w:val="0"/>
          <w:szCs w:val="32"/>
        </w:rPr>
      </w:pPr>
      <w:r>
        <w:rPr>
          <w:b/>
          <w:bCs/>
          <w:kern w:val="0"/>
          <w:szCs w:val="32"/>
        </w:rPr>
        <w:t xml:space="preserve">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 xml:space="preserve"> 一、部门概况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（一）部门基本情况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桃江县全民健身服务中心为桃江县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文旅广体</w:t>
      </w:r>
      <w:r>
        <w:rPr>
          <w:rFonts w:hint="eastAsia" w:ascii="仿宋" w:hAnsi="仿宋" w:eastAsia="仿宋" w:cs="仿宋"/>
          <w:sz w:val="32"/>
          <w:szCs w:val="32"/>
        </w:rPr>
        <w:t>局下属二级机构，为全额拨款的副科级公益一类事业单位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内设股室3个：</w:t>
      </w:r>
      <w:r>
        <w:rPr>
          <w:rFonts w:hint="eastAsia" w:ascii="仿宋" w:hAnsi="仿宋" w:eastAsia="仿宋" w:cs="仿宋"/>
          <w:sz w:val="32"/>
          <w:szCs w:val="32"/>
        </w:rPr>
        <w:t>综合办公室、业务室、财务室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sz w:val="32"/>
          <w:szCs w:val="32"/>
        </w:rPr>
        <w:t>年编制部门核实我中心人员编制为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人。截止20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sz w:val="32"/>
          <w:szCs w:val="32"/>
        </w:rPr>
        <w:t>年底，在职人员为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人，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名退休人员，与财政预算人数相符，人员经费与办公经费一并列入了财政预算。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部门整体支出</w:t>
      </w:r>
      <w:r>
        <w:rPr>
          <w:rFonts w:hint="eastAsia" w:ascii="仿宋" w:hAnsi="仿宋" w:eastAsia="仿宋" w:cs="仿宋"/>
          <w:b/>
          <w:bCs/>
          <w:kern w:val="0"/>
          <w:sz w:val="32"/>
          <w:szCs w:val="32"/>
          <w:lang w:val="en-US" w:eastAsia="zh-CN"/>
        </w:rPr>
        <w:t>情况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</w:t>
      </w:r>
      <w:r>
        <w:rPr>
          <w:rFonts w:hint="eastAsia" w:ascii="仿宋" w:hAnsi="仿宋" w:eastAsia="仿宋" w:cs="仿宋"/>
          <w:sz w:val="32"/>
          <w:szCs w:val="32"/>
        </w:rPr>
        <w:t>年，县财政批复年初预算为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100.75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预算调整金额为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205.24万元，预算收入合计205.24万元</w:t>
      </w:r>
      <w:r>
        <w:rPr>
          <w:rFonts w:hint="eastAsia" w:ascii="仿宋" w:hAnsi="仿宋" w:eastAsia="仿宋" w:cs="仿宋"/>
          <w:sz w:val="32"/>
          <w:szCs w:val="32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</w:t>
      </w:r>
      <w:r>
        <w:rPr>
          <w:rFonts w:hint="eastAsia" w:ascii="仿宋" w:hAnsi="仿宋" w:eastAsia="仿宋" w:cs="仿宋"/>
          <w:sz w:val="32"/>
          <w:szCs w:val="32"/>
        </w:rPr>
        <w:t>年整体支出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205.24</w:t>
      </w:r>
      <w:r>
        <w:rPr>
          <w:rFonts w:hint="eastAsia" w:ascii="仿宋" w:hAnsi="仿宋" w:eastAsia="仿宋" w:cs="仿宋"/>
          <w:sz w:val="32"/>
          <w:szCs w:val="32"/>
        </w:rPr>
        <w:t>万元，其中基本支出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90.95</w:t>
      </w:r>
      <w:r>
        <w:rPr>
          <w:rFonts w:hint="eastAsia" w:ascii="仿宋" w:hAnsi="仿宋" w:eastAsia="仿宋" w:cs="仿宋"/>
          <w:sz w:val="32"/>
          <w:szCs w:val="32"/>
        </w:rPr>
        <w:t>万元，项目支出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114.28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（三）绩效目标设立情况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一是</w:t>
      </w:r>
      <w:r>
        <w:rPr>
          <w:rFonts w:hint="eastAsia" w:ascii="仿宋" w:hAnsi="仿宋" w:eastAsia="仿宋" w:cs="仿宋"/>
          <w:sz w:val="32"/>
          <w:szCs w:val="32"/>
        </w:rPr>
        <w:t>广泛开展全民健身活动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二是优化场馆服务环境，三是做好体育场馆免费低收费开放工作；四是做好国民体质监测工作；五是</w:t>
      </w:r>
      <w:r>
        <w:rPr>
          <w:rFonts w:hint="eastAsia" w:ascii="仿宋" w:hAnsi="仿宋" w:eastAsia="仿宋" w:cs="仿宋"/>
          <w:sz w:val="32"/>
          <w:szCs w:val="32"/>
        </w:rPr>
        <w:t>加强体育组织管理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 w:val="0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kern w:val="0"/>
          <w:sz w:val="32"/>
          <w:szCs w:val="32"/>
        </w:rPr>
        <w:t>二、部门整体支出管理及使用情况分析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 w:val="0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kern w:val="0"/>
          <w:sz w:val="32"/>
          <w:szCs w:val="32"/>
        </w:rPr>
        <w:t>（一）基本支出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2023年部门预算基本支出90.95万元，</w:t>
      </w:r>
      <w:r>
        <w:rPr>
          <w:rFonts w:hint="eastAsia" w:ascii="仿宋" w:hAnsi="仿宋" w:eastAsia="仿宋" w:cs="仿宋"/>
          <w:sz w:val="32"/>
          <w:szCs w:val="32"/>
        </w:rPr>
        <w:t>主要用于人员工资福利支出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80.35</w:t>
      </w:r>
      <w:r>
        <w:rPr>
          <w:rFonts w:hint="eastAsia" w:ascii="仿宋" w:hAnsi="仿宋" w:eastAsia="仿宋" w:cs="仿宋"/>
          <w:sz w:val="32"/>
          <w:szCs w:val="32"/>
        </w:rPr>
        <w:t>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商品和服务支出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10.31万元，对个人和家庭的补助0.29万元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（二）项目支出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整体项目支出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114.29</w:t>
      </w:r>
      <w:r>
        <w:rPr>
          <w:rFonts w:hint="eastAsia" w:ascii="仿宋" w:hAnsi="仿宋" w:eastAsia="仿宋" w:cs="仿宋"/>
          <w:sz w:val="32"/>
          <w:szCs w:val="32"/>
        </w:rPr>
        <w:t>万元。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其中体育馆免低开放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79.28万元，全民健身工作经费22万元，场馆维护15.49万元。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项目资金（主要指财政资金）实际使用情况分析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项目资金全部用于2023年全民健身工作、桃江县第七届全民健身运动会、2023年国民体质监测工作、2023年体育馆免费低收费场地开放工作，按相应的项目资金管理办法和其他相关的财务制度管理及使用。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项目资金管理情况分析，主要包括管理制度、办法的制订及执行情况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960" w:firstLineChars="3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（1）按规定进行了财政投资评审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960" w:firstLineChars="3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（2）制定或具有相应的监控机制；相关岗位设置符合内控要求；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960" w:firstLineChars="3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（3）资金的拨付有完整的审批程序和手续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 w:val="0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kern w:val="0"/>
          <w:sz w:val="32"/>
          <w:szCs w:val="32"/>
        </w:rPr>
        <w:t>三、项目组织实施情况分析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项目管理情况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960" w:leftChars="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1.每月开展免费、低收费开放工作；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960" w:leftChars="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2.免费指导人民群众参与运动；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960" w:leftChars="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3.举办各类型群众赛事；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960" w:leftChars="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4.场馆的日常管理与维护；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960" w:leftChars="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5.免费开展国民体质监测工作；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960" w:leftChars="0"/>
        <w:textAlignment w:val="auto"/>
        <w:rPr>
          <w:rFonts w:hint="default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6.举办公益性技能培训、讲座、展览等活动。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jc w:val="both"/>
        <w:textAlignment w:val="auto"/>
        <w:outlineLvl w:val="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部门整体支出绩效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完成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情况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</w:t>
      </w:r>
      <w:r>
        <w:rPr>
          <w:rFonts w:hint="eastAsia" w:ascii="仿宋" w:hAnsi="仿宋" w:eastAsia="仿宋" w:cs="仿宋"/>
          <w:sz w:val="32"/>
          <w:szCs w:val="32"/>
        </w:rPr>
        <w:t>，在县委县政府的正确领导下和上级体育行政部门的大力支持下，我中心认真贯彻落实《全民健身计划纲要》，坚持以满足人民群众日益增长的求和增强人民群众体质为出发点，各项工作有序开展，成效明显，现将一年来的工作总结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（一）积极组织体育赛事，激发全民参与热情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，我中心组织承办省级赛事1次、市级赛事2次、县级赛事45次，活动参与人数达12.7万人。今年以来，气排球、羽毛球、乒乓球、篮球、广场舞等群众喜闻乐见的全民健身赛事活动火热开展，月月有比赛、处处能健身、人人能参与，群众体育赛事将群众健身热情推向高潮，全民健身蔚然成风，群众性赛事蓬勃发展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1.已完成桃江县第七届全民健身运动会工作，运动会共设置14个竞赛项目，来自全县125个单位、6000多人参与。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2.已完成益阳市第二十三届大众运动会9个竞赛项目（登山、乒乓球、气排球、羽毛球、广场舞、足球、健康跑、健身气功、门球），来自全县20个单位、3000多人参与。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3.已完成公益性体育比赛6个竞赛项目（公益性广场舞比赛、气排球比赛、乒乓球比赛、羽毛球比赛、气排球精英邀请赛、太极拳比赛），9000多人参与。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4.已完成湖南省第四届社区运动会益阳市桃江县海选赛5个竞赛项目8次比赛（社区趣味运动比赛1次、乒乓球比赛1次、羽毛球比赛2次、广场舞比赛3次、排舞比赛1次），11000多人参与。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（二）强化技能公益培训，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提高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全民健身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水平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，我中心组织开展9次公益性体育技能培训、4次公益性讲座、1次公益性三级社会体育指导员培训，参与人数达14000人。通过举办广场舞等社会体育指导员培训班，加快社会体育指导员队伍建设，充分发挥社会体育指导员在全民健身活动中的骨干作用，调动广大群众参与全民健身的积极性，让体育锻炼经常化、个人健身生活化。推动健身技能培训、健身知识讲座等公共体育服务进社区、进广场，不断提高科学健身指导水平，真正让全民健身观念深入人心、落到实处，让群众想健身、能健身、会健身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已开展9次公益性体育技能培训（公益性广场舞技能培训3次、气排球技能培训、篮球技能培训、乒乓球技能培训、羽毛球技能培训、太极拳技能培训、首届青少年公益性体育技能培训），12000多人参与体育技能培训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2.已开展4次公益性讲座（公益性排舞知识讲座、体育知识讲座、防溺水知识讲座2次），2000多人参与公益性讲座。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3.已开展1次公益性三级社会体育指导员培训广场舞项目培训班，共发展82名三级社会体育指导员，充分发挥社会体育指导员在全民健身事业发展过程中的积极作用。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为广大群众、单位、团体提供免费的训练场地、教练、裁判服务，开展广场舞、健身气功等技能培训及健康知识讲座、展览等活动。今年以来，与20个学校及体育协会签订合作协议，免费为40个企事业单位、体育协会（俱乐部）提供训练场地及裁判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（三）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举办全民健身活动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，营造全民健身氛围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2023年8月，我中心组织了贴近群众、方便参与、丰富多彩、注重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实效的“全民健身日”系列活动和“体育宣传周”活动，此次活动共计20000余人参与，活动形式注重团队的协同作战，融合了竞技性、游戏性、趣味性、智力性，充分调动了参与者的热情，为群众提供了展示运动才华的平台，不仅展现了运动健儿的竞技风采，还营造了一个健康、积极、向上的城市氛围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（四）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优化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场馆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服务环境，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满足群众健身需求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严格落实体育场馆免低开放要求，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场馆每周免费或低收费开放时间不少于35小时，全年免费或低收费开放时间不少于330天。开放项目涵盖了羽毛球、乒乓球、气排球、篮球、跑步、健身、健身气功、广场舞等项目。体育馆免费提供体质测试、健身指导等相关配套服务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完成了3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094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份国民体质测试数据，国民体质测试合格率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98.5%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做好日常消毒、通风、卫生保洁等日常工作，定期对办公区、服务窗口、场馆、廊道走廊等公共区域进行消杀，定期对消防通道、消防栓、灭火器、健身器材进行安全隐患排查，为广大健身群众提供安全、舒适、放心的健身环境。2023年，体育馆累计接待人数达30万人次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  <w:lang w:val="en-US" w:eastAsia="zh-CN"/>
        </w:rPr>
        <w:t>五、</w:t>
      </w: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绩效评价工作开展情况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通过全面开展部门支出绩效评价，强化了单位财务支出绩效理念，科学合理编制年度预算，切实发挥县财政下拨自己资源配置作用，实现了我单位科学理财，合理用财，节约资金的目标。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为了搞好本单位的整体绩效评估，我单位认真组织进行了分析评价，认为202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年财务运行良好，既保证了各职能工作的顺利开展，又确保了机关干部的待遇规定到位。</w:t>
      </w: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hint="eastAsia" w:eastAsia="方正小标宋简体"/>
          <w:bCs/>
          <w:kern w:val="0"/>
          <w:sz w:val="44"/>
          <w:szCs w:val="44"/>
          <w:lang w:eastAsia="zh-CN"/>
        </w:rPr>
      </w:pPr>
      <w:r>
        <w:rPr>
          <w:rFonts w:eastAsia="方正小标宋简体"/>
          <w:bCs/>
          <w:kern w:val="0"/>
          <w:sz w:val="44"/>
          <w:szCs w:val="44"/>
        </w:rPr>
        <w:t>桃江县</w:t>
      </w:r>
      <w:r>
        <w:rPr>
          <w:rFonts w:hint="eastAsia" w:eastAsia="方正小标宋简体"/>
          <w:bCs/>
          <w:kern w:val="0"/>
          <w:sz w:val="44"/>
          <w:szCs w:val="44"/>
          <w:lang w:eastAsia="zh-CN"/>
        </w:rPr>
        <w:t>全民健身服务中心</w:t>
      </w: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2023年度部门整体支出绩效评价基础数据表</w:t>
      </w:r>
    </w:p>
    <w:tbl>
      <w:tblPr>
        <w:tblStyle w:val="6"/>
        <w:tblpPr w:leftFromText="180" w:rightFromText="180" w:vertAnchor="text" w:horzAnchor="page" w:tblpXSpec="center" w:tblpY="181"/>
        <w:tblOverlap w:val="never"/>
        <w:tblW w:w="10227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24"/>
        <w:gridCol w:w="1180"/>
        <w:gridCol w:w="880"/>
        <w:gridCol w:w="1100"/>
        <w:gridCol w:w="1100"/>
        <w:gridCol w:w="1060"/>
        <w:gridCol w:w="128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财政供养人员情况（人）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编制数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2023年实际在职人数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jc w:val="center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87.5%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经费控制情况（万元）</w:t>
            </w:r>
          </w:p>
        </w:tc>
        <w:tc>
          <w:tcPr>
            <w:tcW w:w="20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2022年决算数</w:t>
            </w:r>
          </w:p>
        </w:tc>
        <w:tc>
          <w:tcPr>
            <w:tcW w:w="220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2023年预算数</w:t>
            </w:r>
          </w:p>
        </w:tc>
        <w:tc>
          <w:tcPr>
            <w:tcW w:w="2343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2023年决算数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三公经费：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1、公务用车购置和维护经费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其中： 公车购置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440" w:firstLineChars="6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公车运行维护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2、出国经费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3、公务接待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项目支出：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52.14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31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114.28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1、业务工作经费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36.77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25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93.48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2、运行维护经费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15.37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20.8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……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公用经费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26.4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8.55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10.31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其中：办公经费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2.22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2.5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3.22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水费、电费、差旅费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1.01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1.15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会议费、培训费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0.21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0.3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0.21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政府采购金额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部门基本支出预算调整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楼堂馆所控制情况</w:t>
            </w:r>
          </w:p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（2023年完工项目）</w:t>
            </w:r>
          </w:p>
        </w:tc>
        <w:tc>
          <w:tcPr>
            <w:tcW w:w="118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批复规模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（m²）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实际规模（m²）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规  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预算投资（万元）</w:t>
            </w:r>
          </w:p>
        </w:tc>
        <w:tc>
          <w:tcPr>
            <w:tcW w:w="10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实际投资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（万元）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投资概算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kern w:val="0"/>
                <w:sz w:val="24"/>
                <w:lang w:eastAsia="zh-CN"/>
              </w:rPr>
              <w:t>无</w:t>
            </w:r>
          </w:p>
        </w:tc>
        <w:tc>
          <w:tcPr>
            <w:tcW w:w="8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06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283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厉行节约保障措施</w:t>
            </w:r>
          </w:p>
        </w:tc>
        <w:tc>
          <w:tcPr>
            <w:tcW w:w="6603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kern w:val="0"/>
                <w:sz w:val="24"/>
                <w:lang w:eastAsia="zh-CN"/>
              </w:rPr>
              <w:t>严格执行县及主管单位相关文件规定，节约办公成本。</w:t>
            </w:r>
          </w:p>
        </w:tc>
      </w:tr>
    </w:tbl>
    <w:p>
      <w:pPr>
        <w:autoSpaceDE w:val="0"/>
        <w:autoSpaceDN w:val="0"/>
        <w:spacing w:before="20" w:line="340" w:lineRule="atLeast"/>
        <w:rPr>
          <w:rFonts w:eastAsia="宋体"/>
          <w:kern w:val="0"/>
          <w:sz w:val="21"/>
          <w:szCs w:val="21"/>
        </w:rPr>
      </w:pPr>
      <w:r>
        <w:rPr>
          <w:rFonts w:hAnsi="宋体" w:eastAsia="宋体"/>
          <w:kern w:val="0"/>
          <w:sz w:val="21"/>
          <w:szCs w:val="21"/>
        </w:rPr>
        <w:t>说明：</w:t>
      </w:r>
      <w:r>
        <w:rPr>
          <w:rFonts w:eastAsia="宋体"/>
          <w:kern w:val="0"/>
          <w:sz w:val="21"/>
          <w:szCs w:val="21"/>
        </w:rPr>
        <w:t xml:space="preserve"> “</w:t>
      </w:r>
      <w:r>
        <w:rPr>
          <w:rFonts w:hAnsi="宋体" w:eastAsia="宋体"/>
          <w:kern w:val="0"/>
          <w:sz w:val="21"/>
          <w:szCs w:val="21"/>
        </w:rPr>
        <w:t>项目支出</w:t>
      </w:r>
      <w:r>
        <w:rPr>
          <w:rFonts w:eastAsia="宋体"/>
          <w:kern w:val="0"/>
          <w:sz w:val="21"/>
          <w:szCs w:val="21"/>
        </w:rPr>
        <w:t>”</w:t>
      </w:r>
      <w:r>
        <w:rPr>
          <w:rFonts w:hAnsi="宋体" w:eastAsia="宋体"/>
          <w:kern w:val="0"/>
          <w:sz w:val="21"/>
          <w:szCs w:val="21"/>
        </w:rPr>
        <w:t>需要填报基本支出以外的所有项目支出情况，</w:t>
      </w:r>
      <w:r>
        <w:rPr>
          <w:rFonts w:eastAsia="宋体"/>
          <w:kern w:val="0"/>
          <w:sz w:val="21"/>
          <w:szCs w:val="21"/>
        </w:rPr>
        <w:t>“</w:t>
      </w:r>
      <w:r>
        <w:rPr>
          <w:rFonts w:hAnsi="宋体" w:eastAsia="宋体"/>
          <w:kern w:val="0"/>
          <w:sz w:val="21"/>
          <w:szCs w:val="21"/>
        </w:rPr>
        <w:t>公用经费</w:t>
      </w:r>
      <w:r>
        <w:rPr>
          <w:rFonts w:eastAsia="宋体"/>
          <w:kern w:val="0"/>
          <w:sz w:val="21"/>
          <w:szCs w:val="21"/>
        </w:rPr>
        <w:t>”</w:t>
      </w:r>
      <w:r>
        <w:rPr>
          <w:rFonts w:hAnsi="宋体" w:eastAsia="宋体"/>
          <w:kern w:val="0"/>
          <w:sz w:val="21"/>
          <w:szCs w:val="21"/>
        </w:rPr>
        <w:t>填报基本支出中的一般商品和服务支出。</w:t>
      </w:r>
    </w:p>
    <w:p>
      <w:pPr>
        <w:autoSpaceDE w:val="0"/>
        <w:autoSpaceDN w:val="0"/>
        <w:spacing w:before="20" w:line="340" w:lineRule="atLeast"/>
        <w:ind w:firstLine="630" w:firstLineChars="300"/>
        <w:rPr>
          <w:rFonts w:eastAsia="宋体"/>
          <w:kern w:val="0"/>
          <w:sz w:val="21"/>
          <w:szCs w:val="21"/>
        </w:rPr>
      </w:pPr>
    </w:p>
    <w:p>
      <w:pPr>
        <w:autoSpaceDE w:val="0"/>
        <w:autoSpaceDN w:val="0"/>
        <w:spacing w:before="20" w:line="340" w:lineRule="atLeast"/>
        <w:rPr>
          <w:rFonts w:eastAsia="黑体"/>
          <w:bCs/>
          <w:kern w:val="0"/>
          <w:szCs w:val="32"/>
        </w:rPr>
      </w:pPr>
      <w:r>
        <w:rPr>
          <w:rFonts w:hAnsi="宋体" w:eastAsia="宋体"/>
          <w:kern w:val="0"/>
          <w:sz w:val="21"/>
          <w:szCs w:val="21"/>
        </w:rPr>
        <w:t>填表人：</w:t>
      </w:r>
      <w:r>
        <w:rPr>
          <w:rFonts w:eastAsia="宋体"/>
          <w:kern w:val="0"/>
          <w:sz w:val="21"/>
          <w:szCs w:val="21"/>
        </w:rPr>
        <w:t xml:space="preserve">          </w:t>
      </w:r>
      <w:r>
        <w:rPr>
          <w:rFonts w:hAnsi="宋体" w:eastAsia="宋体"/>
          <w:kern w:val="0"/>
          <w:sz w:val="21"/>
          <w:szCs w:val="21"/>
        </w:rPr>
        <w:t>填报日期：</w:t>
      </w:r>
      <w:r>
        <w:rPr>
          <w:rFonts w:eastAsia="宋体"/>
          <w:kern w:val="0"/>
          <w:sz w:val="21"/>
          <w:szCs w:val="21"/>
        </w:rPr>
        <w:t xml:space="preserve">             </w:t>
      </w:r>
      <w:r>
        <w:rPr>
          <w:rFonts w:hAnsi="宋体" w:eastAsia="宋体"/>
          <w:kern w:val="0"/>
          <w:sz w:val="21"/>
          <w:szCs w:val="21"/>
        </w:rPr>
        <w:t>联系电话：</w:t>
      </w:r>
      <w:r>
        <w:rPr>
          <w:rFonts w:eastAsia="宋体"/>
          <w:kern w:val="0"/>
          <w:sz w:val="21"/>
          <w:szCs w:val="21"/>
        </w:rPr>
        <w:t xml:space="preserve">              </w:t>
      </w:r>
      <w:r>
        <w:rPr>
          <w:rFonts w:hAnsi="宋体" w:eastAsia="宋体"/>
          <w:kern w:val="0"/>
          <w:sz w:val="21"/>
          <w:szCs w:val="21"/>
        </w:rPr>
        <w:t>单位负责人签字</w:t>
      </w:r>
    </w:p>
    <w:p>
      <w:pPr>
        <w:spacing w:line="594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44"/>
        </w:rPr>
      </w:pPr>
    </w:p>
    <w:p>
      <w:pPr>
        <w:spacing w:line="594" w:lineRule="exact"/>
        <w:jc w:val="center"/>
        <w:rPr>
          <w:rFonts w:hint="eastAsia" w:eastAsia="方正小标宋简体"/>
          <w:bCs/>
          <w:kern w:val="0"/>
          <w:sz w:val="44"/>
          <w:szCs w:val="44"/>
          <w:lang w:eastAsia="zh-CN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44"/>
        </w:rPr>
        <w:t>桃江县</w:t>
      </w:r>
      <w:r>
        <w:rPr>
          <w:rFonts w:eastAsia="方正小标宋简体"/>
          <w:bCs/>
          <w:kern w:val="0"/>
          <w:sz w:val="44"/>
          <w:szCs w:val="44"/>
        </w:rPr>
        <w:t>桃江县</w:t>
      </w:r>
      <w:r>
        <w:rPr>
          <w:rFonts w:hint="eastAsia" w:eastAsia="方正小标宋简体"/>
          <w:bCs/>
          <w:kern w:val="0"/>
          <w:sz w:val="44"/>
          <w:szCs w:val="44"/>
          <w:lang w:eastAsia="zh-CN"/>
        </w:rPr>
        <w:t>全民健身服务中心</w:t>
      </w:r>
    </w:p>
    <w:p>
      <w:pPr>
        <w:spacing w:line="594" w:lineRule="exact"/>
        <w:jc w:val="center"/>
        <w:rPr>
          <w:rFonts w:hint="eastAsia" w:ascii="Times New Roman" w:hAnsi="Times New Roman" w:eastAsia="方正小标宋简体" w:cs="Times New Roman"/>
          <w:bCs/>
          <w:kern w:val="0"/>
          <w:sz w:val="44"/>
          <w:szCs w:val="44"/>
          <w:lang w:val="en-US" w:eastAsia="zh-CN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44"/>
        </w:rPr>
        <w:t>2023年度部门整体支出绩</w:t>
      </w:r>
      <w:r>
        <w:rPr>
          <w:rFonts w:hint="eastAsia" w:ascii="Times New Roman" w:hAnsi="Times New Roman" w:eastAsia="方正小标宋简体" w:cs="Times New Roman"/>
          <w:bCs/>
          <w:kern w:val="0"/>
          <w:sz w:val="44"/>
          <w:szCs w:val="44"/>
          <w:lang w:val="en-US" w:eastAsia="zh-CN"/>
        </w:rPr>
        <w:t>效自评表</w:t>
      </w:r>
    </w:p>
    <w:p>
      <w:pPr>
        <w:autoSpaceDE w:val="0"/>
        <w:autoSpaceDN w:val="0"/>
        <w:spacing w:line="300" w:lineRule="exact"/>
        <w:rPr>
          <w:rFonts w:hint="eastAsia" w:ascii="Times New Roman" w:hAnsi="Times New Roman" w:eastAsia="宋体" w:cs="Times New Roman"/>
          <w:kern w:val="0"/>
          <w:sz w:val="16"/>
          <w:szCs w:val="16"/>
          <w:lang w:val="en-US" w:eastAsia="zh-CN"/>
        </w:rPr>
      </w:pPr>
    </w:p>
    <w:tbl>
      <w:tblPr>
        <w:tblStyle w:val="6"/>
        <w:tblpPr w:leftFromText="180" w:rightFromText="180" w:vertAnchor="text" w:horzAnchor="page" w:tblpXSpec="center" w:tblpY="111"/>
        <w:tblOverlap w:val="never"/>
        <w:tblW w:w="10283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945"/>
        <w:gridCol w:w="795"/>
        <w:gridCol w:w="2219"/>
        <w:gridCol w:w="856"/>
        <w:gridCol w:w="2010"/>
        <w:gridCol w:w="434"/>
        <w:gridCol w:w="860"/>
        <w:gridCol w:w="144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464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县级预算部门、单位名称</w:t>
            </w:r>
          </w:p>
        </w:tc>
        <w:tc>
          <w:tcPr>
            <w:tcW w:w="7819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桃江县全民健身服务中心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年度预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算申请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（万元）</w:t>
            </w:r>
          </w:p>
        </w:tc>
        <w:tc>
          <w:tcPr>
            <w:tcW w:w="174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年初预算数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全年预算数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全年执行数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执行率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自评得分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4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年度资金总额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100.75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205.24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205.24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815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按收入性质分：</w:t>
            </w:r>
          </w:p>
        </w:tc>
        <w:tc>
          <w:tcPr>
            <w:tcW w:w="474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按支出性质分：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815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其中：一般公共预算：205.24</w:t>
            </w:r>
          </w:p>
        </w:tc>
        <w:tc>
          <w:tcPr>
            <w:tcW w:w="474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其中：基本支出：90.95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815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政府性基金拨款：</w:t>
            </w:r>
          </w:p>
        </w:tc>
        <w:tc>
          <w:tcPr>
            <w:tcW w:w="474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项目支出：114.28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815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纳入专户管理的非税收入拨款：</w:t>
            </w:r>
          </w:p>
        </w:tc>
        <w:tc>
          <w:tcPr>
            <w:tcW w:w="474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815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其他资金：</w:t>
            </w:r>
          </w:p>
        </w:tc>
        <w:tc>
          <w:tcPr>
            <w:tcW w:w="474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年度总体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目标</w:t>
            </w:r>
          </w:p>
        </w:tc>
        <w:tc>
          <w:tcPr>
            <w:tcW w:w="4815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预期目标</w:t>
            </w:r>
          </w:p>
        </w:tc>
        <w:tc>
          <w:tcPr>
            <w:tcW w:w="474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实际完成情况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815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1.广泛开展全民健身活动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2：优化场馆服务环境，做好体育场馆免费低收费开放工作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3：加强体育组织管理</w:t>
            </w:r>
          </w:p>
        </w:tc>
        <w:tc>
          <w:tcPr>
            <w:tcW w:w="474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.组织开展桃江县第七届全民健身运动会工作，运动会共设置14个竞赛项目，来自全县125个单位、6000多人参与；2.优化场馆服务环境，满足群众健身需求，严格落实体育场馆免低开放要求，场馆每周免费或低收费开放时间不少于35小时，全年免费或低收费开放时间不少于330天。3.积极组织体育赛事，组织承办省级赛事1次、市级赛事2次、县级赛事45次，活动参与人数达12.7万人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exact"/>
        </w:trPr>
        <w:tc>
          <w:tcPr>
            <w:tcW w:w="724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绩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效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指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标</w:t>
            </w:r>
          </w:p>
        </w:tc>
        <w:tc>
          <w:tcPr>
            <w:tcW w:w="945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一级指标</w:t>
            </w:r>
          </w:p>
        </w:tc>
        <w:tc>
          <w:tcPr>
            <w:tcW w:w="795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二级指标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三级指标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年度指标值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实际完成值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自评得分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偏差原因分析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及改进措施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产出指标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（50分）</w:t>
            </w:r>
          </w:p>
        </w:tc>
        <w:tc>
          <w:tcPr>
            <w:tcW w:w="795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数量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指标</w:t>
            </w:r>
          </w:p>
        </w:tc>
        <w:tc>
          <w:tcPr>
            <w:tcW w:w="2219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开展全民健身活动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参与人数1.5万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2万余人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5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组织体育赛事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30场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45场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质量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指标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大型体育场馆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对场馆进行日常维修维护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及时对场馆进行日常维护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3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5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时效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指标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国民体质测试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2023年内完成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完成了3094份国民体质测试数据，国民体质测试合格率98.5%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3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5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开展体育健身技能等培训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2023年内完成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开展9次公益性体育技能培训，1.2万人参与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成本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指标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全民健身工作经费县级配套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22万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22万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8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效益指标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（30分）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社会效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益指标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吸引更多健身爱好者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吸引更多健身爱好者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组织开展“全民健身日”系列活动和“体育宣传周”活动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3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生态效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益指标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为县城公共文化服务体系示范建设增光添彩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丰富公共文化服务体系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为广大群众、单位、团体提供免费的训练场地、教练、裁判服务，开展广场舞、健身气功等技能培训及健康知识讲座、展览等活动。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3" w:hRule="exact"/>
        </w:trPr>
        <w:tc>
          <w:tcPr>
            <w:tcW w:w="7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满意度</w:t>
            </w:r>
          </w:p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指标（10分）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服务对象</w:t>
            </w: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满意度指标</w:t>
            </w:r>
          </w:p>
        </w:tc>
        <w:tc>
          <w:tcPr>
            <w:tcW w:w="2219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健身爱好者满意度</w:t>
            </w:r>
          </w:p>
        </w:tc>
        <w:tc>
          <w:tcPr>
            <w:tcW w:w="856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95%</w:t>
            </w:r>
          </w:p>
        </w:tc>
        <w:tc>
          <w:tcPr>
            <w:tcW w:w="201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434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7549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总分</w:t>
            </w:r>
          </w:p>
        </w:tc>
        <w:tc>
          <w:tcPr>
            <w:tcW w:w="434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</w:p>
        </w:tc>
      </w:tr>
    </w:tbl>
    <w:p>
      <w:pPr>
        <w:autoSpaceDE w:val="0"/>
        <w:autoSpaceDN w:val="0"/>
        <w:spacing w:before="20" w:line="340" w:lineRule="atLeast"/>
        <w:jc w:val="center"/>
        <w:rPr>
          <w:rFonts w:eastAsia="宋体"/>
          <w:kern w:val="0"/>
          <w:sz w:val="21"/>
          <w:szCs w:val="21"/>
        </w:rPr>
      </w:pPr>
      <w:r>
        <w:rPr>
          <w:rFonts w:hAnsi="宋体" w:eastAsia="宋体"/>
          <w:kern w:val="0"/>
          <w:sz w:val="21"/>
          <w:szCs w:val="21"/>
        </w:rPr>
        <w:t>填表人：</w:t>
      </w:r>
      <w:r>
        <w:rPr>
          <w:rFonts w:eastAsia="宋体"/>
          <w:kern w:val="0"/>
          <w:sz w:val="21"/>
          <w:szCs w:val="21"/>
        </w:rPr>
        <w:t xml:space="preserve">          </w:t>
      </w:r>
      <w:r>
        <w:rPr>
          <w:rFonts w:hAnsi="宋体" w:eastAsia="宋体"/>
          <w:kern w:val="0"/>
          <w:sz w:val="21"/>
          <w:szCs w:val="21"/>
        </w:rPr>
        <w:t>填报日期：</w:t>
      </w:r>
      <w:r>
        <w:rPr>
          <w:rFonts w:eastAsia="宋体"/>
          <w:kern w:val="0"/>
          <w:sz w:val="21"/>
          <w:szCs w:val="21"/>
        </w:rPr>
        <w:t xml:space="preserve">           </w:t>
      </w:r>
      <w:r>
        <w:rPr>
          <w:rFonts w:hAnsi="宋体" w:eastAsia="宋体"/>
          <w:kern w:val="0"/>
          <w:sz w:val="21"/>
          <w:szCs w:val="21"/>
        </w:rPr>
        <w:t>联系电话：</w:t>
      </w:r>
      <w:r>
        <w:rPr>
          <w:rFonts w:eastAsia="宋体"/>
          <w:kern w:val="0"/>
          <w:sz w:val="21"/>
          <w:szCs w:val="21"/>
        </w:rPr>
        <w:t xml:space="preserve">                 </w:t>
      </w:r>
      <w:r>
        <w:rPr>
          <w:rFonts w:hAnsi="宋体" w:eastAsia="宋体"/>
          <w:kern w:val="0"/>
          <w:sz w:val="21"/>
          <w:szCs w:val="21"/>
        </w:rPr>
        <w:t>单位负责人签字：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3E83B78"/>
    <w:multiLevelType w:val="singleLevel"/>
    <w:tmpl w:val="D3E83B78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5762DC6"/>
    <w:multiLevelType w:val="singleLevel"/>
    <w:tmpl w:val="D5762DC6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iY2RhYmVjOTdlNWUwZTRiNDI0NzFmZWUwYjhkYTUifQ=="/>
  </w:docVars>
  <w:rsids>
    <w:rsidRoot w:val="5B6F6F96"/>
    <w:rsid w:val="0B8F0C83"/>
    <w:rsid w:val="3CB74575"/>
    <w:rsid w:val="583561F0"/>
    <w:rsid w:val="5B6F6F96"/>
    <w:rsid w:val="7748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autoRedefine/>
    <w:qFormat/>
    <w:uiPriority w:val="0"/>
    <w:pPr>
      <w:spacing w:after="120"/>
    </w:pPr>
    <w:rPr>
      <w:sz w:val="16"/>
      <w:szCs w:val="16"/>
    </w:rPr>
  </w:style>
  <w:style w:type="paragraph" w:styleId="3">
    <w:name w:val="Body Text"/>
    <w:basedOn w:val="1"/>
    <w:next w:val="2"/>
    <w:autoRedefine/>
    <w:unhideWhenUsed/>
    <w:qFormat/>
    <w:uiPriority w:val="0"/>
    <w:pPr>
      <w:spacing w:after="120"/>
    </w:pPr>
    <w:rPr>
      <w:rFonts w:hint="default"/>
      <w:sz w:val="21"/>
      <w:szCs w:val="24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8">
    <w:name w:val="样式1"/>
    <w:basedOn w:val="1"/>
    <w:autoRedefine/>
    <w:qFormat/>
    <w:uiPriority w:val="0"/>
    <w:pPr>
      <w:spacing w:line="594" w:lineRule="exact"/>
      <w:ind w:firstLine="420" w:firstLineChars="200"/>
    </w:pPr>
    <w:rPr>
      <w:rFonts w:ascii="Times New Roman" w:hAnsi="Times New Roman" w:eastAsia="仿宋_GB2312"/>
      <w:sz w:val="3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2024-03-27T03:29:00Z</dcterms:created>
  <dc:creator>WPS_1481010514</dc:creator>
  <cp:lastModifiedBy>Administrator</cp:lastModifiedBy>
  <cp:lastPrinted>2024-04-01T01:57:00Z</cp:lastPrinted>
  <dcterms:modified xsi:type="dcterms:W3CDTF">2024-04-01T03:39:39Z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DEE27BB6CE3C41BAB5B640B254F7CD32_11</vt:lpwstr>
  </property>
</Properties>
</file>