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72"/>
          <w:szCs w:val="7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72"/>
          <w:szCs w:val="7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72"/>
          <w:szCs w:val="7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66"/>
          <w:szCs w:val="66"/>
        </w:rPr>
      </w:pPr>
      <w:r>
        <w:rPr>
          <w:rFonts w:hint="default" w:ascii="Times New Roman" w:hAnsi="Times New Roman" w:eastAsia="方正小标宋简体" w:cs="Times New Roman"/>
          <w:sz w:val="66"/>
          <w:szCs w:val="66"/>
        </w:rPr>
        <w:t>桃江县商务局</w:t>
      </w:r>
    </w:p>
    <w:p>
      <w:pPr>
        <w:jc w:val="center"/>
        <w:rPr>
          <w:rFonts w:hint="default" w:ascii="Times New Roman" w:hAnsi="Times New Roman" w:eastAsia="方正小标宋简体" w:cs="Times New Roman"/>
          <w:sz w:val="66"/>
          <w:szCs w:val="66"/>
        </w:rPr>
      </w:pPr>
      <w:r>
        <w:rPr>
          <w:rFonts w:hint="default" w:ascii="Times New Roman" w:hAnsi="Times New Roman" w:eastAsia="方正小标宋简体" w:cs="Times New Roman"/>
          <w:sz w:val="66"/>
          <w:szCs w:val="66"/>
        </w:rPr>
        <w:t>202</w:t>
      </w:r>
      <w:r>
        <w:rPr>
          <w:rFonts w:hint="default" w:ascii="Times New Roman" w:hAnsi="Times New Roman" w:eastAsia="方正小标宋简体" w:cs="Times New Roman"/>
          <w:sz w:val="66"/>
          <w:szCs w:val="6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66"/>
          <w:szCs w:val="66"/>
        </w:rPr>
        <w:t>年专项支出绩效自评报告</w:t>
      </w:r>
      <w:r>
        <w:rPr>
          <w:rFonts w:hint="default" w:ascii="Times New Roman" w:hAnsi="Times New Roman" w:eastAsia="方正小标宋简体" w:cs="Times New Roman"/>
          <w:sz w:val="66"/>
          <w:szCs w:val="66"/>
        </w:rPr>
        <w:t>（</w:t>
      </w:r>
      <w:r>
        <w:rPr>
          <w:rFonts w:hint="default" w:ascii="Times New Roman" w:hAnsi="Times New Roman" w:eastAsia="方正小标宋简体" w:cs="Times New Roman"/>
          <w:sz w:val="66"/>
          <w:szCs w:val="66"/>
          <w:lang w:val="en-US" w:eastAsia="zh-CN"/>
        </w:rPr>
        <w:t>消费促进</w:t>
      </w:r>
      <w:r>
        <w:rPr>
          <w:rFonts w:hint="default" w:ascii="Times New Roman" w:hAnsi="Times New Roman" w:eastAsia="方正小标宋简体" w:cs="Times New Roman"/>
          <w:sz w:val="66"/>
          <w:szCs w:val="66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72"/>
          <w:szCs w:val="72"/>
        </w:rPr>
        <w:br w:type="page"/>
      </w:r>
      <w:r>
        <w:rPr>
          <w:rFonts w:hint="default" w:ascii="Times New Roman" w:hAnsi="Times New Roman" w:eastAsia="黑体" w:cs="Times New Roman"/>
          <w:sz w:val="44"/>
          <w:szCs w:val="44"/>
        </w:rPr>
        <w:t>目  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   （一）项目单位基本情况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15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（二）项目基本情况简介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（三）项目绩效目标设立情况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二、项目资金使用及管理情况分析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（一）项目资金安排、到位、落实以及总投入等情况及分析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（二）项目资金实际使用情况及分析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（三）项目资金管理情况分析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三、项目组织实施情况分析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（一）项目组织实施情况及分析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（二）项目管理情况及分析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四、项目绩效情况分析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五、绩效评价工作开展情况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（一）绩效评价目的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（二）绩效评价工作过程，主要包括前期准备、组织实施和分析评价等内容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六、其他需要说明的问题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（一）后续工作计划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（二）主要经验做法、存在的问题和建议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kern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Cs w:val="32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</w:rPr>
        <w:t>（一）项目单位基本情况。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桃江县商务局设下列内设机构（均为正股级）：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桃江县商务局贯彻落实党中央关于商务工作的方针政策和决策部署，全面落实省委、市委、县委关于商务工作的部署要求，在履行职责过程中坚持和加强党对商务工作的集中统一领导。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szCs w:val="32"/>
        </w:rPr>
        <w:t>1.办公室（局长热线办、改革办、应急办）。</w:t>
      </w:r>
      <w:r>
        <w:rPr>
          <w:rFonts w:hint="default" w:ascii="Times New Roman" w:hAnsi="Times New Roman" w:cs="Times New Roman"/>
          <w:kern w:val="0"/>
          <w:szCs w:val="32"/>
        </w:rPr>
        <w:t>负责机关日常运转工作；负责机关文电、档案、综合调研、政务公开、绩效考核、后勤接待、宣传信息、综合治理和应急管理等工作；综合协调人大代表建议和政协委员提案的办理工作。</w:t>
      </w:r>
      <w:r>
        <w:rPr>
          <w:rFonts w:hint="default" w:ascii="Times New Roman" w:hAnsi="Times New Roman" w:cs="Times New Roman"/>
          <w:szCs w:val="32"/>
        </w:rPr>
        <w:t>统筹协调“放管服”改革和行政审批制度改革；负责政务窗口的综合管理；负责进驻政务窗口项目的受理、综合协调督促办理、结果回复。</w:t>
      </w:r>
      <w:r>
        <w:rPr>
          <w:rFonts w:hint="default" w:ascii="Times New Roman" w:hAnsi="Times New Roman" w:cs="Times New Roman"/>
          <w:kern w:val="0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2.财务股。负责局机关财务和资产管理有关工作，编报预决算并下达预算，指导所属单位财务管理工作；会同有关科室负责商务专项资金的使用监督工作。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3.人事教育股（党建办、</w:t>
      </w:r>
      <w:r>
        <w:rPr>
          <w:rFonts w:hint="default" w:ascii="Times New Roman" w:hAnsi="Times New Roman" w:cs="Times New Roman"/>
          <w:szCs w:val="32"/>
          <w:lang w:val="en-US" w:eastAsia="zh-CN"/>
        </w:rPr>
        <w:t>乡村振兴</w:t>
      </w:r>
      <w:r>
        <w:rPr>
          <w:rFonts w:hint="default" w:ascii="Times New Roman" w:hAnsi="Times New Roman" w:cs="Times New Roman"/>
          <w:szCs w:val="32"/>
        </w:rPr>
        <w:t>办）。负责局机关和直属单位的组织人事、党建、意识形态、脱贫攻坚、机构编制、工资等工作；负责局机关离退休人员的管理服务工作；负责老龄工作和关心下一代工作。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4.</w:t>
      </w:r>
      <w:r>
        <w:rPr>
          <w:rFonts w:hint="default" w:ascii="Times New Roman" w:hAnsi="Times New Roman" w:cs="Times New Roman"/>
          <w:szCs w:val="32"/>
          <w:lang w:val="en-US" w:eastAsia="zh-CN"/>
        </w:rPr>
        <w:t>行政审批股（法规股）</w:t>
      </w:r>
      <w:r>
        <w:rPr>
          <w:rFonts w:hint="default" w:ascii="Times New Roman" w:hAnsi="Times New Roman" w:cs="Times New Roman"/>
          <w:szCs w:val="32"/>
        </w:rPr>
        <w:t>。承办行政复议、行政诉讼和规范性文件的合法性审核工作；承担全县商务领域涉及世贸组织事务的相关工作；组织协调反倾销、反补贴、保障措施及其他与进出口公平贸易相关工作；协助开展对外贸易调查和产业损害调查，指导协调产业安全应对工作；配合市商务局协调管理本县承担的对外援助项目；负责重大经贸协议、合同、章程和重大争议案的研究与审核。负责全县流通领域安全生产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</w:rPr>
        <w:t>.市场体系建设股。负责拟订促进市场体系建设和城乡市场发展的政策措施；指导城市商业网点规划、商业体系建设和社区商业建设，推进农村市场体系建设；制定大宗产品批发市场规划，推进各类商品市场建设；拟订鼓励类流通设施目录，规范商业领域投资的市场准入程序；承担汽车（含二手车、报废车）流通行业监督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.电子商务股。负责</w:t>
      </w:r>
      <w:r>
        <w:rPr>
          <w:rFonts w:hint="default" w:ascii="Times New Roman" w:hAnsi="Times New Roman" w:cs="Times New Roman"/>
          <w:color w:val="000000"/>
          <w:kern w:val="0"/>
          <w:szCs w:val="32"/>
        </w:rPr>
        <w:t>拟订电子商务发展规划和相关政策措施并组织实施；支持中小企业电子商务应用；推动电子商务服务体系建设，建立电子商务统计和评价体系。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</w:rPr>
        <w:t>.市场运行和消费促进股。负责</w:t>
      </w:r>
      <w:r>
        <w:rPr>
          <w:rFonts w:hint="default" w:ascii="Times New Roman" w:hAnsi="Times New Roman" w:cs="Times New Roman"/>
          <w:kern w:val="0"/>
          <w:szCs w:val="32"/>
        </w:rPr>
        <w:t>拟订市场运行政策措施；监测分析商品市场运行、重要生产资料、商品价格信息、行业发展状况和县内社会消费品零售总额；负责重要商品（肉类、边销茶、小包装食品等）储备管理；按照有关规定对石油成品油流通进行监督管理；统筹全县商务领域消费促进工作；</w:t>
      </w:r>
      <w:r>
        <w:rPr>
          <w:rFonts w:hint="default" w:ascii="Times New Roman" w:hAnsi="Times New Roman" w:cs="Times New Roman"/>
          <w:szCs w:val="32"/>
        </w:rPr>
        <w:t>10.服务贸易和商贸服务业股。</w:t>
      </w:r>
      <w:r>
        <w:rPr>
          <w:rFonts w:hint="default" w:ascii="Times New Roman" w:hAnsi="Times New Roman" w:cs="Times New Roman"/>
          <w:color w:val="000000"/>
          <w:kern w:val="0"/>
          <w:szCs w:val="32"/>
        </w:rPr>
        <w:t>牵头拟订并组织实施全县服务贸易发展规划和政策措施；会同有关部门拟订全县服务外包发展规划和政策措施并组织实施；指导协调服务外包平台建设工作；依法监督管理全县技术进出口工作；负责全县商贸服务业（包括餐饮业、住宿业）的行业管理与促进工作；负责会展业行业管理与促进工作；指导、管理县域内举办的内外经贸各种展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FF0000"/>
          <w:kern w:val="0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</w:rPr>
        <w:t>.对外贸易股。负责拟订全县对外贸易发展规划和政策措施，指导对外贸易促进体系建设；指导企业申领进出口配额和许可证，指导在境内外举办的国际性商品展览会等外贸促进活动；负责全县对外贸易经营者、外国非企业经济组织驻益代表机构管理等工作；负责进出口业务统计、分析和调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kern w:val="0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kern w:val="0"/>
          <w:szCs w:val="32"/>
        </w:rPr>
        <w:t>项目基本情况简介。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深入落实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中央、国务院关于扩大内需、促进消费、稳定增长的决策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部署，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认真落实省促消费二十条政策措施，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坚持五个“维度”综合施策，全面营造消费氛围，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深入挖掘消费热点，持续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释放消费潜能，推动消费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恢复回升。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在政府出“点子”、造氛围、给支持的同时，突出市场主导、主体跟进，放大财政资金杠杆撬动和“四两拨千斤”作用，顺应居民消费升级趋势，投入财政资金发放电子消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费劵180万元，带动300余家企业发放优惠券、促消券3000多万元，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开展多层次的让利促销等活动，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激发市场消费活力。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以“向往新生活•嗨购桃花江”活动为主线，举办新春、五一、中秋国庆3场主题消费购物活动，连接贯通全年的多项系列消费促进活动，营造“季季有主题、月月有活动、周周有场景”的消费氛围，提升居民消费信心和兴趣，激活消费冲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1-12月全年实现社零总额135.78亿元，同比增长7.4%，居全市第三。202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年度共新增限上商贸企业21家。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（三）项目绩效目标设立情况，主要包括项目绩效总目标和阶段性目标，预期主要的经济、政治和社会效益。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Cs w:val="32"/>
        </w:rPr>
        <w:t>二、项目资金使用及管理情况分析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（一）项目资金（包括财政资金、自筹资金等）安排、到位、落实以及总投入等情况及分析。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年共拨付</w:t>
      </w:r>
      <w:r>
        <w:rPr>
          <w:rFonts w:hint="default" w:ascii="Times New Roman" w:hAnsi="Times New Roman" w:cs="Times New Roman"/>
          <w:szCs w:val="32"/>
          <w:lang w:val="en-US" w:eastAsia="zh-CN"/>
        </w:rPr>
        <w:t>消费购物节工作经费103</w:t>
      </w:r>
      <w:r>
        <w:rPr>
          <w:rFonts w:hint="default" w:ascii="Times New Roman" w:hAnsi="Times New Roman" w:cs="Times New Roman"/>
          <w:szCs w:val="32"/>
        </w:rPr>
        <w:t>万元，已全部到位。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项目资金（主要是指财政资金）实际使用情况及分析。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szCs w:val="32"/>
        </w:rPr>
        <w:t>主要包括首届消费购物节工作经费</w:t>
      </w:r>
      <w:r>
        <w:rPr>
          <w:rFonts w:hint="default" w:ascii="Times New Roman" w:hAnsi="Times New Roman" w:cs="Times New Roman"/>
          <w:szCs w:val="32"/>
          <w:lang w:val="en-US" w:eastAsia="zh-CN"/>
        </w:rPr>
        <w:t>50万元、五一消费购物节活动经费30万元、2023年中秋国庆消费购物节消费卷工作经费23万元</w:t>
      </w:r>
      <w:r>
        <w:rPr>
          <w:rFonts w:hint="default" w:ascii="Times New Roman" w:hAnsi="Times New Roman" w:cs="Times New Roman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项目资金管理情况分析，主要包括管理制度、办法的制订及执行情况。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1.项目主体向县商务局申报。申报项目资料要件包括申报材料真实性声明、营业执照、</w:t>
      </w:r>
      <w:r>
        <w:rPr>
          <w:rFonts w:hint="default" w:ascii="Times New Roman" w:hAnsi="Times New Roman" w:cs="Times New Roman"/>
          <w:szCs w:val="32"/>
          <w:lang w:val="en-US" w:eastAsia="zh-CN"/>
        </w:rPr>
        <w:t>消费卷核销等</w:t>
      </w:r>
      <w:r>
        <w:rPr>
          <w:rFonts w:hint="default" w:ascii="Times New Roman" w:hAnsi="Times New Roman" w:cs="Times New Roman"/>
          <w:szCs w:val="32"/>
        </w:rPr>
        <w:t>其他有效证明资料。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2.县商务局根据项目申报资料组织初审。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szCs w:val="32"/>
        </w:rPr>
        <w:t>3.初审通过后，</w:t>
      </w:r>
      <w:r>
        <w:rPr>
          <w:rFonts w:hint="eastAsia" w:cs="Times New Roman"/>
          <w:szCs w:val="32"/>
          <w:lang w:val="en-US" w:eastAsia="zh-CN"/>
        </w:rPr>
        <w:t>桃江县消费购物节组委会</w:t>
      </w:r>
      <w:r>
        <w:rPr>
          <w:rFonts w:hint="default" w:ascii="Times New Roman" w:hAnsi="Times New Roman" w:cs="Times New Roman"/>
          <w:szCs w:val="32"/>
        </w:rPr>
        <w:t>依据本办法，按照公开、透明、规范、合理的原则对</w:t>
      </w:r>
      <w:r>
        <w:rPr>
          <w:rFonts w:hint="default" w:ascii="Times New Roman" w:hAnsi="Times New Roman" w:cs="Times New Roman"/>
          <w:szCs w:val="32"/>
          <w:lang w:val="en-US" w:eastAsia="zh-CN"/>
        </w:rPr>
        <w:t>申报项目</w:t>
      </w:r>
      <w:r>
        <w:rPr>
          <w:rFonts w:hint="default" w:ascii="Times New Roman" w:hAnsi="Times New Roman" w:cs="Times New Roman"/>
          <w:szCs w:val="32"/>
        </w:rPr>
        <w:t>进行</w:t>
      </w:r>
      <w:r>
        <w:rPr>
          <w:rFonts w:hint="default" w:ascii="Times New Roman" w:hAnsi="Times New Roman" w:cs="Times New Roman"/>
          <w:spacing w:val="-4"/>
          <w:szCs w:val="32"/>
        </w:rPr>
        <w:t>评审</w:t>
      </w:r>
      <w:r>
        <w:rPr>
          <w:rFonts w:hint="default" w:ascii="Times New Roman" w:hAnsi="Times New Roman" w:cs="Times New Roman"/>
          <w:spacing w:val="-4"/>
          <w:szCs w:val="32"/>
          <w:lang w:eastAsia="zh-CN"/>
        </w:rPr>
        <w:t>，</w:t>
      </w:r>
      <w:r>
        <w:rPr>
          <w:rFonts w:hint="eastAsia" w:cs="Times New Roman"/>
          <w:spacing w:val="-4"/>
          <w:szCs w:val="32"/>
          <w:lang w:val="en-US" w:eastAsia="zh-CN"/>
        </w:rPr>
        <w:t>再</w:t>
      </w:r>
      <w:r>
        <w:rPr>
          <w:rFonts w:hint="default" w:ascii="Times New Roman" w:hAnsi="Times New Roman" w:cs="Times New Roman"/>
          <w:spacing w:val="-4"/>
          <w:szCs w:val="32"/>
        </w:rPr>
        <w:t>按程序拨付资金。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Cs w:val="32"/>
        </w:rPr>
        <w:t>三、项目组织实施情况分析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0"/>
          <w:szCs w:val="32"/>
        </w:rPr>
      </w:pPr>
      <w:r>
        <w:rPr>
          <w:rFonts w:hint="default" w:ascii="楷体_GB2312" w:hAnsi="楷体_GB2312" w:eastAsia="楷体_GB2312" w:cs="楷体_GB2312"/>
          <w:kern w:val="0"/>
          <w:szCs w:val="32"/>
        </w:rPr>
        <w:t>（一）项目组织实施情况及分析。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出台《桃江县县域消费复苏提升行动方案》《桃江县2023年度推动消费复苏考核办法》等文件，细化实化打造消费场景、完善商业体系、发展节庆经济等十个方面举措，以积极有力的政策支持，促进消费回暖复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kern w:val="0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kern w:val="0"/>
          <w:szCs w:val="32"/>
        </w:rPr>
        <w:t>项目管理情况及分析。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根据项目申报资料组织初审，联合</w:t>
      </w:r>
      <w:r>
        <w:rPr>
          <w:rFonts w:hint="default" w:ascii="Times New Roman" w:hAnsi="Times New Roman" w:cs="Times New Roman"/>
          <w:szCs w:val="32"/>
          <w:lang w:val="en-US" w:eastAsia="zh-CN"/>
        </w:rPr>
        <w:t>相关</w:t>
      </w:r>
      <w:r>
        <w:rPr>
          <w:rFonts w:hint="eastAsia" w:cs="Times New Roman"/>
          <w:szCs w:val="32"/>
          <w:lang w:val="en-US" w:eastAsia="zh-CN"/>
        </w:rPr>
        <w:t>单位</w:t>
      </w:r>
      <w:r>
        <w:rPr>
          <w:rFonts w:hint="default" w:ascii="Times New Roman" w:hAnsi="Times New Roman" w:cs="Times New Roman"/>
          <w:szCs w:val="32"/>
        </w:rPr>
        <w:t>进行联审，</w:t>
      </w:r>
      <w:r>
        <w:rPr>
          <w:rFonts w:hint="default" w:ascii="Times New Roman" w:hAnsi="Times New Roman" w:cs="Times New Roman"/>
          <w:szCs w:val="32"/>
          <w:lang w:val="en-US" w:eastAsia="zh-CN"/>
        </w:rPr>
        <w:t>再按程序</w:t>
      </w:r>
      <w:r>
        <w:rPr>
          <w:rFonts w:hint="default" w:ascii="Times New Roman" w:hAnsi="Times New Roman" w:cs="Times New Roman"/>
          <w:szCs w:val="32"/>
        </w:rPr>
        <w:t>进行拨款。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Cs w:val="32"/>
        </w:rPr>
        <w:t>四、项目绩效情况分析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</w:rPr>
        <w:t>通过发放汽车消费券、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实施新能源汽车置换补贴等方式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促进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汽车销售200余台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</w:rPr>
        <w:t>；联合线上线下平台发放节能家电补贴、举办家电促销节，鼓励家电更新升级消费；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实行购房契税减半政策，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</w:rPr>
        <w:t>降低首付比例、降低房贷利率等方式，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增强居民购房消费意愿，仅消费节期间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销售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商品用房800余套，稳居益阳市第一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落实和创新开发金融促进消费的产品和服务，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建立商贸企业“白名单”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优化对住房、汽车、家电等消费重点领域的金融支持，今年以来，全县各银行业金融机构新增发放消费领域贷款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6.6亿元。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Cs w:val="32"/>
        </w:rPr>
        <w:t>五、绩效评价工作开展情况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0"/>
          <w:szCs w:val="32"/>
        </w:rPr>
      </w:pPr>
      <w:r>
        <w:rPr>
          <w:rFonts w:hint="default" w:ascii="楷体_GB2312" w:hAnsi="楷体_GB2312" w:eastAsia="楷体_GB2312" w:cs="楷体_GB2312"/>
          <w:kern w:val="0"/>
          <w:szCs w:val="32"/>
        </w:rPr>
        <w:t>（一）绩效评价目的。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7" w:firstLineChars="196"/>
        <w:jc w:val="left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按照相关文件精神的要求，及时组织企业申报项目资料，着手实施项目建设，确保建设按时保质完工。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（二）绩效评价工作过程，主要包括前期准备、组织实施和分析评价以及自评结果等内容。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</w:rPr>
        <w:t>一是加强项目申报的前期工作，建好各级项目库，基础资料和数据要真实、完整，项目要切实可行；二是项目的发布和调整要按规定的程序进行；三是各项目资金的拨付和使用以及财务管理，均按财政部门的要求予以落实，由商务部门审核把关，由财政部门按规定拨付渠道予以拨付；切实加强会计核算，健全账簿设置，对资金量大的项目和重点项目专门设置明细账核算，做到项目资金来源清楚，去向明确，使用明白；四是监督部门要对照下达项目的情况进行监督检查，发现问题要及时纠正，并限期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Cs w:val="32"/>
        </w:rPr>
        <w:t>六、其他需要说明的问题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0"/>
          <w:szCs w:val="32"/>
        </w:rPr>
      </w:pPr>
      <w:r>
        <w:rPr>
          <w:rFonts w:hint="default" w:ascii="楷体_GB2312" w:hAnsi="楷体_GB2312" w:eastAsia="楷体_GB2312" w:cs="楷体_GB2312"/>
          <w:kern w:val="0"/>
          <w:szCs w:val="32"/>
        </w:rPr>
        <w:t>（一）后续工作计划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继续把促消费作为稳增长的主抓手，进一步稳预期、强信心；稳改革、强主体；稳市场、强基础，打造具有桃江特色的消费品牌和服务品牌。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0"/>
          <w:szCs w:val="32"/>
        </w:rPr>
      </w:pPr>
      <w:r>
        <w:rPr>
          <w:rFonts w:hint="default" w:ascii="楷体_GB2312" w:hAnsi="楷体_GB2312" w:eastAsia="楷体_GB2312" w:cs="楷体_GB2312"/>
          <w:kern w:val="0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kern w:val="0"/>
          <w:szCs w:val="32"/>
          <w:lang w:val="en-US" w:eastAsia="zh-CN"/>
        </w:rPr>
        <w:t>二）</w:t>
      </w:r>
      <w:r>
        <w:rPr>
          <w:rFonts w:hint="default" w:ascii="楷体_GB2312" w:hAnsi="楷体_GB2312" w:eastAsia="楷体_GB2312" w:cs="楷体_GB2312"/>
          <w:kern w:val="0"/>
          <w:szCs w:val="32"/>
        </w:rPr>
        <w:t>主要经验做法、存在的问题和建议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一是强信心增合力，让消费市场更“暖”。着力构建政府引领、市场主导、全民参与的消费格局，让消费市场“暖”起来，并将促进消费行动列入打好经济增长主动仗重点和县政府“六七八九十”要点任务之一；二是强主体增动力，让消费供给更“足”。大力实施兴主体行动，千方百计促进市场主体提质增效、提速扩量、提档升级；三是强载体增活力，让消费体系更“优”。进一步优化和完善消费载体布局，不断健全“城乡一体+主体多元”的现代商业体系，加快消费基础设施和服务保障能力建设，着力构建更优先更优质的消费体系；四是强业态增引力，让消费场景更“多”。围绕“吃住行游购娱”，着力创设消费新主题、新场景、新环境，打造“桃花江”消费IP，消费新模式加速破圈，消费业态更加丰富多元；五是强服务增潜力，让消费环境更“好”。以开展“环境建设提升年活动”为抓手，大力实施消费优服务行动，全面优化县域消费环境，让消费者敢消费、愿消费、能消费，切实提升县域消费潜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</w:rPr>
        <w:t> </w:t>
      </w:r>
    </w:p>
    <w:sectPr>
      <w:footerReference r:id="rId3" w:type="default"/>
      <w:pgSz w:w="11906" w:h="16838"/>
      <w:pgMar w:top="1871" w:right="1417" w:bottom="1616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3786D2-633E-4785-9C8D-15A72FC150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EE13FA-B9CD-4A6F-8A14-E82B6053A6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D638ED-EEA0-44C8-8E6D-FCD8233AE95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E164813-DB7D-4BE4-8DFD-475175D016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597700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91420"/>
    <w:multiLevelType w:val="singleLevel"/>
    <w:tmpl w:val="9DF91420"/>
    <w:lvl w:ilvl="0" w:tentative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WI2OTBiYWI5Y2NlOTdjZTNhZTFkN2ZhZThlYjQifQ=="/>
  </w:docVars>
  <w:rsids>
    <w:rsidRoot w:val="00000000"/>
    <w:rsid w:val="0F00748E"/>
    <w:rsid w:val="21B550CB"/>
    <w:rsid w:val="4B4E7F5F"/>
    <w:rsid w:val="56DB3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12</Pages>
  <Words>0</Words>
  <Characters>3492</Characters>
  <Lines>0</Lines>
  <Paragraphs>73</Paragraphs>
  <TotalTime>18</TotalTime>
  <ScaleCrop>false</ScaleCrop>
  <LinksUpToDate>false</LinksUpToDate>
  <CharactersWithSpaces>4656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2021-05-10T01:16:00Z</dcterms:created>
  <dc:creator>微软用户</dc:creator>
  <cp:lastModifiedBy>TJXL</cp:lastModifiedBy>
  <cp:lastPrinted>2024-04-28T01:38:44Z</cp:lastPrinted>
  <dcterms:modified xsi:type="dcterms:W3CDTF">2024-04-28T01:38:54Z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3771C2D227154EE491ECB328D217891A_13</vt:lpwstr>
  </property>
</Properties>
</file>