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eastAsia="黑体"/>
          <w:bCs/>
          <w:kern w:val="0"/>
          <w:szCs w:val="32"/>
        </w:rPr>
      </w:pPr>
      <w:r>
        <w:rPr>
          <w:rFonts w:eastAsia="黑体"/>
          <w:bCs/>
          <w:kern w:val="0"/>
          <w:szCs w:val="32"/>
        </w:rPr>
        <w:t>附件1</w:t>
      </w:r>
    </w:p>
    <w:p>
      <w:pPr>
        <w:spacing w:line="594" w:lineRule="exact"/>
        <w:jc w:val="center"/>
        <w:rPr>
          <w:rFonts w:eastAsia="方正小标宋简体"/>
          <w:bCs/>
          <w:kern w:val="0"/>
          <w:sz w:val="44"/>
          <w:szCs w:val="44"/>
        </w:rPr>
      </w:pPr>
      <w:r>
        <w:rPr>
          <w:rFonts w:eastAsia="方正小标宋简体"/>
          <w:bCs/>
          <w:kern w:val="0"/>
          <w:sz w:val="44"/>
          <w:szCs w:val="44"/>
        </w:rPr>
        <w:t>桃江县2023年度部门整体支出绩效评价</w:t>
      </w:r>
    </w:p>
    <w:p>
      <w:pPr>
        <w:spacing w:line="594" w:lineRule="exact"/>
        <w:jc w:val="center"/>
        <w:rPr>
          <w:rFonts w:eastAsia="方正小标宋简体"/>
          <w:bCs/>
          <w:kern w:val="0"/>
          <w:sz w:val="44"/>
          <w:szCs w:val="44"/>
        </w:rPr>
      </w:pPr>
      <w:r>
        <w:rPr>
          <w:rFonts w:eastAsia="方正小标宋简体"/>
          <w:bCs/>
          <w:kern w:val="0"/>
          <w:sz w:val="44"/>
          <w:szCs w:val="44"/>
        </w:rPr>
        <w:t>基础数据表</w:t>
      </w:r>
    </w:p>
    <w:tbl>
      <w:tblPr>
        <w:tblStyle w:val="6"/>
        <w:tblpPr w:leftFromText="180" w:rightFromText="180" w:vertAnchor="text" w:horzAnchor="page" w:tblpXSpec="center" w:tblpY="181"/>
        <w:tblOverlap w:val="never"/>
        <w:tblW w:w="1022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624"/>
        <w:gridCol w:w="1180"/>
        <w:gridCol w:w="880"/>
        <w:gridCol w:w="1100"/>
        <w:gridCol w:w="1100"/>
        <w:gridCol w:w="1060"/>
        <w:gridCol w:w="12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vAlign w:val="center"/>
          </w:tcPr>
          <w:p>
            <w:pPr>
              <w:autoSpaceDE w:val="0"/>
              <w:autoSpaceDN w:val="0"/>
              <w:spacing w:line="360" w:lineRule="exact"/>
              <w:jc w:val="center"/>
              <w:rPr>
                <w:rFonts w:eastAsia="宋体"/>
                <w:kern w:val="0"/>
                <w:sz w:val="24"/>
              </w:rPr>
            </w:pPr>
            <w:r>
              <w:rPr>
                <w:rFonts w:eastAsia="宋体"/>
                <w:kern w:val="0"/>
                <w:sz w:val="24"/>
              </w:rPr>
              <w:t>财政供养人员情况（人）</w:t>
            </w:r>
          </w:p>
        </w:tc>
        <w:tc>
          <w:tcPr>
            <w:tcW w:w="2060" w:type="dxa"/>
            <w:gridSpan w:val="2"/>
          </w:tcPr>
          <w:p>
            <w:pPr>
              <w:autoSpaceDE w:val="0"/>
              <w:autoSpaceDN w:val="0"/>
              <w:spacing w:line="360" w:lineRule="exact"/>
              <w:ind w:firstLine="720" w:firstLineChars="300"/>
              <w:rPr>
                <w:rFonts w:eastAsia="宋体"/>
                <w:kern w:val="0"/>
                <w:sz w:val="24"/>
              </w:rPr>
            </w:pPr>
            <w:r>
              <w:rPr>
                <w:rFonts w:eastAsia="宋体"/>
                <w:kern w:val="0"/>
                <w:sz w:val="24"/>
              </w:rPr>
              <w:t>编制数</w:t>
            </w:r>
          </w:p>
        </w:tc>
        <w:tc>
          <w:tcPr>
            <w:tcW w:w="2200" w:type="dxa"/>
            <w:gridSpan w:val="2"/>
          </w:tcPr>
          <w:p>
            <w:pPr>
              <w:autoSpaceDE w:val="0"/>
              <w:autoSpaceDN w:val="0"/>
              <w:spacing w:line="360" w:lineRule="exact"/>
              <w:rPr>
                <w:rFonts w:eastAsia="宋体"/>
                <w:kern w:val="0"/>
                <w:sz w:val="24"/>
              </w:rPr>
            </w:pPr>
            <w:r>
              <w:rPr>
                <w:rFonts w:eastAsia="宋体"/>
                <w:kern w:val="0"/>
                <w:sz w:val="24"/>
              </w:rPr>
              <w:t>2023年实际在职人数</w:t>
            </w:r>
          </w:p>
        </w:tc>
        <w:tc>
          <w:tcPr>
            <w:tcW w:w="2343" w:type="dxa"/>
            <w:gridSpan w:val="2"/>
          </w:tcPr>
          <w:p>
            <w:pPr>
              <w:autoSpaceDE w:val="0"/>
              <w:autoSpaceDN w:val="0"/>
              <w:spacing w:line="360" w:lineRule="exact"/>
              <w:ind w:firstLine="720" w:firstLineChars="300"/>
              <w:rPr>
                <w:rFonts w:eastAsia="宋体"/>
                <w:kern w:val="0"/>
                <w:sz w:val="24"/>
              </w:rPr>
            </w:pPr>
            <w:r>
              <w:rPr>
                <w:rFonts w:eastAsia="宋体"/>
                <w:kern w:val="0"/>
                <w:sz w:val="24"/>
              </w:rPr>
              <w:t>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vAlign w:val="center"/>
          </w:tcPr>
          <w:p>
            <w:pPr>
              <w:autoSpaceDE w:val="0"/>
              <w:autoSpaceDN w:val="0"/>
              <w:spacing w:line="360" w:lineRule="exact"/>
              <w:ind w:firstLine="720" w:firstLineChars="300"/>
              <w:jc w:val="center"/>
              <w:rPr>
                <w:rFonts w:eastAsia="宋体"/>
                <w:kern w:val="0"/>
                <w:sz w:val="24"/>
              </w:rPr>
            </w:pP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40</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37</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92.5%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Align w:val="center"/>
          </w:tcPr>
          <w:p>
            <w:pPr>
              <w:autoSpaceDE w:val="0"/>
              <w:autoSpaceDN w:val="0"/>
              <w:spacing w:line="360" w:lineRule="exact"/>
              <w:jc w:val="center"/>
              <w:rPr>
                <w:rFonts w:eastAsia="宋体"/>
                <w:kern w:val="0"/>
                <w:sz w:val="24"/>
              </w:rPr>
            </w:pPr>
            <w:r>
              <w:rPr>
                <w:rFonts w:eastAsia="宋体"/>
                <w:kern w:val="0"/>
                <w:sz w:val="24"/>
              </w:rPr>
              <w:t>经费控制情况（万元）</w:t>
            </w:r>
          </w:p>
        </w:tc>
        <w:tc>
          <w:tcPr>
            <w:tcW w:w="2060" w:type="dxa"/>
            <w:gridSpan w:val="2"/>
            <w:vAlign w:val="center"/>
          </w:tcPr>
          <w:p>
            <w:pPr>
              <w:autoSpaceDE w:val="0"/>
              <w:autoSpaceDN w:val="0"/>
              <w:spacing w:line="360" w:lineRule="exact"/>
              <w:jc w:val="center"/>
              <w:rPr>
                <w:rFonts w:eastAsia="宋体"/>
                <w:kern w:val="0"/>
                <w:sz w:val="24"/>
              </w:rPr>
            </w:pPr>
            <w:r>
              <w:rPr>
                <w:rFonts w:eastAsia="宋体"/>
                <w:kern w:val="0"/>
                <w:sz w:val="24"/>
              </w:rPr>
              <w:t>2022年决算数</w:t>
            </w:r>
          </w:p>
        </w:tc>
        <w:tc>
          <w:tcPr>
            <w:tcW w:w="2200" w:type="dxa"/>
            <w:gridSpan w:val="2"/>
            <w:vAlign w:val="center"/>
          </w:tcPr>
          <w:p>
            <w:pPr>
              <w:autoSpaceDE w:val="0"/>
              <w:autoSpaceDN w:val="0"/>
              <w:spacing w:line="360" w:lineRule="exact"/>
              <w:jc w:val="center"/>
              <w:rPr>
                <w:rFonts w:eastAsia="宋体"/>
                <w:kern w:val="0"/>
                <w:sz w:val="24"/>
              </w:rPr>
            </w:pPr>
            <w:r>
              <w:rPr>
                <w:rFonts w:eastAsia="宋体"/>
                <w:kern w:val="0"/>
                <w:sz w:val="24"/>
              </w:rPr>
              <w:t>2023年预算数</w:t>
            </w:r>
          </w:p>
        </w:tc>
        <w:tc>
          <w:tcPr>
            <w:tcW w:w="2343" w:type="dxa"/>
            <w:gridSpan w:val="2"/>
            <w:vAlign w:val="center"/>
          </w:tcPr>
          <w:p>
            <w:pPr>
              <w:autoSpaceDE w:val="0"/>
              <w:autoSpaceDN w:val="0"/>
              <w:spacing w:line="360" w:lineRule="exact"/>
              <w:jc w:val="center"/>
              <w:rPr>
                <w:rFonts w:eastAsia="宋体"/>
                <w:kern w:val="0"/>
                <w:sz w:val="24"/>
              </w:rPr>
            </w:pPr>
            <w:r>
              <w:rPr>
                <w:rFonts w:eastAsia="宋体"/>
                <w:kern w:val="0"/>
                <w:sz w:val="24"/>
              </w:rPr>
              <w:t>2023年决算数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eastAsia="宋体"/>
                <w:kern w:val="0"/>
                <w:sz w:val="24"/>
              </w:rPr>
              <w:t>三公经费：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9.45</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10</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7.95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1、公务用车购置和维护经费</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720" w:firstLineChars="300"/>
              <w:rPr>
                <w:rFonts w:eastAsia="宋体"/>
                <w:kern w:val="0"/>
                <w:sz w:val="24"/>
              </w:rPr>
            </w:pPr>
            <w:r>
              <w:rPr>
                <w:rFonts w:eastAsia="宋体"/>
                <w:kern w:val="0"/>
                <w:sz w:val="24"/>
              </w:rPr>
              <w:t>其中： 公车购置</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1440" w:firstLineChars="600"/>
              <w:rPr>
                <w:rFonts w:eastAsia="宋体"/>
                <w:kern w:val="0"/>
                <w:sz w:val="24"/>
              </w:rPr>
            </w:pPr>
            <w:r>
              <w:rPr>
                <w:rFonts w:eastAsia="宋体"/>
                <w:kern w:val="0"/>
                <w:sz w:val="24"/>
              </w:rPr>
              <w:t>公车运行维护</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2、出国经费</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3、公务接待</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9.45</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10</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7.95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eastAsia="宋体"/>
                <w:kern w:val="0"/>
                <w:sz w:val="24"/>
              </w:rPr>
              <w:t>项目支出：</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2051</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179.18</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179.18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1、业务工作经费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2000</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77</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77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2、运行维护经费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51</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40</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40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hint="eastAsia" w:eastAsia="宋体"/>
                <w:kern w:val="0"/>
                <w:sz w:val="24"/>
              </w:rPr>
              <w:t xml:space="preserve">    3</w:t>
            </w:r>
            <w:r>
              <w:rPr>
                <w:rFonts w:eastAsia="宋体"/>
                <w:kern w:val="0"/>
                <w:sz w:val="24"/>
              </w:rPr>
              <w:t>、</w:t>
            </w:r>
            <w:r>
              <w:rPr>
                <w:rFonts w:hint="eastAsia" w:eastAsia="宋体"/>
                <w:kern w:val="0"/>
                <w:sz w:val="24"/>
              </w:rPr>
              <w:t>追加项目</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62.18</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62.18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eastAsia="宋体"/>
                <w:kern w:val="0"/>
                <w:sz w:val="24"/>
              </w:rPr>
              <w:t>公用经费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25.16</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55.43</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55.43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其中：办公经费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1.02</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7.66</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7.66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1200" w:firstLineChars="500"/>
              <w:rPr>
                <w:rFonts w:eastAsia="宋体"/>
                <w:kern w:val="0"/>
                <w:sz w:val="24"/>
              </w:rPr>
            </w:pPr>
            <w:r>
              <w:rPr>
                <w:rFonts w:eastAsia="宋体"/>
                <w:kern w:val="0"/>
                <w:sz w:val="24"/>
              </w:rPr>
              <w:t>水费、电费、差旅费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6.96</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6.43</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6.43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1200" w:firstLineChars="500"/>
              <w:rPr>
                <w:rFonts w:eastAsia="宋体"/>
                <w:kern w:val="0"/>
                <w:sz w:val="24"/>
              </w:rPr>
            </w:pPr>
            <w:r>
              <w:rPr>
                <w:rFonts w:eastAsia="宋体"/>
                <w:kern w:val="0"/>
                <w:sz w:val="24"/>
              </w:rPr>
              <w:t>会议费、培训费</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eastAsia="宋体"/>
                <w:kern w:val="0"/>
                <w:sz w:val="24"/>
              </w:rPr>
              <w:t>政府采购金额</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21650</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6.55</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6.55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eastAsia="宋体"/>
                <w:kern w:val="0"/>
                <w:sz w:val="24"/>
              </w:rPr>
              <w:t>部门基本支出预算调整</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vAlign w:val="center"/>
          </w:tcPr>
          <w:p>
            <w:pPr>
              <w:autoSpaceDE w:val="0"/>
              <w:autoSpaceDN w:val="0"/>
              <w:spacing w:line="360" w:lineRule="exact"/>
              <w:jc w:val="center"/>
              <w:rPr>
                <w:rFonts w:eastAsia="宋体"/>
                <w:kern w:val="0"/>
                <w:sz w:val="24"/>
              </w:rPr>
            </w:pPr>
            <w:r>
              <w:rPr>
                <w:rFonts w:eastAsia="宋体"/>
                <w:kern w:val="0"/>
                <w:sz w:val="24"/>
              </w:rPr>
              <w:t>楼堂馆所控制情况</w:t>
            </w:r>
          </w:p>
          <w:p>
            <w:pPr>
              <w:autoSpaceDE w:val="0"/>
              <w:autoSpaceDN w:val="0"/>
              <w:spacing w:line="360" w:lineRule="exact"/>
              <w:jc w:val="center"/>
              <w:rPr>
                <w:rFonts w:eastAsia="宋体"/>
                <w:kern w:val="0"/>
                <w:sz w:val="24"/>
              </w:rPr>
            </w:pPr>
            <w:r>
              <w:rPr>
                <w:rFonts w:eastAsia="宋体"/>
                <w:kern w:val="0"/>
                <w:sz w:val="24"/>
              </w:rPr>
              <w:t>（2023年完工项目）</w:t>
            </w:r>
          </w:p>
        </w:tc>
        <w:tc>
          <w:tcPr>
            <w:tcW w:w="1180" w:type="dxa"/>
            <w:vAlign w:val="center"/>
          </w:tcPr>
          <w:p>
            <w:pPr>
              <w:autoSpaceDE w:val="0"/>
              <w:autoSpaceDN w:val="0"/>
              <w:spacing w:line="320" w:lineRule="exact"/>
              <w:jc w:val="center"/>
              <w:rPr>
                <w:rFonts w:eastAsia="宋体"/>
                <w:kern w:val="0"/>
                <w:sz w:val="24"/>
              </w:rPr>
            </w:pPr>
            <w:r>
              <w:rPr>
                <w:rFonts w:eastAsia="宋体"/>
                <w:kern w:val="0"/>
                <w:sz w:val="24"/>
              </w:rPr>
              <w:t>批复规模</w:t>
            </w:r>
          </w:p>
          <w:p>
            <w:pPr>
              <w:autoSpaceDE w:val="0"/>
              <w:autoSpaceDN w:val="0"/>
              <w:spacing w:line="320" w:lineRule="exact"/>
              <w:jc w:val="center"/>
              <w:rPr>
                <w:rFonts w:eastAsia="宋体"/>
                <w:kern w:val="0"/>
                <w:sz w:val="24"/>
              </w:rPr>
            </w:pPr>
            <w:r>
              <w:rPr>
                <w:rFonts w:eastAsia="宋体"/>
                <w:kern w:val="0"/>
                <w:sz w:val="24"/>
              </w:rPr>
              <w:t>（m²）</w:t>
            </w:r>
          </w:p>
        </w:tc>
        <w:tc>
          <w:tcPr>
            <w:tcW w:w="880" w:type="dxa"/>
            <w:vAlign w:val="center"/>
          </w:tcPr>
          <w:p>
            <w:pPr>
              <w:autoSpaceDE w:val="0"/>
              <w:autoSpaceDN w:val="0"/>
              <w:spacing w:line="320" w:lineRule="exact"/>
              <w:jc w:val="center"/>
              <w:rPr>
                <w:rFonts w:eastAsia="宋体"/>
                <w:kern w:val="0"/>
                <w:sz w:val="24"/>
              </w:rPr>
            </w:pPr>
            <w:r>
              <w:rPr>
                <w:rFonts w:eastAsia="宋体"/>
                <w:kern w:val="0"/>
                <w:sz w:val="24"/>
              </w:rPr>
              <w:t>实际规模（m²）</w:t>
            </w:r>
          </w:p>
        </w:tc>
        <w:tc>
          <w:tcPr>
            <w:tcW w:w="1100" w:type="dxa"/>
            <w:vAlign w:val="center"/>
          </w:tcPr>
          <w:p>
            <w:pPr>
              <w:autoSpaceDE w:val="0"/>
              <w:autoSpaceDN w:val="0"/>
              <w:spacing w:line="320" w:lineRule="exact"/>
              <w:jc w:val="center"/>
              <w:rPr>
                <w:rFonts w:eastAsia="宋体"/>
                <w:kern w:val="0"/>
                <w:sz w:val="24"/>
              </w:rPr>
            </w:pPr>
            <w:r>
              <w:rPr>
                <w:rFonts w:eastAsia="宋体"/>
                <w:kern w:val="0"/>
                <w:sz w:val="24"/>
              </w:rPr>
              <w:t>规  模</w:t>
            </w:r>
          </w:p>
          <w:p>
            <w:pPr>
              <w:autoSpaceDE w:val="0"/>
              <w:autoSpaceDN w:val="0"/>
              <w:spacing w:line="320" w:lineRule="exact"/>
              <w:jc w:val="center"/>
              <w:rPr>
                <w:rFonts w:eastAsia="宋体"/>
                <w:kern w:val="0"/>
                <w:sz w:val="24"/>
              </w:rPr>
            </w:pPr>
            <w:r>
              <w:rPr>
                <w:rFonts w:eastAsia="宋体"/>
                <w:kern w:val="0"/>
                <w:sz w:val="24"/>
              </w:rPr>
              <w:t>控制率</w:t>
            </w:r>
          </w:p>
        </w:tc>
        <w:tc>
          <w:tcPr>
            <w:tcW w:w="1100" w:type="dxa"/>
            <w:vAlign w:val="center"/>
          </w:tcPr>
          <w:p>
            <w:pPr>
              <w:autoSpaceDE w:val="0"/>
              <w:autoSpaceDN w:val="0"/>
              <w:spacing w:line="320" w:lineRule="exact"/>
              <w:jc w:val="center"/>
              <w:rPr>
                <w:rFonts w:eastAsia="宋体"/>
                <w:kern w:val="0"/>
                <w:sz w:val="24"/>
              </w:rPr>
            </w:pPr>
            <w:r>
              <w:rPr>
                <w:rFonts w:eastAsia="宋体"/>
                <w:kern w:val="0"/>
                <w:sz w:val="24"/>
              </w:rPr>
              <w:t>预算投资（万元）</w:t>
            </w:r>
          </w:p>
        </w:tc>
        <w:tc>
          <w:tcPr>
            <w:tcW w:w="1060" w:type="dxa"/>
            <w:vAlign w:val="center"/>
          </w:tcPr>
          <w:p>
            <w:pPr>
              <w:autoSpaceDE w:val="0"/>
              <w:autoSpaceDN w:val="0"/>
              <w:spacing w:line="320" w:lineRule="exact"/>
              <w:jc w:val="center"/>
              <w:rPr>
                <w:rFonts w:eastAsia="宋体"/>
                <w:kern w:val="0"/>
                <w:sz w:val="24"/>
              </w:rPr>
            </w:pPr>
            <w:r>
              <w:rPr>
                <w:rFonts w:eastAsia="宋体"/>
                <w:kern w:val="0"/>
                <w:sz w:val="24"/>
              </w:rPr>
              <w:t>实际投资</w:t>
            </w:r>
          </w:p>
          <w:p>
            <w:pPr>
              <w:autoSpaceDE w:val="0"/>
              <w:autoSpaceDN w:val="0"/>
              <w:spacing w:line="320" w:lineRule="exact"/>
              <w:jc w:val="center"/>
              <w:rPr>
                <w:rFonts w:eastAsia="宋体"/>
                <w:kern w:val="0"/>
                <w:sz w:val="24"/>
              </w:rPr>
            </w:pPr>
            <w:r>
              <w:rPr>
                <w:rFonts w:eastAsia="宋体"/>
                <w:kern w:val="0"/>
                <w:sz w:val="24"/>
              </w:rPr>
              <w:t>（万元）</w:t>
            </w:r>
          </w:p>
        </w:tc>
        <w:tc>
          <w:tcPr>
            <w:tcW w:w="1283" w:type="dxa"/>
            <w:vAlign w:val="center"/>
          </w:tcPr>
          <w:p>
            <w:pPr>
              <w:autoSpaceDE w:val="0"/>
              <w:autoSpaceDN w:val="0"/>
              <w:spacing w:line="320" w:lineRule="exact"/>
              <w:jc w:val="center"/>
              <w:rPr>
                <w:rFonts w:eastAsia="宋体"/>
                <w:kern w:val="0"/>
                <w:sz w:val="24"/>
              </w:rPr>
            </w:pPr>
            <w:r>
              <w:rPr>
                <w:rFonts w:eastAsia="宋体"/>
                <w:kern w:val="0"/>
                <w:sz w:val="24"/>
              </w:rPr>
              <w:t>投资概算</w:t>
            </w:r>
          </w:p>
          <w:p>
            <w:pPr>
              <w:autoSpaceDE w:val="0"/>
              <w:autoSpaceDN w:val="0"/>
              <w:spacing w:line="320" w:lineRule="exact"/>
              <w:jc w:val="center"/>
              <w:rPr>
                <w:rFonts w:eastAsia="宋体"/>
                <w:kern w:val="0"/>
                <w:sz w:val="24"/>
              </w:rPr>
            </w:pPr>
            <w:r>
              <w:rPr>
                <w:rFonts w:eastAsia="宋体"/>
                <w:kern w:val="0"/>
                <w:sz w:val="24"/>
              </w:rPr>
              <w:t>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tcPr>
          <w:p>
            <w:pPr>
              <w:autoSpaceDE w:val="0"/>
              <w:autoSpaceDN w:val="0"/>
              <w:spacing w:line="360" w:lineRule="exact"/>
              <w:ind w:firstLine="720" w:firstLineChars="300"/>
              <w:rPr>
                <w:rFonts w:eastAsia="宋体"/>
                <w:kern w:val="0"/>
                <w:sz w:val="24"/>
              </w:rPr>
            </w:pPr>
          </w:p>
        </w:tc>
        <w:tc>
          <w:tcPr>
            <w:tcW w:w="1180" w:type="dxa"/>
          </w:tcPr>
          <w:p>
            <w:pPr>
              <w:autoSpaceDE w:val="0"/>
              <w:autoSpaceDN w:val="0"/>
              <w:spacing w:line="360" w:lineRule="exact"/>
              <w:ind w:firstLine="720" w:firstLineChars="300"/>
              <w:rPr>
                <w:rFonts w:eastAsia="宋体"/>
                <w:kern w:val="0"/>
                <w:sz w:val="24"/>
              </w:rPr>
            </w:pPr>
          </w:p>
        </w:tc>
        <w:tc>
          <w:tcPr>
            <w:tcW w:w="880" w:type="dxa"/>
          </w:tcPr>
          <w:p>
            <w:pPr>
              <w:autoSpaceDE w:val="0"/>
              <w:autoSpaceDN w:val="0"/>
              <w:spacing w:line="360" w:lineRule="exact"/>
              <w:ind w:firstLine="720" w:firstLineChars="300"/>
              <w:rPr>
                <w:rFonts w:eastAsia="宋体"/>
                <w:kern w:val="0"/>
                <w:sz w:val="24"/>
              </w:rPr>
            </w:pPr>
          </w:p>
        </w:tc>
        <w:tc>
          <w:tcPr>
            <w:tcW w:w="1100" w:type="dxa"/>
          </w:tcPr>
          <w:p>
            <w:pPr>
              <w:autoSpaceDE w:val="0"/>
              <w:autoSpaceDN w:val="0"/>
              <w:spacing w:line="360" w:lineRule="exact"/>
              <w:ind w:firstLine="720" w:firstLineChars="300"/>
              <w:rPr>
                <w:rFonts w:eastAsia="宋体"/>
                <w:kern w:val="0"/>
                <w:sz w:val="24"/>
              </w:rPr>
            </w:pPr>
          </w:p>
        </w:tc>
        <w:tc>
          <w:tcPr>
            <w:tcW w:w="1100" w:type="dxa"/>
          </w:tcPr>
          <w:p>
            <w:pPr>
              <w:autoSpaceDE w:val="0"/>
              <w:autoSpaceDN w:val="0"/>
              <w:spacing w:line="360" w:lineRule="exact"/>
              <w:ind w:firstLine="720" w:firstLineChars="300"/>
              <w:rPr>
                <w:rFonts w:eastAsia="宋体"/>
                <w:kern w:val="0"/>
                <w:sz w:val="24"/>
              </w:rPr>
            </w:pPr>
          </w:p>
        </w:tc>
        <w:tc>
          <w:tcPr>
            <w:tcW w:w="1060" w:type="dxa"/>
          </w:tcPr>
          <w:p>
            <w:pPr>
              <w:autoSpaceDE w:val="0"/>
              <w:autoSpaceDN w:val="0"/>
              <w:spacing w:line="360" w:lineRule="exact"/>
              <w:ind w:firstLine="720" w:firstLineChars="300"/>
              <w:rPr>
                <w:rFonts w:eastAsia="宋体"/>
                <w:kern w:val="0"/>
                <w:sz w:val="24"/>
              </w:rPr>
            </w:pPr>
          </w:p>
        </w:tc>
        <w:tc>
          <w:tcPr>
            <w:tcW w:w="1283" w:type="dxa"/>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28" w:hRule="atLeast"/>
        </w:trPr>
        <w:tc>
          <w:tcPr>
            <w:tcW w:w="3624" w:type="dxa"/>
            <w:vAlign w:val="center"/>
          </w:tcPr>
          <w:p>
            <w:pPr>
              <w:autoSpaceDE w:val="0"/>
              <w:autoSpaceDN w:val="0"/>
              <w:spacing w:line="360" w:lineRule="exact"/>
              <w:ind w:firstLine="720" w:firstLineChars="300"/>
              <w:rPr>
                <w:rFonts w:eastAsia="宋体"/>
                <w:kern w:val="0"/>
                <w:sz w:val="24"/>
              </w:rPr>
            </w:pPr>
            <w:r>
              <w:rPr>
                <w:rFonts w:eastAsia="宋体"/>
                <w:kern w:val="0"/>
                <w:sz w:val="24"/>
              </w:rPr>
              <w:t>厉行节约保障措施</w:t>
            </w:r>
          </w:p>
        </w:tc>
        <w:tc>
          <w:tcPr>
            <w:tcW w:w="6603" w:type="dxa"/>
            <w:gridSpan w:val="6"/>
          </w:tcPr>
          <w:p>
            <w:pPr>
              <w:autoSpaceDE w:val="0"/>
              <w:autoSpaceDN w:val="0"/>
              <w:spacing w:line="360" w:lineRule="exact"/>
              <w:rPr>
                <w:rFonts w:eastAsia="宋体"/>
                <w:kern w:val="0"/>
                <w:sz w:val="21"/>
                <w:szCs w:val="21"/>
              </w:rPr>
            </w:pPr>
            <w:r>
              <w:rPr>
                <w:rFonts w:hint="eastAsia" w:eastAsia="宋体"/>
                <w:kern w:val="0"/>
                <w:sz w:val="21"/>
                <w:szCs w:val="21"/>
              </w:rPr>
              <w:t>1、加大宣传教育，提高节约意识；2、制定相关制度，强化节约意识；3、开展节能减排工作；4、加强对资源的管理利用，实现资源的优化配置。</w:t>
            </w:r>
          </w:p>
        </w:tc>
      </w:tr>
    </w:tbl>
    <w:p>
      <w:pPr>
        <w:autoSpaceDE w:val="0"/>
        <w:autoSpaceDN w:val="0"/>
        <w:spacing w:before="20" w:line="340" w:lineRule="atLeast"/>
        <w:rPr>
          <w:rFonts w:eastAsia="宋体"/>
          <w:kern w:val="0"/>
          <w:sz w:val="21"/>
          <w:szCs w:val="21"/>
        </w:rPr>
      </w:pPr>
      <w:r>
        <w:rPr>
          <w:rFonts w:hAnsi="宋体" w:eastAsia="宋体"/>
          <w:kern w:val="0"/>
          <w:sz w:val="21"/>
          <w:szCs w:val="21"/>
        </w:rPr>
        <w:t>说明：</w:t>
      </w:r>
      <w:r>
        <w:rPr>
          <w:rFonts w:eastAsia="宋体"/>
          <w:kern w:val="0"/>
          <w:sz w:val="21"/>
          <w:szCs w:val="21"/>
        </w:rPr>
        <w:t xml:space="preserve"> “</w:t>
      </w:r>
      <w:r>
        <w:rPr>
          <w:rFonts w:hAnsi="宋体" w:eastAsia="宋体"/>
          <w:kern w:val="0"/>
          <w:sz w:val="21"/>
          <w:szCs w:val="21"/>
        </w:rPr>
        <w:t>项目支出</w:t>
      </w:r>
      <w:r>
        <w:rPr>
          <w:rFonts w:eastAsia="宋体"/>
          <w:kern w:val="0"/>
          <w:sz w:val="21"/>
          <w:szCs w:val="21"/>
        </w:rPr>
        <w:t>”</w:t>
      </w:r>
      <w:r>
        <w:rPr>
          <w:rFonts w:hAnsi="宋体" w:eastAsia="宋体"/>
          <w:kern w:val="0"/>
          <w:sz w:val="21"/>
          <w:szCs w:val="21"/>
        </w:rPr>
        <w:t>需要填报基本支出以外的所有项目支出情况，</w:t>
      </w:r>
      <w:r>
        <w:rPr>
          <w:rFonts w:eastAsia="宋体"/>
          <w:kern w:val="0"/>
          <w:sz w:val="21"/>
          <w:szCs w:val="21"/>
        </w:rPr>
        <w:t>“</w:t>
      </w:r>
      <w:r>
        <w:rPr>
          <w:rFonts w:hAnsi="宋体" w:eastAsia="宋体"/>
          <w:kern w:val="0"/>
          <w:sz w:val="21"/>
          <w:szCs w:val="21"/>
        </w:rPr>
        <w:t>公用经费</w:t>
      </w:r>
      <w:r>
        <w:rPr>
          <w:rFonts w:eastAsia="宋体"/>
          <w:kern w:val="0"/>
          <w:sz w:val="21"/>
          <w:szCs w:val="21"/>
        </w:rPr>
        <w:t>”</w:t>
      </w:r>
      <w:r>
        <w:rPr>
          <w:rFonts w:hAnsi="宋体" w:eastAsia="宋体"/>
          <w:kern w:val="0"/>
          <w:sz w:val="21"/>
          <w:szCs w:val="21"/>
        </w:rPr>
        <w:t>填报基本支出中的一般商品和服务支出。</w:t>
      </w:r>
    </w:p>
    <w:p>
      <w:pPr>
        <w:autoSpaceDE w:val="0"/>
        <w:autoSpaceDN w:val="0"/>
        <w:spacing w:before="20" w:line="340" w:lineRule="atLeast"/>
        <w:rPr>
          <w:rFonts w:hint="eastAsia" w:eastAsia="宋体"/>
          <w:kern w:val="0"/>
          <w:sz w:val="21"/>
          <w:szCs w:val="21"/>
          <w:lang w:eastAsia="zh-CN"/>
        </w:rPr>
      </w:pPr>
      <w:r>
        <w:rPr>
          <w:rFonts w:hAnsi="宋体" w:eastAsia="宋体"/>
          <w:kern w:val="0"/>
          <w:sz w:val="21"/>
          <w:szCs w:val="21"/>
        </w:rPr>
        <w:t>填表人：</w:t>
      </w:r>
      <w:r>
        <w:rPr>
          <w:rFonts w:hint="eastAsia" w:hAnsi="宋体" w:eastAsia="宋体"/>
          <w:kern w:val="0"/>
          <w:sz w:val="21"/>
          <w:szCs w:val="21"/>
          <w:lang w:eastAsia="zh-CN"/>
        </w:rPr>
        <w:t>薛卫华</w:t>
      </w:r>
      <w:r>
        <w:rPr>
          <w:rFonts w:hint="eastAsia" w:hAnsi="宋体"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2024.4.18</w:t>
      </w:r>
      <w:r>
        <w:rPr>
          <w:rFonts w:hint="eastAsia" w:hAnsi="宋体" w:eastAsia="宋体"/>
          <w:kern w:val="0"/>
          <w:sz w:val="21"/>
          <w:szCs w:val="21"/>
        </w:rPr>
        <w:t xml:space="preserve">     </w:t>
      </w:r>
      <w:r>
        <w:rPr>
          <w:rFonts w:hAnsi="宋体" w:eastAsia="宋体"/>
          <w:kern w:val="0"/>
          <w:sz w:val="21"/>
          <w:szCs w:val="21"/>
        </w:rPr>
        <w:t>联系电话：</w:t>
      </w:r>
      <w:r>
        <w:rPr>
          <w:rFonts w:hint="eastAsia" w:hAnsi="宋体" w:eastAsia="宋体"/>
          <w:kern w:val="0"/>
          <w:sz w:val="21"/>
          <w:szCs w:val="21"/>
          <w:lang w:val="en-US" w:eastAsia="zh-CN"/>
        </w:rPr>
        <w:t>8822798</w:t>
      </w:r>
      <w:r>
        <w:rPr>
          <w:rFonts w:hint="eastAsia" w:hAnsi="宋体"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rPr>
        <w:t>：</w:t>
      </w:r>
    </w:p>
    <w:p>
      <w:pPr>
        <w:jc w:val="left"/>
        <w:rPr>
          <w:rFonts w:eastAsia="黑体"/>
          <w:bCs/>
          <w:kern w:val="0"/>
          <w:szCs w:val="32"/>
        </w:rPr>
      </w:pPr>
      <w:r>
        <w:rPr>
          <w:rFonts w:eastAsia="黑体"/>
          <w:bCs/>
          <w:kern w:val="0"/>
          <w:szCs w:val="32"/>
        </w:rPr>
        <w:t>附件2</w:t>
      </w:r>
    </w:p>
    <w:p>
      <w:pPr>
        <w:spacing w:line="560" w:lineRule="exact"/>
        <w:jc w:val="center"/>
        <w:rPr>
          <w:rFonts w:eastAsia="方正小标宋简体"/>
          <w:bCs/>
          <w:kern w:val="0"/>
          <w:sz w:val="44"/>
          <w:szCs w:val="44"/>
        </w:rPr>
      </w:pPr>
      <w:r>
        <w:rPr>
          <w:rFonts w:eastAsia="方正小标宋简体"/>
          <w:bCs/>
          <w:kern w:val="0"/>
          <w:sz w:val="44"/>
          <w:szCs w:val="44"/>
        </w:rPr>
        <w:t>桃江县2023年度部门整体支出绩效自评表</w:t>
      </w:r>
    </w:p>
    <w:tbl>
      <w:tblPr>
        <w:tblStyle w:val="6"/>
        <w:tblpPr w:leftFromText="180" w:rightFromText="180" w:vertAnchor="text" w:horzAnchor="page" w:tblpXSpec="center" w:tblpY="111"/>
        <w:tblOverlap w:val="never"/>
        <w:tblW w:w="102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80"/>
        <w:gridCol w:w="1080"/>
        <w:gridCol w:w="1216"/>
        <w:gridCol w:w="1407"/>
        <w:gridCol w:w="1320"/>
        <w:gridCol w:w="1260"/>
        <w:gridCol w:w="720"/>
        <w:gridCol w:w="860"/>
        <w:gridCol w:w="144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3276" w:type="dxa"/>
            <w:gridSpan w:val="3"/>
            <w:vAlign w:val="center"/>
          </w:tcPr>
          <w:p>
            <w:pPr>
              <w:autoSpaceDE w:val="0"/>
              <w:autoSpaceDN w:val="0"/>
              <w:spacing w:line="300" w:lineRule="exact"/>
              <w:jc w:val="center"/>
              <w:rPr>
                <w:rFonts w:eastAsia="宋体"/>
                <w:kern w:val="0"/>
                <w:sz w:val="21"/>
                <w:szCs w:val="21"/>
              </w:rPr>
            </w:pPr>
            <w:r>
              <w:rPr>
                <w:rFonts w:eastAsia="宋体"/>
                <w:kern w:val="0"/>
                <w:sz w:val="21"/>
                <w:szCs w:val="21"/>
              </w:rPr>
              <w:t>县级预算部门、单位名称</w:t>
            </w:r>
          </w:p>
        </w:tc>
        <w:tc>
          <w:tcPr>
            <w:tcW w:w="7007" w:type="dxa"/>
            <w:gridSpan w:val="6"/>
            <w:vAlign w:val="center"/>
          </w:tcPr>
          <w:p>
            <w:pPr>
              <w:autoSpaceDE w:val="0"/>
              <w:autoSpaceDN w:val="0"/>
              <w:spacing w:line="300" w:lineRule="exact"/>
              <w:jc w:val="center"/>
              <w:rPr>
                <w:rFonts w:eastAsia="宋体"/>
                <w:kern w:val="0"/>
                <w:sz w:val="21"/>
                <w:szCs w:val="21"/>
              </w:rPr>
            </w:pPr>
            <w:r>
              <w:rPr>
                <w:rFonts w:hint="eastAsia" w:eastAsia="宋体"/>
                <w:kern w:val="0"/>
                <w:sz w:val="21"/>
                <w:szCs w:val="21"/>
              </w:rPr>
              <w:t>桃江县征地拆迁安置与房屋征收补偿事务中心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年度预</w:t>
            </w:r>
          </w:p>
          <w:p>
            <w:pPr>
              <w:autoSpaceDE w:val="0"/>
              <w:autoSpaceDN w:val="0"/>
              <w:spacing w:line="300" w:lineRule="exact"/>
              <w:jc w:val="center"/>
              <w:rPr>
                <w:rFonts w:eastAsia="宋体"/>
                <w:kern w:val="0"/>
                <w:sz w:val="21"/>
                <w:szCs w:val="21"/>
              </w:rPr>
            </w:pPr>
            <w:r>
              <w:rPr>
                <w:rFonts w:eastAsia="宋体"/>
                <w:kern w:val="0"/>
                <w:sz w:val="21"/>
                <w:szCs w:val="21"/>
              </w:rPr>
              <w:t>算申请</w:t>
            </w:r>
          </w:p>
          <w:p>
            <w:pPr>
              <w:autoSpaceDE w:val="0"/>
              <w:autoSpaceDN w:val="0"/>
              <w:spacing w:line="300" w:lineRule="exact"/>
              <w:jc w:val="center"/>
              <w:rPr>
                <w:rFonts w:eastAsia="宋体"/>
                <w:kern w:val="0"/>
                <w:sz w:val="21"/>
                <w:szCs w:val="21"/>
              </w:rPr>
            </w:pPr>
            <w:r>
              <w:rPr>
                <w:rFonts w:eastAsia="宋体"/>
                <w:kern w:val="0"/>
                <w:sz w:val="21"/>
                <w:szCs w:val="21"/>
              </w:rPr>
              <w:t>（万元）</w:t>
            </w:r>
          </w:p>
        </w:tc>
        <w:tc>
          <w:tcPr>
            <w:tcW w:w="2296" w:type="dxa"/>
            <w:gridSpan w:val="2"/>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21"/>
                <w:szCs w:val="21"/>
              </w:rPr>
            </w:pPr>
            <w:r>
              <w:rPr>
                <w:rFonts w:eastAsia="宋体"/>
                <w:kern w:val="0"/>
                <w:sz w:val="21"/>
                <w:szCs w:val="21"/>
              </w:rPr>
              <w:t>年初预算数</w:t>
            </w:r>
          </w:p>
        </w:tc>
        <w:tc>
          <w:tcPr>
            <w:tcW w:w="1320" w:type="dxa"/>
          </w:tcPr>
          <w:p>
            <w:pPr>
              <w:autoSpaceDE w:val="0"/>
              <w:autoSpaceDN w:val="0"/>
              <w:spacing w:line="300" w:lineRule="exact"/>
              <w:jc w:val="center"/>
              <w:rPr>
                <w:rFonts w:eastAsia="宋体"/>
                <w:kern w:val="0"/>
                <w:sz w:val="21"/>
                <w:szCs w:val="21"/>
              </w:rPr>
            </w:pPr>
            <w:r>
              <w:rPr>
                <w:rFonts w:eastAsia="宋体"/>
                <w:kern w:val="0"/>
                <w:sz w:val="21"/>
                <w:szCs w:val="21"/>
              </w:rPr>
              <w:t>全年预算数</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全年执行数</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执行率</w:t>
            </w:r>
          </w:p>
        </w:tc>
        <w:tc>
          <w:tcPr>
            <w:tcW w:w="1440" w:type="dxa"/>
          </w:tcPr>
          <w:p>
            <w:pPr>
              <w:autoSpaceDE w:val="0"/>
              <w:autoSpaceDN w:val="0"/>
              <w:spacing w:line="300" w:lineRule="exact"/>
              <w:jc w:val="center"/>
              <w:rPr>
                <w:rFonts w:eastAsia="宋体"/>
                <w:kern w:val="0"/>
                <w:sz w:val="21"/>
                <w:szCs w:val="21"/>
              </w:rPr>
            </w:pPr>
            <w:r>
              <w:rPr>
                <w:rFonts w:eastAsia="宋体"/>
                <w:kern w:val="0"/>
                <w:sz w:val="21"/>
                <w:szCs w:val="21"/>
              </w:rPr>
              <w:t>自评得分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pPr>
              <w:autoSpaceDE w:val="0"/>
              <w:autoSpaceDN w:val="0"/>
              <w:spacing w:line="300" w:lineRule="exact"/>
              <w:jc w:val="center"/>
              <w:rPr>
                <w:rFonts w:eastAsia="宋体"/>
                <w:kern w:val="0"/>
                <w:sz w:val="21"/>
                <w:szCs w:val="21"/>
              </w:rPr>
            </w:pPr>
          </w:p>
        </w:tc>
        <w:tc>
          <w:tcPr>
            <w:tcW w:w="2296" w:type="dxa"/>
            <w:gridSpan w:val="2"/>
          </w:tcPr>
          <w:p>
            <w:pPr>
              <w:autoSpaceDE w:val="0"/>
              <w:autoSpaceDN w:val="0"/>
              <w:spacing w:line="300" w:lineRule="exact"/>
              <w:jc w:val="center"/>
              <w:rPr>
                <w:rFonts w:eastAsia="宋体"/>
                <w:kern w:val="0"/>
                <w:sz w:val="21"/>
                <w:szCs w:val="21"/>
              </w:rPr>
            </w:pPr>
            <w:r>
              <w:rPr>
                <w:rFonts w:eastAsia="宋体"/>
                <w:kern w:val="0"/>
                <w:sz w:val="21"/>
                <w:szCs w:val="21"/>
              </w:rPr>
              <w:t>年度资金总额</w:t>
            </w:r>
          </w:p>
        </w:tc>
        <w:tc>
          <w:tcPr>
            <w:tcW w:w="1407" w:type="dxa"/>
          </w:tcPr>
          <w:p>
            <w:pPr>
              <w:autoSpaceDE w:val="0"/>
              <w:autoSpaceDN w:val="0"/>
              <w:spacing w:line="300" w:lineRule="exact"/>
              <w:jc w:val="center"/>
              <w:rPr>
                <w:rFonts w:eastAsia="宋体"/>
                <w:kern w:val="0"/>
                <w:sz w:val="21"/>
                <w:szCs w:val="21"/>
              </w:rPr>
            </w:pPr>
            <w:r>
              <w:rPr>
                <w:rFonts w:hint="eastAsia" w:eastAsia="宋体"/>
                <w:kern w:val="0"/>
                <w:sz w:val="21"/>
                <w:szCs w:val="21"/>
              </w:rPr>
              <w:t>586.95</w:t>
            </w:r>
          </w:p>
        </w:tc>
        <w:tc>
          <w:tcPr>
            <w:tcW w:w="1320" w:type="dxa"/>
          </w:tcPr>
          <w:p>
            <w:pPr>
              <w:autoSpaceDE w:val="0"/>
              <w:autoSpaceDN w:val="0"/>
              <w:spacing w:line="300" w:lineRule="exact"/>
              <w:jc w:val="center"/>
              <w:rPr>
                <w:rFonts w:eastAsia="宋体"/>
                <w:kern w:val="0"/>
                <w:sz w:val="21"/>
                <w:szCs w:val="21"/>
              </w:rPr>
            </w:pPr>
            <w:r>
              <w:rPr>
                <w:rFonts w:hint="eastAsia" w:eastAsia="宋体"/>
                <w:kern w:val="0"/>
                <w:sz w:val="21"/>
                <w:szCs w:val="21"/>
              </w:rPr>
              <w:t>584.90</w:t>
            </w:r>
          </w:p>
        </w:tc>
        <w:tc>
          <w:tcPr>
            <w:tcW w:w="1260" w:type="dxa"/>
          </w:tcPr>
          <w:p>
            <w:pPr>
              <w:autoSpaceDE w:val="0"/>
              <w:autoSpaceDN w:val="0"/>
              <w:spacing w:line="300" w:lineRule="exact"/>
              <w:jc w:val="center"/>
              <w:rPr>
                <w:rFonts w:eastAsia="宋体"/>
                <w:kern w:val="0"/>
                <w:sz w:val="21"/>
                <w:szCs w:val="21"/>
              </w:rPr>
            </w:pPr>
            <w:r>
              <w:rPr>
                <w:rFonts w:hint="eastAsia" w:eastAsia="宋体"/>
                <w:kern w:val="0"/>
                <w:sz w:val="21"/>
                <w:szCs w:val="21"/>
              </w:rPr>
              <w:t>584.90</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tcPr>
          <w:p>
            <w:pPr>
              <w:autoSpaceDE w:val="0"/>
              <w:autoSpaceDN w:val="0"/>
              <w:spacing w:line="300" w:lineRule="exact"/>
              <w:jc w:val="center"/>
              <w:rPr>
                <w:rFonts w:eastAsia="宋体"/>
                <w:kern w:val="0"/>
                <w:sz w:val="21"/>
                <w:szCs w:val="21"/>
              </w:rPr>
            </w:pPr>
            <w:r>
              <w:rPr>
                <w:rFonts w:hint="eastAsia" w:eastAsia="宋体"/>
                <w:kern w:val="0"/>
                <w:sz w:val="21"/>
                <w:szCs w:val="21"/>
              </w:rPr>
              <w:t>100%</w:t>
            </w:r>
          </w:p>
        </w:tc>
        <w:tc>
          <w:tcPr>
            <w:tcW w:w="1440" w:type="dxa"/>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pPr>
              <w:autoSpaceDE w:val="0"/>
              <w:autoSpaceDN w:val="0"/>
              <w:spacing w:line="300" w:lineRule="exact"/>
              <w:jc w:val="center"/>
              <w:rPr>
                <w:rFonts w:eastAsia="宋体"/>
                <w:kern w:val="0"/>
                <w:sz w:val="21"/>
                <w:szCs w:val="21"/>
              </w:rPr>
            </w:pPr>
          </w:p>
        </w:tc>
        <w:tc>
          <w:tcPr>
            <w:tcW w:w="5023" w:type="dxa"/>
            <w:gridSpan w:val="4"/>
          </w:tcPr>
          <w:p>
            <w:pPr>
              <w:autoSpaceDE w:val="0"/>
              <w:autoSpaceDN w:val="0"/>
              <w:spacing w:line="300" w:lineRule="exact"/>
              <w:rPr>
                <w:rFonts w:eastAsia="宋体"/>
                <w:kern w:val="0"/>
                <w:sz w:val="21"/>
                <w:szCs w:val="21"/>
              </w:rPr>
            </w:pPr>
            <w:r>
              <w:rPr>
                <w:rFonts w:eastAsia="宋体"/>
                <w:kern w:val="0"/>
                <w:sz w:val="21"/>
                <w:szCs w:val="21"/>
              </w:rPr>
              <w:t>按收入性质分：</w:t>
            </w:r>
            <w:r>
              <w:rPr>
                <w:rFonts w:hint="eastAsia" w:eastAsia="宋体"/>
                <w:kern w:val="0"/>
                <w:sz w:val="21"/>
                <w:szCs w:val="21"/>
              </w:rPr>
              <w:t>584.90</w:t>
            </w:r>
          </w:p>
        </w:tc>
        <w:tc>
          <w:tcPr>
            <w:tcW w:w="4280" w:type="dxa"/>
            <w:gridSpan w:val="4"/>
          </w:tcPr>
          <w:p>
            <w:pPr>
              <w:autoSpaceDE w:val="0"/>
              <w:autoSpaceDN w:val="0"/>
              <w:spacing w:line="300" w:lineRule="exact"/>
              <w:rPr>
                <w:rFonts w:eastAsia="宋体"/>
                <w:kern w:val="0"/>
                <w:sz w:val="21"/>
                <w:szCs w:val="21"/>
              </w:rPr>
            </w:pPr>
            <w:r>
              <w:rPr>
                <w:rFonts w:eastAsia="宋体"/>
                <w:kern w:val="0"/>
                <w:sz w:val="21"/>
                <w:szCs w:val="21"/>
              </w:rPr>
              <w:t>按支出性质分：</w:t>
            </w:r>
            <w:r>
              <w:rPr>
                <w:rFonts w:hint="eastAsia" w:eastAsia="宋体"/>
                <w:kern w:val="0"/>
                <w:sz w:val="21"/>
                <w:szCs w:val="21"/>
              </w:rPr>
              <w:t>584.90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4" w:hRule="atLeast"/>
        </w:trPr>
        <w:tc>
          <w:tcPr>
            <w:tcW w:w="980" w:type="dxa"/>
            <w:vMerge w:val="continue"/>
          </w:tcPr>
          <w:p>
            <w:pPr>
              <w:autoSpaceDE w:val="0"/>
              <w:autoSpaceDN w:val="0"/>
              <w:spacing w:line="300" w:lineRule="exact"/>
              <w:jc w:val="center"/>
              <w:rPr>
                <w:rFonts w:eastAsia="宋体"/>
                <w:kern w:val="0"/>
                <w:sz w:val="21"/>
                <w:szCs w:val="21"/>
              </w:rPr>
            </w:pPr>
          </w:p>
        </w:tc>
        <w:tc>
          <w:tcPr>
            <w:tcW w:w="5023" w:type="dxa"/>
            <w:gridSpan w:val="4"/>
          </w:tcPr>
          <w:p>
            <w:pPr>
              <w:autoSpaceDE w:val="0"/>
              <w:autoSpaceDN w:val="0"/>
              <w:spacing w:line="300" w:lineRule="exact"/>
              <w:rPr>
                <w:rFonts w:eastAsia="宋体"/>
                <w:kern w:val="0"/>
                <w:sz w:val="21"/>
                <w:szCs w:val="21"/>
              </w:rPr>
            </w:pPr>
            <w:r>
              <w:rPr>
                <w:rFonts w:eastAsia="宋体"/>
                <w:kern w:val="0"/>
                <w:sz w:val="21"/>
                <w:szCs w:val="21"/>
              </w:rPr>
              <w:t>其中：一般公共预算：</w:t>
            </w:r>
            <w:r>
              <w:rPr>
                <w:rFonts w:hint="eastAsia" w:eastAsia="宋体"/>
                <w:kern w:val="0"/>
                <w:sz w:val="21"/>
                <w:szCs w:val="21"/>
              </w:rPr>
              <w:t>584.90</w:t>
            </w:r>
          </w:p>
        </w:tc>
        <w:tc>
          <w:tcPr>
            <w:tcW w:w="4280" w:type="dxa"/>
            <w:gridSpan w:val="4"/>
          </w:tcPr>
          <w:p>
            <w:pPr>
              <w:autoSpaceDE w:val="0"/>
              <w:autoSpaceDN w:val="0"/>
              <w:spacing w:line="300" w:lineRule="exact"/>
              <w:rPr>
                <w:rFonts w:eastAsia="宋体"/>
                <w:kern w:val="0"/>
                <w:sz w:val="21"/>
                <w:szCs w:val="21"/>
              </w:rPr>
            </w:pPr>
            <w:r>
              <w:rPr>
                <w:rFonts w:eastAsia="宋体"/>
                <w:kern w:val="0"/>
                <w:sz w:val="21"/>
                <w:szCs w:val="21"/>
              </w:rPr>
              <w:t>其中：基本支出：</w:t>
            </w:r>
            <w:r>
              <w:rPr>
                <w:rFonts w:hint="eastAsia" w:eastAsia="宋体"/>
                <w:kern w:val="0"/>
                <w:sz w:val="21"/>
                <w:szCs w:val="21"/>
              </w:rPr>
              <w:t>405.72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pPr>
              <w:autoSpaceDE w:val="0"/>
              <w:autoSpaceDN w:val="0"/>
              <w:spacing w:line="300" w:lineRule="exact"/>
              <w:jc w:val="center"/>
              <w:rPr>
                <w:rFonts w:eastAsia="宋体"/>
                <w:kern w:val="0"/>
                <w:sz w:val="21"/>
                <w:szCs w:val="21"/>
              </w:rPr>
            </w:pPr>
          </w:p>
        </w:tc>
        <w:tc>
          <w:tcPr>
            <w:tcW w:w="5023" w:type="dxa"/>
            <w:gridSpan w:val="4"/>
          </w:tcPr>
          <w:p>
            <w:pPr>
              <w:autoSpaceDE w:val="0"/>
              <w:autoSpaceDN w:val="0"/>
              <w:spacing w:line="300" w:lineRule="exact"/>
              <w:ind w:firstLine="630" w:firstLineChars="300"/>
              <w:rPr>
                <w:rFonts w:eastAsia="宋体"/>
                <w:kern w:val="0"/>
                <w:sz w:val="21"/>
                <w:szCs w:val="21"/>
              </w:rPr>
            </w:pPr>
            <w:r>
              <w:rPr>
                <w:rFonts w:eastAsia="宋体"/>
                <w:kern w:val="0"/>
                <w:sz w:val="21"/>
                <w:szCs w:val="21"/>
              </w:rPr>
              <w:t>政府性基金拨款：</w:t>
            </w:r>
          </w:p>
        </w:tc>
        <w:tc>
          <w:tcPr>
            <w:tcW w:w="4280" w:type="dxa"/>
            <w:gridSpan w:val="4"/>
          </w:tcPr>
          <w:p>
            <w:pPr>
              <w:autoSpaceDE w:val="0"/>
              <w:autoSpaceDN w:val="0"/>
              <w:spacing w:line="300" w:lineRule="exact"/>
              <w:ind w:firstLine="630" w:firstLineChars="300"/>
              <w:rPr>
                <w:rFonts w:eastAsia="宋体"/>
                <w:kern w:val="0"/>
                <w:sz w:val="21"/>
                <w:szCs w:val="21"/>
              </w:rPr>
            </w:pPr>
            <w:r>
              <w:rPr>
                <w:rFonts w:eastAsia="宋体"/>
                <w:kern w:val="0"/>
                <w:sz w:val="21"/>
                <w:szCs w:val="21"/>
              </w:rPr>
              <w:t>项目支出：</w:t>
            </w:r>
            <w:r>
              <w:rPr>
                <w:rFonts w:hint="eastAsia" w:eastAsia="宋体"/>
                <w:kern w:val="0"/>
                <w:sz w:val="21"/>
                <w:szCs w:val="21"/>
              </w:rPr>
              <w:t>179.18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pPr>
              <w:autoSpaceDE w:val="0"/>
              <w:autoSpaceDN w:val="0"/>
              <w:spacing w:line="300" w:lineRule="exact"/>
              <w:jc w:val="center"/>
              <w:rPr>
                <w:rFonts w:eastAsia="宋体"/>
                <w:kern w:val="0"/>
                <w:sz w:val="21"/>
                <w:szCs w:val="21"/>
              </w:rPr>
            </w:pPr>
          </w:p>
        </w:tc>
        <w:tc>
          <w:tcPr>
            <w:tcW w:w="5023" w:type="dxa"/>
            <w:gridSpan w:val="4"/>
          </w:tcPr>
          <w:p>
            <w:pPr>
              <w:autoSpaceDE w:val="0"/>
              <w:autoSpaceDN w:val="0"/>
              <w:spacing w:line="300" w:lineRule="exact"/>
              <w:ind w:firstLine="630" w:firstLineChars="300"/>
              <w:rPr>
                <w:rFonts w:eastAsia="宋体"/>
                <w:kern w:val="0"/>
                <w:sz w:val="21"/>
                <w:szCs w:val="21"/>
              </w:rPr>
            </w:pPr>
            <w:r>
              <w:rPr>
                <w:rFonts w:eastAsia="宋体"/>
                <w:kern w:val="0"/>
                <w:sz w:val="21"/>
                <w:szCs w:val="21"/>
              </w:rPr>
              <w:t>纳入专户管理的非税收入拨款：</w:t>
            </w:r>
          </w:p>
        </w:tc>
        <w:tc>
          <w:tcPr>
            <w:tcW w:w="4280" w:type="dxa"/>
            <w:gridSpan w:val="4"/>
          </w:tcPr>
          <w:p>
            <w:pPr>
              <w:autoSpaceDE w:val="0"/>
              <w:autoSpaceDN w:val="0"/>
              <w:spacing w:line="300" w:lineRule="exact"/>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pPr>
              <w:autoSpaceDE w:val="0"/>
              <w:autoSpaceDN w:val="0"/>
              <w:spacing w:line="300" w:lineRule="exact"/>
              <w:jc w:val="center"/>
              <w:rPr>
                <w:rFonts w:eastAsia="宋体"/>
                <w:kern w:val="0"/>
                <w:sz w:val="21"/>
                <w:szCs w:val="21"/>
              </w:rPr>
            </w:pPr>
          </w:p>
        </w:tc>
        <w:tc>
          <w:tcPr>
            <w:tcW w:w="5023" w:type="dxa"/>
            <w:gridSpan w:val="4"/>
          </w:tcPr>
          <w:p>
            <w:pPr>
              <w:autoSpaceDE w:val="0"/>
              <w:autoSpaceDN w:val="0"/>
              <w:spacing w:line="300" w:lineRule="exact"/>
              <w:ind w:firstLine="630" w:firstLineChars="300"/>
              <w:rPr>
                <w:rFonts w:eastAsia="宋体"/>
                <w:kern w:val="0"/>
                <w:sz w:val="21"/>
                <w:szCs w:val="21"/>
              </w:rPr>
            </w:pPr>
            <w:r>
              <w:rPr>
                <w:rFonts w:eastAsia="宋体"/>
                <w:kern w:val="0"/>
                <w:sz w:val="21"/>
                <w:szCs w:val="21"/>
              </w:rPr>
              <w:t>其他资金：</w:t>
            </w:r>
          </w:p>
        </w:tc>
        <w:tc>
          <w:tcPr>
            <w:tcW w:w="4280" w:type="dxa"/>
            <w:gridSpan w:val="4"/>
          </w:tcPr>
          <w:p>
            <w:pPr>
              <w:autoSpaceDE w:val="0"/>
              <w:autoSpaceDN w:val="0"/>
              <w:spacing w:line="300" w:lineRule="exact"/>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tcPr>
          <w:p>
            <w:pPr>
              <w:autoSpaceDE w:val="0"/>
              <w:autoSpaceDN w:val="0"/>
              <w:spacing w:line="300" w:lineRule="exact"/>
              <w:jc w:val="center"/>
              <w:rPr>
                <w:rFonts w:eastAsia="宋体"/>
                <w:kern w:val="0"/>
                <w:sz w:val="21"/>
                <w:szCs w:val="21"/>
              </w:rPr>
            </w:pPr>
            <w:r>
              <w:rPr>
                <w:rFonts w:eastAsia="宋体"/>
                <w:kern w:val="0"/>
                <w:sz w:val="21"/>
                <w:szCs w:val="21"/>
              </w:rPr>
              <w:t>年度总体</w:t>
            </w:r>
          </w:p>
          <w:p>
            <w:pPr>
              <w:autoSpaceDE w:val="0"/>
              <w:autoSpaceDN w:val="0"/>
              <w:spacing w:line="300" w:lineRule="exact"/>
              <w:jc w:val="center"/>
              <w:rPr>
                <w:rFonts w:eastAsia="宋体"/>
                <w:kern w:val="0"/>
                <w:sz w:val="21"/>
                <w:szCs w:val="21"/>
              </w:rPr>
            </w:pPr>
            <w:r>
              <w:rPr>
                <w:rFonts w:eastAsia="宋体"/>
                <w:kern w:val="0"/>
                <w:sz w:val="21"/>
                <w:szCs w:val="21"/>
              </w:rPr>
              <w:t>目标</w:t>
            </w:r>
          </w:p>
        </w:tc>
        <w:tc>
          <w:tcPr>
            <w:tcW w:w="5023" w:type="dxa"/>
            <w:gridSpan w:val="4"/>
          </w:tcPr>
          <w:p>
            <w:pPr>
              <w:autoSpaceDE w:val="0"/>
              <w:autoSpaceDN w:val="0"/>
              <w:spacing w:line="300" w:lineRule="exact"/>
              <w:jc w:val="center"/>
              <w:rPr>
                <w:rFonts w:eastAsia="宋体"/>
                <w:kern w:val="0"/>
                <w:sz w:val="21"/>
                <w:szCs w:val="21"/>
              </w:rPr>
            </w:pPr>
            <w:r>
              <w:rPr>
                <w:rFonts w:eastAsia="宋体"/>
                <w:kern w:val="0"/>
                <w:sz w:val="21"/>
                <w:szCs w:val="21"/>
              </w:rPr>
              <w:t>预期目标</w:t>
            </w:r>
          </w:p>
        </w:tc>
        <w:tc>
          <w:tcPr>
            <w:tcW w:w="4280" w:type="dxa"/>
            <w:gridSpan w:val="4"/>
          </w:tcPr>
          <w:p>
            <w:pPr>
              <w:autoSpaceDE w:val="0"/>
              <w:autoSpaceDN w:val="0"/>
              <w:spacing w:line="300" w:lineRule="exact"/>
              <w:jc w:val="center"/>
              <w:rPr>
                <w:rFonts w:eastAsia="宋体"/>
                <w:kern w:val="0"/>
                <w:sz w:val="21"/>
                <w:szCs w:val="21"/>
              </w:rPr>
            </w:pPr>
            <w:r>
              <w:rPr>
                <w:rFonts w:eastAsia="宋体"/>
                <w:kern w:val="0"/>
                <w:sz w:val="21"/>
                <w:szCs w:val="21"/>
              </w:rPr>
              <w:t>实际完成情况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pPr>
              <w:autoSpaceDE w:val="0"/>
              <w:autoSpaceDN w:val="0"/>
              <w:spacing w:line="300" w:lineRule="exact"/>
              <w:jc w:val="center"/>
              <w:rPr>
                <w:rFonts w:eastAsia="宋体"/>
                <w:kern w:val="0"/>
                <w:sz w:val="21"/>
                <w:szCs w:val="21"/>
              </w:rPr>
            </w:pPr>
          </w:p>
        </w:tc>
        <w:tc>
          <w:tcPr>
            <w:tcW w:w="5023" w:type="dxa"/>
            <w:gridSpan w:val="4"/>
          </w:tcPr>
          <w:p>
            <w:pPr>
              <w:autoSpaceDE w:val="0"/>
              <w:autoSpaceDN w:val="0"/>
              <w:spacing w:line="300" w:lineRule="exact"/>
              <w:jc w:val="center"/>
              <w:rPr>
                <w:rFonts w:eastAsia="宋体"/>
                <w:kern w:val="0"/>
                <w:sz w:val="21"/>
                <w:szCs w:val="21"/>
              </w:rPr>
            </w:pPr>
            <w:r>
              <w:rPr>
                <w:rFonts w:hint="eastAsia" w:eastAsia="宋体"/>
                <w:kern w:val="0"/>
                <w:sz w:val="21"/>
                <w:szCs w:val="21"/>
              </w:rPr>
              <w:t>584.90</w:t>
            </w:r>
          </w:p>
        </w:tc>
        <w:tc>
          <w:tcPr>
            <w:tcW w:w="4280" w:type="dxa"/>
            <w:gridSpan w:val="4"/>
          </w:tcPr>
          <w:p>
            <w:pPr>
              <w:autoSpaceDE w:val="0"/>
              <w:autoSpaceDN w:val="0"/>
              <w:spacing w:line="300" w:lineRule="exact"/>
              <w:jc w:val="center"/>
              <w:rPr>
                <w:rFonts w:eastAsia="宋体"/>
                <w:kern w:val="0"/>
                <w:sz w:val="21"/>
                <w:szCs w:val="21"/>
              </w:rPr>
            </w:pPr>
            <w:r>
              <w:rPr>
                <w:rFonts w:hint="eastAsia" w:eastAsia="宋体"/>
                <w:kern w:val="0"/>
                <w:sz w:val="21"/>
                <w:szCs w:val="21"/>
              </w:rPr>
              <w:t>584.90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5" w:hRule="exact"/>
        </w:trPr>
        <w:tc>
          <w:tcPr>
            <w:tcW w:w="980" w:type="dxa"/>
            <w:vMerge w:val="restart"/>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绩</w:t>
            </w:r>
          </w:p>
          <w:p>
            <w:pPr>
              <w:autoSpaceDE w:val="0"/>
              <w:autoSpaceDN w:val="0"/>
              <w:spacing w:line="300" w:lineRule="exact"/>
              <w:jc w:val="center"/>
              <w:rPr>
                <w:rFonts w:eastAsia="宋体"/>
                <w:kern w:val="0"/>
                <w:sz w:val="21"/>
                <w:szCs w:val="21"/>
              </w:rPr>
            </w:pPr>
            <w:r>
              <w:rPr>
                <w:rFonts w:eastAsia="宋体"/>
                <w:kern w:val="0"/>
                <w:sz w:val="21"/>
                <w:szCs w:val="21"/>
              </w:rPr>
              <w:t>效</w:t>
            </w:r>
          </w:p>
          <w:p>
            <w:pPr>
              <w:autoSpaceDE w:val="0"/>
              <w:autoSpaceDN w:val="0"/>
              <w:spacing w:line="300" w:lineRule="exact"/>
              <w:jc w:val="center"/>
              <w:rPr>
                <w:rFonts w:eastAsia="宋体"/>
                <w:kern w:val="0"/>
                <w:sz w:val="21"/>
                <w:szCs w:val="21"/>
              </w:rPr>
            </w:pPr>
            <w:r>
              <w:rPr>
                <w:rFonts w:eastAsia="宋体"/>
                <w:kern w:val="0"/>
                <w:sz w:val="21"/>
                <w:szCs w:val="21"/>
              </w:rPr>
              <w:t>指</w:t>
            </w:r>
          </w:p>
          <w:p>
            <w:pPr>
              <w:autoSpaceDE w:val="0"/>
              <w:autoSpaceDN w:val="0"/>
              <w:spacing w:line="300" w:lineRule="exact"/>
              <w:jc w:val="center"/>
              <w:rPr>
                <w:rFonts w:eastAsia="宋体"/>
                <w:kern w:val="0"/>
                <w:sz w:val="21"/>
                <w:szCs w:val="21"/>
              </w:rPr>
            </w:pPr>
            <w:r>
              <w:rPr>
                <w:rFonts w:eastAsia="宋体"/>
                <w:kern w:val="0"/>
                <w:sz w:val="21"/>
                <w:szCs w:val="21"/>
              </w:rPr>
              <w:t>标</w:t>
            </w:r>
          </w:p>
        </w:tc>
        <w:tc>
          <w:tcPr>
            <w:tcW w:w="1080" w:type="dxa"/>
          </w:tcPr>
          <w:p>
            <w:pPr>
              <w:autoSpaceDE w:val="0"/>
              <w:autoSpaceDN w:val="0"/>
              <w:spacing w:line="300" w:lineRule="exact"/>
              <w:jc w:val="center"/>
              <w:rPr>
                <w:rFonts w:eastAsia="宋体"/>
                <w:kern w:val="0"/>
                <w:sz w:val="21"/>
                <w:szCs w:val="21"/>
              </w:rPr>
            </w:pPr>
            <w:r>
              <w:rPr>
                <w:rFonts w:eastAsia="宋体"/>
                <w:kern w:val="0"/>
                <w:sz w:val="21"/>
                <w:szCs w:val="21"/>
              </w:rPr>
              <w:t>一级指标</w:t>
            </w:r>
          </w:p>
        </w:tc>
        <w:tc>
          <w:tcPr>
            <w:tcW w:w="1216" w:type="dxa"/>
          </w:tcPr>
          <w:p>
            <w:pPr>
              <w:autoSpaceDE w:val="0"/>
              <w:autoSpaceDN w:val="0"/>
              <w:spacing w:line="300" w:lineRule="exact"/>
              <w:jc w:val="center"/>
              <w:rPr>
                <w:rFonts w:eastAsia="宋体"/>
                <w:kern w:val="0"/>
                <w:sz w:val="21"/>
                <w:szCs w:val="21"/>
              </w:rPr>
            </w:pPr>
            <w:r>
              <w:rPr>
                <w:rFonts w:eastAsia="宋体"/>
                <w:kern w:val="0"/>
                <w:sz w:val="21"/>
                <w:szCs w:val="21"/>
              </w:rPr>
              <w:t>二级指标</w:t>
            </w:r>
          </w:p>
        </w:tc>
        <w:tc>
          <w:tcPr>
            <w:tcW w:w="1407" w:type="dxa"/>
          </w:tcPr>
          <w:p>
            <w:pPr>
              <w:autoSpaceDE w:val="0"/>
              <w:autoSpaceDN w:val="0"/>
              <w:spacing w:line="300" w:lineRule="exact"/>
              <w:jc w:val="center"/>
              <w:rPr>
                <w:rFonts w:eastAsia="宋体"/>
                <w:kern w:val="0"/>
                <w:sz w:val="21"/>
                <w:szCs w:val="21"/>
              </w:rPr>
            </w:pPr>
            <w:r>
              <w:rPr>
                <w:rFonts w:eastAsia="宋体"/>
                <w:kern w:val="0"/>
                <w:sz w:val="21"/>
                <w:szCs w:val="21"/>
              </w:rPr>
              <w:t>三级指标</w:t>
            </w:r>
          </w:p>
        </w:tc>
        <w:tc>
          <w:tcPr>
            <w:tcW w:w="1320" w:type="dxa"/>
          </w:tcPr>
          <w:p>
            <w:pPr>
              <w:autoSpaceDE w:val="0"/>
              <w:autoSpaceDN w:val="0"/>
              <w:spacing w:line="300" w:lineRule="exact"/>
              <w:jc w:val="center"/>
              <w:rPr>
                <w:rFonts w:eastAsia="宋体"/>
                <w:kern w:val="0"/>
                <w:sz w:val="21"/>
                <w:szCs w:val="21"/>
              </w:rPr>
            </w:pPr>
            <w:r>
              <w:rPr>
                <w:rFonts w:eastAsia="宋体"/>
                <w:kern w:val="0"/>
                <w:sz w:val="21"/>
                <w:szCs w:val="21"/>
              </w:rPr>
              <w:t>年度指标值</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实际完成值</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自评得分</w:t>
            </w:r>
          </w:p>
        </w:tc>
        <w:tc>
          <w:tcPr>
            <w:tcW w:w="1440" w:type="dxa"/>
          </w:tcPr>
          <w:p>
            <w:pPr>
              <w:autoSpaceDE w:val="0"/>
              <w:autoSpaceDN w:val="0"/>
              <w:spacing w:line="260" w:lineRule="exact"/>
              <w:jc w:val="center"/>
              <w:rPr>
                <w:rFonts w:eastAsia="宋体"/>
                <w:kern w:val="0"/>
                <w:sz w:val="21"/>
                <w:szCs w:val="21"/>
              </w:rPr>
            </w:pPr>
            <w:r>
              <w:rPr>
                <w:rFonts w:eastAsia="宋体"/>
                <w:kern w:val="0"/>
                <w:sz w:val="21"/>
                <w:szCs w:val="21"/>
              </w:rPr>
              <w:t>偏差原因分析</w:t>
            </w:r>
          </w:p>
          <w:p>
            <w:pPr>
              <w:autoSpaceDE w:val="0"/>
              <w:autoSpaceDN w:val="0"/>
              <w:spacing w:line="260" w:lineRule="exact"/>
              <w:jc w:val="center"/>
              <w:rPr>
                <w:rFonts w:eastAsia="宋体"/>
                <w:kern w:val="0"/>
                <w:sz w:val="21"/>
                <w:szCs w:val="21"/>
              </w:rPr>
            </w:pPr>
            <w:r>
              <w:rPr>
                <w:rFonts w:eastAsia="宋体"/>
                <w:kern w:val="0"/>
                <w:sz w:val="21"/>
                <w:szCs w:val="21"/>
              </w:rPr>
              <w:t>及改进措施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restart"/>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产出指标</w:t>
            </w:r>
          </w:p>
          <w:p>
            <w:pPr>
              <w:autoSpaceDE w:val="0"/>
              <w:autoSpaceDN w:val="0"/>
              <w:spacing w:line="300" w:lineRule="exact"/>
              <w:jc w:val="center"/>
              <w:rPr>
                <w:rFonts w:eastAsia="宋体"/>
                <w:kern w:val="0"/>
                <w:sz w:val="21"/>
                <w:szCs w:val="21"/>
              </w:rPr>
            </w:pPr>
            <w:r>
              <w:rPr>
                <w:rFonts w:eastAsia="宋体"/>
                <w:kern w:val="0"/>
                <w:sz w:val="21"/>
                <w:szCs w:val="21"/>
              </w:rPr>
              <w:t>（50分）</w:t>
            </w: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数量</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07" w:type="dxa"/>
            <w:vAlign w:val="center"/>
          </w:tcPr>
          <w:p>
            <w:pPr>
              <w:autoSpaceDE w:val="0"/>
              <w:autoSpaceDN w:val="0"/>
              <w:spacing w:line="300" w:lineRule="exact"/>
              <w:jc w:val="center"/>
              <w:rPr>
                <w:rFonts w:ascii="思源黑体" w:hAnsi="思源黑体" w:eastAsia="思源黑体" w:cs="思源黑体"/>
                <w:color w:val="000000"/>
                <w:sz w:val="15"/>
                <w:szCs w:val="15"/>
              </w:rPr>
            </w:pPr>
            <w:r>
              <w:rPr>
                <w:rFonts w:eastAsia="宋体"/>
                <w:kern w:val="0"/>
                <w:sz w:val="15"/>
                <w:szCs w:val="15"/>
              </w:rPr>
              <w:t>完成省市县重点工作任务</w:t>
            </w:r>
            <w:r>
              <w:rPr>
                <w:rFonts w:ascii="思源黑体" w:hAnsi="思源黑体" w:eastAsia="思源黑体" w:cs="思源黑体"/>
                <w:color w:val="000000"/>
                <w:kern w:val="0"/>
                <w:sz w:val="15"/>
                <w:szCs w:val="15"/>
              </w:rPr>
              <w:t>资金情况</w:t>
            </w:r>
          </w:p>
        </w:tc>
        <w:tc>
          <w:tcPr>
            <w:tcW w:w="132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720" w:type="dxa"/>
          </w:tcPr>
          <w:p>
            <w:pPr>
              <w:autoSpaceDE w:val="0"/>
              <w:autoSpaceDN w:val="0"/>
              <w:spacing w:line="300" w:lineRule="exact"/>
              <w:jc w:val="center"/>
              <w:rPr>
                <w:rFonts w:eastAsia="宋体"/>
                <w:kern w:val="0"/>
                <w:sz w:val="15"/>
                <w:szCs w:val="15"/>
              </w:rPr>
            </w:pPr>
            <w:r>
              <w:rPr>
                <w:rFonts w:hint="eastAsia" w:eastAsia="宋体"/>
                <w:kern w:val="0"/>
                <w:sz w:val="15"/>
                <w:szCs w:val="15"/>
              </w:rPr>
              <w:t>20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20</w:t>
            </w: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jc w:val="center"/>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widowControl/>
              <w:jc w:val="left"/>
              <w:textAlignment w:val="center"/>
              <w:rPr>
                <w:rFonts w:eastAsia="宋体"/>
                <w:kern w:val="0"/>
                <w:sz w:val="15"/>
                <w:szCs w:val="15"/>
              </w:rPr>
            </w:pPr>
          </w:p>
        </w:tc>
        <w:tc>
          <w:tcPr>
            <w:tcW w:w="1320" w:type="dxa"/>
          </w:tcPr>
          <w:p>
            <w:pPr>
              <w:autoSpaceDE w:val="0"/>
              <w:autoSpaceDN w:val="0"/>
              <w:spacing w:line="300" w:lineRule="exact"/>
              <w:rPr>
                <w:rFonts w:eastAsia="宋体"/>
                <w:kern w:val="0"/>
                <w:sz w:val="15"/>
                <w:szCs w:val="15"/>
              </w:rPr>
            </w:pPr>
          </w:p>
        </w:tc>
        <w:tc>
          <w:tcPr>
            <w:tcW w:w="1260" w:type="dxa"/>
          </w:tcPr>
          <w:p>
            <w:pPr>
              <w:autoSpaceDE w:val="0"/>
              <w:autoSpaceDN w:val="0"/>
              <w:spacing w:line="300" w:lineRule="exact"/>
              <w:rPr>
                <w:rFonts w:eastAsia="宋体"/>
                <w:kern w:val="0"/>
                <w:sz w:val="15"/>
                <w:szCs w:val="15"/>
              </w:rPr>
            </w:pPr>
          </w:p>
        </w:tc>
        <w:tc>
          <w:tcPr>
            <w:tcW w:w="720" w:type="dxa"/>
          </w:tcPr>
          <w:p>
            <w:pPr>
              <w:autoSpaceDE w:val="0"/>
              <w:autoSpaceDN w:val="0"/>
              <w:spacing w:line="300" w:lineRule="exact"/>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jc w:val="center"/>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5"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jc w:val="center"/>
              <w:rPr>
                <w:rFonts w:eastAsia="宋体"/>
                <w:kern w:val="0"/>
                <w:sz w:val="21"/>
                <w:szCs w:val="21"/>
              </w:rPr>
            </w:p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质量</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07" w:type="dxa"/>
          </w:tcPr>
          <w:p>
            <w:pPr>
              <w:autoSpaceDE w:val="0"/>
              <w:autoSpaceDN w:val="0"/>
              <w:spacing w:line="300" w:lineRule="exact"/>
              <w:jc w:val="center"/>
              <w:rPr>
                <w:rFonts w:eastAsia="宋体"/>
                <w:kern w:val="0"/>
                <w:sz w:val="15"/>
                <w:szCs w:val="15"/>
              </w:rPr>
            </w:pPr>
            <w:r>
              <w:rPr>
                <w:rFonts w:hint="eastAsia" w:eastAsia="宋体"/>
                <w:kern w:val="0"/>
                <w:sz w:val="15"/>
                <w:szCs w:val="15"/>
              </w:rPr>
              <w:t>高质量完成重点任务干部大学</w:t>
            </w:r>
          </w:p>
        </w:tc>
        <w:tc>
          <w:tcPr>
            <w:tcW w:w="132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72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40" w:type="dxa"/>
          </w:tcPr>
          <w:p>
            <w:pPr>
              <w:autoSpaceDE w:val="0"/>
              <w:autoSpaceDN w:val="0"/>
              <w:spacing w:line="300" w:lineRule="exact"/>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jc w:val="center"/>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jc w:val="center"/>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jc w:val="center"/>
              <w:rPr>
                <w:rFonts w:eastAsia="宋体"/>
                <w:kern w:val="0"/>
                <w:sz w:val="21"/>
                <w:szCs w:val="21"/>
              </w:rPr>
            </w:p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时效</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07" w:type="dxa"/>
          </w:tcPr>
          <w:p>
            <w:pPr>
              <w:autoSpaceDE w:val="0"/>
              <w:autoSpaceDN w:val="0"/>
              <w:spacing w:line="300" w:lineRule="exact"/>
              <w:jc w:val="center"/>
              <w:rPr>
                <w:rFonts w:eastAsia="宋体"/>
                <w:kern w:val="0"/>
                <w:sz w:val="15"/>
                <w:szCs w:val="15"/>
              </w:rPr>
            </w:pPr>
            <w:r>
              <w:rPr>
                <w:rFonts w:hint="eastAsia" w:eastAsia="宋体"/>
                <w:kern w:val="0"/>
                <w:sz w:val="15"/>
                <w:szCs w:val="15"/>
              </w:rPr>
              <w:t>拆迁安置补偿及时率</w:t>
            </w:r>
          </w:p>
        </w:tc>
        <w:tc>
          <w:tcPr>
            <w:tcW w:w="132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72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hint="eastAsia" w:eastAsia="宋体"/>
                <w:kern w:val="0"/>
                <w:sz w:val="15"/>
                <w:szCs w:val="15"/>
                <w:lang w:eastAsia="zh-CN"/>
              </w:rPr>
            </w:pPr>
            <w:r>
              <w:rPr>
                <w:rFonts w:hint="eastAsia" w:eastAsia="宋体"/>
                <w:kern w:val="0"/>
                <w:sz w:val="15"/>
                <w:szCs w:val="15"/>
                <w:lang w:val="en-US" w:eastAsia="zh-CN"/>
              </w:rPr>
              <w:t>9</w:t>
            </w: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jc w:val="center"/>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jc w:val="center"/>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jc w:val="center"/>
              <w:rPr>
                <w:rFonts w:eastAsia="宋体"/>
                <w:kern w:val="0"/>
                <w:sz w:val="21"/>
                <w:szCs w:val="21"/>
              </w:rPr>
            </w:p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成本</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07" w:type="dxa"/>
          </w:tcPr>
          <w:p>
            <w:pPr>
              <w:autoSpaceDE w:val="0"/>
              <w:autoSpaceDN w:val="0"/>
              <w:spacing w:line="300" w:lineRule="exact"/>
              <w:jc w:val="center"/>
              <w:rPr>
                <w:rFonts w:eastAsia="宋体"/>
                <w:kern w:val="0"/>
                <w:sz w:val="15"/>
                <w:szCs w:val="15"/>
              </w:rPr>
            </w:pPr>
            <w:r>
              <w:rPr>
                <w:rFonts w:hint="eastAsia" w:eastAsia="宋体"/>
                <w:kern w:val="0"/>
                <w:sz w:val="15"/>
                <w:szCs w:val="15"/>
              </w:rPr>
              <w:t>保证整体工作正常推进行</w:t>
            </w:r>
          </w:p>
        </w:tc>
        <w:tc>
          <w:tcPr>
            <w:tcW w:w="132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72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jc w:val="center"/>
              <w:rPr>
                <w:rFonts w:eastAsia="宋体"/>
                <w:kern w:val="0"/>
                <w:sz w:val="21"/>
                <w:szCs w:val="21"/>
              </w:rPr>
            </w:pPr>
          </w:p>
        </w:tc>
        <w:tc>
          <w:tcPr>
            <w:tcW w:w="1216" w:type="dxa"/>
            <w:vMerge w:val="continue"/>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jc w:val="center"/>
              <w:rPr>
                <w:rFonts w:eastAsia="宋体"/>
                <w:kern w:val="0"/>
                <w:sz w:val="21"/>
                <w:szCs w:val="21"/>
              </w:rPr>
            </w:pPr>
          </w:p>
        </w:tc>
        <w:tc>
          <w:tcPr>
            <w:tcW w:w="1216" w:type="dxa"/>
            <w:vMerge w:val="continue"/>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restart"/>
          </w:tcPr>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效益指标</w:t>
            </w:r>
          </w:p>
          <w:p>
            <w:pPr>
              <w:autoSpaceDE w:val="0"/>
              <w:autoSpaceDN w:val="0"/>
              <w:spacing w:line="300" w:lineRule="exact"/>
              <w:jc w:val="center"/>
              <w:rPr>
                <w:rFonts w:eastAsia="宋体"/>
                <w:kern w:val="0"/>
                <w:sz w:val="21"/>
                <w:szCs w:val="21"/>
              </w:rPr>
            </w:pPr>
            <w:r>
              <w:rPr>
                <w:rFonts w:eastAsia="宋体"/>
                <w:kern w:val="0"/>
                <w:sz w:val="21"/>
                <w:szCs w:val="21"/>
              </w:rPr>
              <w:t>（30分）</w:t>
            </w: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经济效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07" w:type="dxa"/>
            <w:vAlign w:val="center"/>
          </w:tcPr>
          <w:p>
            <w:pPr>
              <w:widowControl/>
              <w:jc w:val="left"/>
              <w:textAlignment w:val="center"/>
              <w:rPr>
                <w:rFonts w:ascii="思源黑体" w:hAnsi="思源黑体" w:eastAsia="思源黑体" w:cs="思源黑体"/>
                <w:color w:val="000000"/>
                <w:sz w:val="15"/>
                <w:szCs w:val="15"/>
              </w:rPr>
            </w:pPr>
            <w:r>
              <w:rPr>
                <w:rFonts w:eastAsia="宋体"/>
                <w:kern w:val="0"/>
                <w:sz w:val="15"/>
                <w:szCs w:val="15"/>
              </w:rPr>
              <w:t>各项补偿到位</w:t>
            </w:r>
          </w:p>
        </w:tc>
        <w:tc>
          <w:tcPr>
            <w:tcW w:w="132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72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社会效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07" w:type="dxa"/>
          </w:tcPr>
          <w:p>
            <w:pPr>
              <w:autoSpaceDE w:val="0"/>
              <w:autoSpaceDN w:val="0"/>
              <w:spacing w:line="300" w:lineRule="exact"/>
              <w:jc w:val="center"/>
              <w:rPr>
                <w:rFonts w:eastAsia="宋体"/>
                <w:kern w:val="0"/>
                <w:sz w:val="15"/>
                <w:szCs w:val="15"/>
              </w:rPr>
            </w:pPr>
            <w:r>
              <w:rPr>
                <w:rFonts w:hint="eastAsia" w:eastAsia="宋体"/>
                <w:kern w:val="0"/>
                <w:sz w:val="15"/>
                <w:szCs w:val="15"/>
              </w:rPr>
              <w:t>安置到位</w:t>
            </w:r>
          </w:p>
        </w:tc>
        <w:tc>
          <w:tcPr>
            <w:tcW w:w="1320" w:type="dxa"/>
            <w:vAlign w:val="center"/>
          </w:tcPr>
          <w:p>
            <w:pPr>
              <w:widowControl/>
              <w:jc w:val="center"/>
              <w:textAlignment w:val="center"/>
              <w:rPr>
                <w:rFonts w:ascii="思源黑体" w:hAnsi="思源黑体" w:eastAsia="思源黑体" w:cs="思源黑体"/>
                <w:color w:val="000000"/>
                <w:sz w:val="24"/>
              </w:rPr>
            </w:pPr>
            <w:r>
              <w:rPr>
                <w:rFonts w:eastAsia="宋体"/>
                <w:kern w:val="0"/>
                <w:sz w:val="15"/>
                <w:szCs w:val="15"/>
              </w:rPr>
              <w:t>持续向好</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合格</w:t>
            </w:r>
          </w:p>
        </w:tc>
        <w:tc>
          <w:tcPr>
            <w:tcW w:w="72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hint="eastAsia" w:eastAsia="宋体"/>
                <w:kern w:val="0"/>
                <w:sz w:val="15"/>
                <w:szCs w:val="15"/>
                <w:lang w:eastAsia="zh-CN"/>
              </w:rPr>
            </w:pPr>
            <w:r>
              <w:rPr>
                <w:rFonts w:hint="eastAsia" w:eastAsia="宋体"/>
                <w:kern w:val="0"/>
                <w:sz w:val="15"/>
                <w:szCs w:val="15"/>
                <w:lang w:val="en-US" w:eastAsia="zh-CN"/>
              </w:rPr>
              <w:t>9</w:t>
            </w: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生态效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07" w:type="dxa"/>
            <w:vAlign w:val="center"/>
          </w:tcPr>
          <w:p>
            <w:pPr>
              <w:widowControl/>
              <w:jc w:val="left"/>
              <w:textAlignment w:val="center"/>
              <w:rPr>
                <w:rFonts w:ascii="思源黑体" w:hAnsi="思源黑体" w:eastAsia="思源黑体" w:cs="思源黑体"/>
                <w:color w:val="000000"/>
                <w:sz w:val="24"/>
              </w:rPr>
            </w:pPr>
            <w:r>
              <w:rPr>
                <w:rFonts w:eastAsia="宋体"/>
                <w:kern w:val="0"/>
                <w:sz w:val="15"/>
                <w:szCs w:val="15"/>
              </w:rPr>
              <w:t>节约工作中资源</w:t>
            </w:r>
          </w:p>
        </w:tc>
        <w:tc>
          <w:tcPr>
            <w:tcW w:w="1320" w:type="dxa"/>
          </w:tcPr>
          <w:p>
            <w:pPr>
              <w:autoSpaceDE w:val="0"/>
              <w:autoSpaceDN w:val="0"/>
              <w:spacing w:line="300" w:lineRule="exact"/>
              <w:jc w:val="center"/>
              <w:rPr>
                <w:rFonts w:eastAsia="宋体"/>
                <w:kern w:val="0"/>
                <w:sz w:val="15"/>
                <w:szCs w:val="15"/>
              </w:rPr>
            </w:pPr>
            <w:r>
              <w:rPr>
                <w:rFonts w:hint="eastAsia" w:eastAsia="宋体"/>
                <w:kern w:val="0"/>
                <w:sz w:val="15"/>
                <w:szCs w:val="15"/>
              </w:rPr>
              <w:t>好</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优</w:t>
            </w:r>
          </w:p>
        </w:tc>
        <w:tc>
          <w:tcPr>
            <w:tcW w:w="72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可持续影</w:t>
            </w:r>
          </w:p>
          <w:p>
            <w:pPr>
              <w:autoSpaceDE w:val="0"/>
              <w:autoSpaceDN w:val="0"/>
              <w:spacing w:line="300" w:lineRule="exact"/>
              <w:jc w:val="center"/>
              <w:rPr>
                <w:rFonts w:eastAsia="宋体"/>
                <w:kern w:val="0"/>
                <w:sz w:val="21"/>
                <w:szCs w:val="21"/>
              </w:rPr>
            </w:pPr>
            <w:r>
              <w:rPr>
                <w:rFonts w:eastAsia="宋体"/>
                <w:kern w:val="0"/>
                <w:sz w:val="21"/>
                <w:szCs w:val="21"/>
              </w:rPr>
              <w:t>响指标</w:t>
            </w:r>
          </w:p>
        </w:tc>
        <w:tc>
          <w:tcPr>
            <w:tcW w:w="1407" w:type="dxa"/>
          </w:tcPr>
          <w:p>
            <w:pPr>
              <w:autoSpaceDE w:val="0"/>
              <w:autoSpaceDN w:val="0"/>
              <w:spacing w:line="300" w:lineRule="exact"/>
              <w:rPr>
                <w:rFonts w:eastAsia="宋体"/>
                <w:kern w:val="0"/>
                <w:sz w:val="15"/>
                <w:szCs w:val="15"/>
              </w:rPr>
            </w:pPr>
            <w:r>
              <w:rPr>
                <w:rFonts w:hint="eastAsia" w:eastAsia="宋体"/>
                <w:kern w:val="0"/>
                <w:sz w:val="15"/>
                <w:szCs w:val="15"/>
              </w:rPr>
              <w:t>单位运行情况正常</w:t>
            </w:r>
          </w:p>
        </w:tc>
        <w:tc>
          <w:tcPr>
            <w:tcW w:w="132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72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continue"/>
            <w:vAlign w:val="center"/>
          </w:tcPr>
          <w:p>
            <w:pPr>
              <w:autoSpaceDE w:val="0"/>
              <w:autoSpaceDN w:val="0"/>
              <w:spacing w:line="300" w:lineRule="exact"/>
              <w:jc w:val="center"/>
              <w:rPr>
                <w:rFonts w:eastAsia="宋体"/>
                <w:kern w:val="0"/>
                <w:sz w:val="21"/>
                <w:szCs w:val="21"/>
              </w:rPr>
            </w:pPr>
          </w:p>
        </w:tc>
        <w:tc>
          <w:tcPr>
            <w:tcW w:w="1407" w:type="dxa"/>
          </w:tcPr>
          <w:p>
            <w:pPr>
              <w:autoSpaceDE w:val="0"/>
              <w:autoSpaceDN w:val="0"/>
              <w:spacing w:line="300" w:lineRule="exact"/>
              <w:jc w:val="center"/>
              <w:rPr>
                <w:rFonts w:eastAsia="宋体"/>
                <w:kern w:val="0"/>
                <w:sz w:val="15"/>
                <w:szCs w:val="15"/>
              </w:rPr>
            </w:pPr>
          </w:p>
        </w:tc>
        <w:tc>
          <w:tcPr>
            <w:tcW w:w="13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72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restart"/>
          </w:tcPr>
          <w:p>
            <w:pPr>
              <w:autoSpaceDE w:val="0"/>
              <w:autoSpaceDN w:val="0"/>
              <w:spacing w:line="300" w:lineRule="exact"/>
              <w:jc w:val="center"/>
              <w:rPr>
                <w:rFonts w:eastAsia="宋体"/>
                <w:kern w:val="0"/>
                <w:sz w:val="21"/>
                <w:szCs w:val="21"/>
              </w:rPr>
            </w:pPr>
            <w:r>
              <w:rPr>
                <w:rFonts w:eastAsia="宋体"/>
                <w:kern w:val="0"/>
                <w:sz w:val="21"/>
                <w:szCs w:val="21"/>
              </w:rPr>
              <w:t>满意度</w:t>
            </w:r>
          </w:p>
          <w:p>
            <w:pPr>
              <w:autoSpaceDE w:val="0"/>
              <w:autoSpaceDN w:val="0"/>
              <w:spacing w:line="300" w:lineRule="exact"/>
              <w:jc w:val="center"/>
              <w:rPr>
                <w:rFonts w:eastAsia="宋体"/>
                <w:kern w:val="0"/>
                <w:sz w:val="21"/>
                <w:szCs w:val="21"/>
              </w:rPr>
            </w:pPr>
            <w:r>
              <w:rPr>
                <w:rFonts w:eastAsia="宋体"/>
                <w:kern w:val="0"/>
                <w:sz w:val="21"/>
                <w:szCs w:val="21"/>
              </w:rPr>
              <w:t>指标</w:t>
            </w:r>
          </w:p>
          <w:p>
            <w:pPr>
              <w:autoSpaceDE w:val="0"/>
              <w:autoSpaceDN w:val="0"/>
              <w:spacing w:line="300" w:lineRule="exact"/>
              <w:jc w:val="center"/>
              <w:rPr>
                <w:rFonts w:eastAsia="宋体"/>
                <w:kern w:val="0"/>
                <w:sz w:val="21"/>
                <w:szCs w:val="21"/>
              </w:rPr>
            </w:pPr>
            <w:r>
              <w:rPr>
                <w:rFonts w:eastAsia="宋体"/>
                <w:kern w:val="0"/>
                <w:sz w:val="21"/>
                <w:szCs w:val="21"/>
              </w:rPr>
              <w:t>（10分）</w:t>
            </w:r>
          </w:p>
        </w:tc>
        <w:tc>
          <w:tcPr>
            <w:tcW w:w="1216" w:type="dxa"/>
            <w:vMerge w:val="restart"/>
            <w:vAlign w:val="center"/>
          </w:tcPr>
          <w:p>
            <w:pPr>
              <w:autoSpaceDE w:val="0"/>
              <w:autoSpaceDN w:val="0"/>
              <w:spacing w:line="280" w:lineRule="exact"/>
              <w:jc w:val="center"/>
              <w:rPr>
                <w:rFonts w:eastAsia="宋体"/>
                <w:kern w:val="0"/>
                <w:sz w:val="21"/>
                <w:szCs w:val="21"/>
              </w:rPr>
            </w:pPr>
            <w:r>
              <w:rPr>
                <w:rFonts w:eastAsia="宋体"/>
                <w:kern w:val="0"/>
                <w:sz w:val="21"/>
                <w:szCs w:val="21"/>
              </w:rPr>
              <w:t>服务对象</w:t>
            </w:r>
          </w:p>
          <w:p>
            <w:pPr>
              <w:autoSpaceDE w:val="0"/>
              <w:autoSpaceDN w:val="0"/>
              <w:spacing w:line="280" w:lineRule="exact"/>
              <w:jc w:val="center"/>
              <w:rPr>
                <w:rFonts w:eastAsia="宋体"/>
                <w:kern w:val="0"/>
                <w:sz w:val="21"/>
                <w:szCs w:val="21"/>
              </w:rPr>
            </w:pPr>
            <w:r>
              <w:rPr>
                <w:rFonts w:eastAsia="宋体"/>
                <w:kern w:val="0"/>
                <w:sz w:val="21"/>
                <w:szCs w:val="21"/>
              </w:rPr>
              <w:t>满意度指标</w:t>
            </w:r>
          </w:p>
        </w:tc>
        <w:tc>
          <w:tcPr>
            <w:tcW w:w="1407" w:type="dxa"/>
          </w:tcPr>
          <w:p>
            <w:pPr>
              <w:autoSpaceDE w:val="0"/>
              <w:autoSpaceDN w:val="0"/>
              <w:spacing w:line="300" w:lineRule="exact"/>
              <w:jc w:val="center"/>
              <w:rPr>
                <w:rFonts w:eastAsia="宋体"/>
                <w:kern w:val="0"/>
                <w:sz w:val="15"/>
                <w:szCs w:val="15"/>
              </w:rPr>
            </w:pPr>
            <w:r>
              <w:rPr>
                <w:rFonts w:hint="eastAsia" w:eastAsia="宋体"/>
                <w:kern w:val="0"/>
                <w:sz w:val="15"/>
                <w:szCs w:val="15"/>
              </w:rPr>
              <w:t>各项工作满意</w:t>
            </w:r>
          </w:p>
        </w:tc>
        <w:tc>
          <w:tcPr>
            <w:tcW w:w="1320" w:type="dxa"/>
          </w:tcPr>
          <w:p>
            <w:pPr>
              <w:autoSpaceDE w:val="0"/>
              <w:autoSpaceDN w:val="0"/>
              <w:spacing w:line="300" w:lineRule="exact"/>
              <w:jc w:val="center"/>
              <w:rPr>
                <w:rFonts w:eastAsia="宋体"/>
                <w:kern w:val="0"/>
                <w:sz w:val="15"/>
                <w:szCs w:val="15"/>
              </w:rPr>
            </w:pPr>
            <w:r>
              <w:rPr>
                <w:rFonts w:hint="eastAsia" w:eastAsia="宋体"/>
                <w:kern w:val="0"/>
                <w:sz w:val="15"/>
                <w:szCs w:val="15"/>
              </w:rPr>
              <w:t>90%以上</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72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4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continue"/>
          </w:tcPr>
          <w:p>
            <w:pPr>
              <w:autoSpaceDE w:val="0"/>
              <w:autoSpaceDN w:val="0"/>
              <w:spacing w:line="300" w:lineRule="exact"/>
              <w:rPr>
                <w:rFonts w:eastAsia="宋体"/>
                <w:kern w:val="0"/>
                <w:sz w:val="21"/>
                <w:szCs w:val="21"/>
              </w:rPr>
            </w:pPr>
          </w:p>
        </w:tc>
        <w:tc>
          <w:tcPr>
            <w:tcW w:w="1407" w:type="dxa"/>
          </w:tcPr>
          <w:p>
            <w:pPr>
              <w:autoSpaceDE w:val="0"/>
              <w:autoSpaceDN w:val="0"/>
              <w:spacing w:line="300" w:lineRule="exact"/>
              <w:jc w:val="center"/>
              <w:rPr>
                <w:rFonts w:eastAsia="宋体"/>
                <w:kern w:val="0"/>
                <w:sz w:val="21"/>
                <w:szCs w:val="21"/>
              </w:rPr>
            </w:pPr>
          </w:p>
        </w:tc>
        <w:tc>
          <w:tcPr>
            <w:tcW w:w="1320"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83" w:hRule="exact"/>
        </w:trPr>
        <w:tc>
          <w:tcPr>
            <w:tcW w:w="980" w:type="dxa"/>
            <w:vMerge w:val="continue"/>
          </w:tcPr>
          <w:p>
            <w:pPr>
              <w:autoSpaceDE w:val="0"/>
              <w:autoSpaceDN w:val="0"/>
              <w:spacing w:line="300" w:lineRule="exact"/>
              <w:rPr>
                <w:rFonts w:eastAsia="宋体"/>
                <w:kern w:val="0"/>
                <w:sz w:val="21"/>
                <w:szCs w:val="21"/>
              </w:rPr>
            </w:pPr>
          </w:p>
        </w:tc>
        <w:tc>
          <w:tcPr>
            <w:tcW w:w="1080" w:type="dxa"/>
            <w:vMerge w:val="continue"/>
          </w:tcPr>
          <w:p>
            <w:pPr>
              <w:autoSpaceDE w:val="0"/>
              <w:autoSpaceDN w:val="0"/>
              <w:spacing w:line="300" w:lineRule="exact"/>
              <w:rPr>
                <w:rFonts w:eastAsia="宋体"/>
                <w:kern w:val="0"/>
                <w:sz w:val="21"/>
                <w:szCs w:val="21"/>
              </w:rPr>
            </w:pPr>
          </w:p>
        </w:tc>
        <w:tc>
          <w:tcPr>
            <w:tcW w:w="1216" w:type="dxa"/>
            <w:vMerge w:val="continue"/>
          </w:tcPr>
          <w:p>
            <w:pPr>
              <w:autoSpaceDE w:val="0"/>
              <w:autoSpaceDN w:val="0"/>
              <w:spacing w:line="300" w:lineRule="exact"/>
              <w:rPr>
                <w:rFonts w:eastAsia="宋体"/>
                <w:kern w:val="0"/>
                <w:sz w:val="21"/>
                <w:szCs w:val="21"/>
              </w:rPr>
            </w:pPr>
          </w:p>
        </w:tc>
        <w:tc>
          <w:tcPr>
            <w:tcW w:w="1407" w:type="dxa"/>
          </w:tcPr>
          <w:p>
            <w:pPr>
              <w:autoSpaceDE w:val="0"/>
              <w:autoSpaceDN w:val="0"/>
              <w:spacing w:line="300" w:lineRule="exact"/>
              <w:jc w:val="center"/>
              <w:rPr>
                <w:rFonts w:eastAsia="宋体"/>
                <w:kern w:val="0"/>
                <w:sz w:val="21"/>
                <w:szCs w:val="21"/>
              </w:rPr>
            </w:pPr>
          </w:p>
        </w:tc>
        <w:tc>
          <w:tcPr>
            <w:tcW w:w="1320"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exact"/>
        </w:trPr>
        <w:tc>
          <w:tcPr>
            <w:tcW w:w="7263" w:type="dxa"/>
            <w:gridSpan w:val="6"/>
            <w:vAlign w:val="center"/>
          </w:tcPr>
          <w:p>
            <w:pPr>
              <w:autoSpaceDE w:val="0"/>
              <w:autoSpaceDN w:val="0"/>
              <w:spacing w:line="300" w:lineRule="exact"/>
              <w:jc w:val="center"/>
              <w:rPr>
                <w:rFonts w:eastAsia="宋体"/>
                <w:kern w:val="0"/>
                <w:sz w:val="21"/>
                <w:szCs w:val="21"/>
              </w:rPr>
            </w:pPr>
            <w:r>
              <w:rPr>
                <w:rFonts w:eastAsia="宋体"/>
                <w:kern w:val="0"/>
                <w:sz w:val="21"/>
                <w:szCs w:val="21"/>
              </w:rPr>
              <w:t>总分</w:t>
            </w:r>
          </w:p>
        </w:tc>
        <w:tc>
          <w:tcPr>
            <w:tcW w:w="720" w:type="dxa"/>
            <w:vAlign w:val="center"/>
          </w:tcPr>
          <w:p>
            <w:pPr>
              <w:autoSpaceDE w:val="0"/>
              <w:autoSpaceDN w:val="0"/>
              <w:spacing w:line="300" w:lineRule="exact"/>
              <w:jc w:val="center"/>
              <w:rPr>
                <w:rFonts w:eastAsia="宋体"/>
                <w:kern w:val="0"/>
                <w:sz w:val="21"/>
                <w:szCs w:val="21"/>
              </w:rPr>
            </w:pPr>
            <w:r>
              <w:rPr>
                <w:rFonts w:eastAsia="宋体"/>
                <w:kern w:val="0"/>
                <w:sz w:val="21"/>
                <w:szCs w:val="21"/>
              </w:rPr>
              <w:t>100</w:t>
            </w:r>
          </w:p>
        </w:tc>
        <w:tc>
          <w:tcPr>
            <w:tcW w:w="860" w:type="dxa"/>
            <w:vAlign w:val="center"/>
          </w:tcPr>
          <w:p>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98</w:t>
            </w:r>
          </w:p>
        </w:tc>
        <w:tc>
          <w:tcPr>
            <w:tcW w:w="1440" w:type="dxa"/>
            <w:vAlign w:val="center"/>
          </w:tcPr>
          <w:p>
            <w:pPr>
              <w:autoSpaceDE w:val="0"/>
              <w:autoSpaceDN w:val="0"/>
              <w:spacing w:line="300" w:lineRule="exact"/>
              <w:jc w:val="center"/>
              <w:rPr>
                <w:rFonts w:eastAsia="宋体"/>
                <w:kern w:val="0"/>
                <w:sz w:val="21"/>
                <w:szCs w:val="21"/>
              </w:rPr>
            </w:pPr>
          </w:p>
        </w:tc>
      </w:tr>
    </w:tbl>
    <w:p>
      <w:pPr>
        <w:autoSpaceDE w:val="0"/>
        <w:autoSpaceDN w:val="0"/>
        <w:spacing w:before="20" w:line="340" w:lineRule="atLeast"/>
        <w:rPr>
          <w:rFonts w:hint="eastAsia" w:eastAsia="宋体"/>
          <w:kern w:val="0"/>
          <w:sz w:val="21"/>
          <w:szCs w:val="21"/>
          <w:lang w:eastAsia="zh-CN"/>
        </w:rPr>
      </w:pPr>
      <w:r>
        <w:rPr>
          <w:rFonts w:hAnsi="宋体" w:eastAsia="宋体"/>
          <w:kern w:val="0"/>
          <w:sz w:val="21"/>
          <w:szCs w:val="21"/>
        </w:rPr>
        <w:t>填表人：</w:t>
      </w:r>
      <w:r>
        <w:rPr>
          <w:rFonts w:hint="eastAsia" w:hAnsi="宋体" w:eastAsia="宋体"/>
          <w:kern w:val="0"/>
          <w:sz w:val="21"/>
          <w:szCs w:val="21"/>
          <w:lang w:eastAsia="zh-CN"/>
        </w:rPr>
        <w:t>薛卫华</w:t>
      </w:r>
      <w:r>
        <w:rPr>
          <w:rFonts w:hint="eastAsia" w:hAnsi="宋体"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2024.4.18</w:t>
      </w:r>
      <w:r>
        <w:rPr>
          <w:rFonts w:hint="eastAsia" w:hAnsi="宋体" w:eastAsia="宋体"/>
          <w:kern w:val="0"/>
          <w:sz w:val="21"/>
          <w:szCs w:val="21"/>
        </w:rPr>
        <w:t xml:space="preserve">     </w:t>
      </w:r>
      <w:r>
        <w:rPr>
          <w:rFonts w:hAnsi="宋体" w:eastAsia="宋体"/>
          <w:kern w:val="0"/>
          <w:sz w:val="21"/>
          <w:szCs w:val="21"/>
        </w:rPr>
        <w:t>联系电话：</w:t>
      </w:r>
      <w:r>
        <w:rPr>
          <w:rFonts w:hint="eastAsia" w:hAnsi="宋体" w:eastAsia="宋体"/>
          <w:kern w:val="0"/>
          <w:sz w:val="21"/>
          <w:szCs w:val="21"/>
          <w:lang w:val="en-US" w:eastAsia="zh-CN"/>
        </w:rPr>
        <w:t>8822798</w:t>
      </w:r>
      <w:r>
        <w:rPr>
          <w:rFonts w:hint="eastAsia" w:hAnsi="宋体" w:eastAsia="宋体"/>
          <w:kern w:val="0"/>
          <w:sz w:val="21"/>
          <w:szCs w:val="21"/>
        </w:rPr>
        <w:t xml:space="preserve">   </w:t>
      </w:r>
      <w:r>
        <w:rPr>
          <w:rFonts w:hAnsi="宋体" w:eastAsia="宋体"/>
          <w:kern w:val="0"/>
          <w:sz w:val="21"/>
          <w:szCs w:val="21"/>
        </w:rPr>
        <w:t>单位负责人签字：</w:t>
      </w:r>
    </w:p>
    <w:p>
      <w:pPr>
        <w:autoSpaceDE w:val="0"/>
        <w:autoSpaceDN w:val="0"/>
        <w:spacing w:before="20" w:line="340" w:lineRule="atLeast"/>
        <w:jc w:val="center"/>
        <w:rPr>
          <w:rFonts w:eastAsia="宋体"/>
          <w:kern w:val="0"/>
          <w:sz w:val="21"/>
          <w:szCs w:val="21"/>
        </w:rPr>
        <w:sectPr>
          <w:pgSz w:w="11907" w:h="16840"/>
          <w:pgMar w:top="1814" w:right="1361" w:bottom="1644" w:left="1588" w:header="851" w:footer="1304" w:gutter="0"/>
          <w:cols w:space="720" w:num="1"/>
          <w:docGrid w:linePitch="534" w:charSpace="704"/>
        </w:sectPr>
      </w:pPr>
    </w:p>
    <w:p>
      <w:pPr>
        <w:spacing w:line="594" w:lineRule="exact"/>
        <w:jc w:val="left"/>
        <w:rPr>
          <w:rFonts w:eastAsia="黑体"/>
          <w:bCs/>
          <w:kern w:val="0"/>
          <w:szCs w:val="32"/>
        </w:rPr>
      </w:pPr>
      <w:bookmarkStart w:id="0" w:name="RANGE!A1:G4"/>
      <w:r>
        <w:rPr>
          <w:rFonts w:eastAsia="黑体"/>
          <w:bCs/>
          <w:kern w:val="0"/>
          <w:szCs w:val="32"/>
        </w:rPr>
        <w:t>附件3</w:t>
      </w:r>
      <w:bookmarkEnd w:id="0"/>
    </w:p>
    <w:p>
      <w:pPr>
        <w:spacing w:line="594" w:lineRule="exact"/>
        <w:jc w:val="center"/>
        <w:textAlignment w:val="center"/>
        <w:rPr>
          <w:rFonts w:eastAsia="方正小标宋简体"/>
          <w:color w:val="000000" w:themeColor="text1"/>
          <w:sz w:val="36"/>
          <w:szCs w:val="36"/>
        </w:rPr>
      </w:pPr>
      <w:r>
        <w:rPr>
          <w:rFonts w:eastAsia="方正小标宋简体"/>
          <w:color w:val="000000" w:themeColor="text1"/>
          <w:sz w:val="36"/>
          <w:szCs w:val="36"/>
        </w:rPr>
        <w:t>桃江县</w:t>
      </w:r>
      <w:r>
        <w:rPr>
          <w:rFonts w:hint="eastAsia" w:eastAsia="方正小标宋简体"/>
          <w:color w:val="000000" w:themeColor="text1"/>
          <w:sz w:val="36"/>
          <w:szCs w:val="36"/>
        </w:rPr>
        <w:t>征地拆迁安置与房屋征收补偿事务中心</w:t>
      </w:r>
      <w:r>
        <w:rPr>
          <w:rFonts w:eastAsia="方正小标宋简体"/>
          <w:color w:val="000000" w:themeColor="text1"/>
          <w:sz w:val="36"/>
          <w:szCs w:val="36"/>
        </w:rPr>
        <w:t>部门整体支出绩效报告</w:t>
      </w:r>
    </w:p>
    <w:p>
      <w:pPr>
        <w:spacing w:line="594" w:lineRule="exact"/>
        <w:ind w:firstLine="640" w:firstLineChars="200"/>
        <w:jc w:val="left"/>
        <w:textAlignment w:val="center"/>
        <w:rPr>
          <w:rFonts w:eastAsia="黑体"/>
          <w:color w:val="000000" w:themeColor="text1"/>
          <w:szCs w:val="32"/>
        </w:rPr>
      </w:pPr>
      <w:r>
        <w:rPr>
          <w:rFonts w:hAnsi="黑体" w:eastAsia="黑体"/>
          <w:color w:val="000000" w:themeColor="text1"/>
          <w:szCs w:val="32"/>
        </w:rPr>
        <w:t>一、部门概况</w:t>
      </w:r>
    </w:p>
    <w:p>
      <w:pPr>
        <w:spacing w:line="580" w:lineRule="exact"/>
        <w:ind w:firstLine="640"/>
        <w:rPr>
          <w:rFonts w:eastAsia="楷体_GB2312"/>
          <w:color w:val="000000" w:themeColor="text1"/>
          <w:szCs w:val="32"/>
        </w:rPr>
      </w:pPr>
      <w:r>
        <w:rPr>
          <w:rFonts w:eastAsia="楷体_GB2312"/>
          <w:color w:val="000000" w:themeColor="text1"/>
          <w:szCs w:val="32"/>
        </w:rPr>
        <w:t>（一）部门基本情况</w:t>
      </w:r>
    </w:p>
    <w:p>
      <w:pPr>
        <w:spacing w:line="580" w:lineRule="exact"/>
        <w:ind w:firstLine="640"/>
        <w:rPr>
          <w:b/>
          <w:color w:val="000000" w:themeColor="text1"/>
          <w:szCs w:val="32"/>
        </w:rPr>
      </w:pPr>
      <w:r>
        <w:rPr>
          <w:b/>
          <w:color w:val="000000" w:themeColor="text1"/>
          <w:szCs w:val="32"/>
        </w:rPr>
        <w:t>1.</w:t>
      </w:r>
      <w:r>
        <w:rPr>
          <w:rFonts w:hAnsi="仿宋_GB2312"/>
          <w:b/>
          <w:color w:val="000000" w:themeColor="text1"/>
          <w:szCs w:val="32"/>
        </w:rPr>
        <w:t>部门在职人员情况</w:t>
      </w:r>
    </w:p>
    <w:p>
      <w:pPr>
        <w:spacing w:line="580" w:lineRule="exact"/>
        <w:ind w:firstLine="640"/>
        <w:rPr>
          <w:color w:val="000000" w:themeColor="text1"/>
          <w:szCs w:val="32"/>
        </w:rPr>
      </w:pPr>
      <w:r>
        <w:rPr>
          <w:color w:val="000000" w:themeColor="text1"/>
          <w:szCs w:val="32"/>
        </w:rPr>
        <w:t>桃江县</w:t>
      </w:r>
      <w:r>
        <w:rPr>
          <w:rFonts w:hint="eastAsia"/>
          <w:color w:val="000000" w:themeColor="text1"/>
          <w:szCs w:val="32"/>
        </w:rPr>
        <w:t>征地拆迁安置与房屋征收补偿事务</w:t>
      </w:r>
      <w:r>
        <w:rPr>
          <w:color w:val="000000" w:themeColor="text1"/>
          <w:szCs w:val="32"/>
        </w:rPr>
        <w:t>中心为</w:t>
      </w:r>
      <w:r>
        <w:rPr>
          <w:rFonts w:hint="eastAsia"/>
          <w:color w:val="000000" w:themeColor="text1"/>
          <w:szCs w:val="32"/>
        </w:rPr>
        <w:t>全额拨款的正</w:t>
      </w:r>
      <w:r>
        <w:rPr>
          <w:color w:val="000000" w:themeColor="text1"/>
          <w:szCs w:val="32"/>
        </w:rPr>
        <w:t>科级事业单位。内设</w:t>
      </w:r>
      <w:r>
        <w:rPr>
          <w:rFonts w:hint="eastAsia"/>
          <w:color w:val="000000" w:themeColor="text1"/>
          <w:szCs w:val="32"/>
        </w:rPr>
        <w:t>12个股室</w:t>
      </w:r>
      <w:r>
        <w:rPr>
          <w:color w:val="000000" w:themeColor="text1"/>
          <w:szCs w:val="32"/>
        </w:rPr>
        <w:t>，单位核定事业编制人员</w:t>
      </w:r>
      <w:r>
        <w:rPr>
          <w:rFonts w:hint="eastAsia"/>
          <w:color w:val="000000" w:themeColor="text1"/>
          <w:szCs w:val="32"/>
        </w:rPr>
        <w:t>40</w:t>
      </w:r>
      <w:r>
        <w:rPr>
          <w:color w:val="000000" w:themeColor="text1"/>
          <w:szCs w:val="32"/>
        </w:rPr>
        <w:t>人，在岗</w:t>
      </w:r>
      <w:r>
        <w:rPr>
          <w:rFonts w:hint="eastAsia"/>
          <w:color w:val="000000" w:themeColor="text1"/>
          <w:szCs w:val="32"/>
        </w:rPr>
        <w:t>37</w:t>
      </w:r>
      <w:r>
        <w:rPr>
          <w:color w:val="000000" w:themeColor="text1"/>
          <w:szCs w:val="32"/>
        </w:rPr>
        <w:t>人，退休人员</w:t>
      </w:r>
      <w:r>
        <w:rPr>
          <w:rFonts w:hint="eastAsia"/>
          <w:color w:val="000000" w:themeColor="text1"/>
          <w:szCs w:val="32"/>
        </w:rPr>
        <w:t>4</w:t>
      </w:r>
      <w:r>
        <w:rPr>
          <w:color w:val="000000" w:themeColor="text1"/>
          <w:szCs w:val="32"/>
        </w:rPr>
        <w:t>人。</w:t>
      </w:r>
    </w:p>
    <w:p>
      <w:pPr>
        <w:spacing w:line="580" w:lineRule="exact"/>
        <w:ind w:firstLine="640"/>
        <w:rPr>
          <w:b/>
          <w:color w:val="000000" w:themeColor="text1"/>
          <w:szCs w:val="32"/>
        </w:rPr>
      </w:pPr>
      <w:r>
        <w:rPr>
          <w:b/>
          <w:color w:val="000000" w:themeColor="text1"/>
          <w:szCs w:val="32"/>
        </w:rPr>
        <w:t>2.主要职能</w:t>
      </w:r>
    </w:p>
    <w:p>
      <w:pPr>
        <w:snapToGrid w:val="0"/>
        <w:spacing w:line="520" w:lineRule="exact"/>
        <w:ind w:firstLine="640" w:firstLineChars="200"/>
        <w:rPr>
          <w:rFonts w:ascii="仿宋_GB2312" w:hAnsi="仿宋"/>
          <w:szCs w:val="32"/>
        </w:rPr>
      </w:pPr>
      <w:r>
        <w:rPr>
          <w:rFonts w:hint="eastAsia" w:ascii="仿宋_GB2312" w:hAnsi="仿宋"/>
          <w:szCs w:val="32"/>
        </w:rPr>
        <w:t>负责执行土地与房屋征收补偿安置制度的制定、宣传、解释；编制、汇总全县土地与房屋征收补偿的数据；负责开展拟征收土地现状调查、社会稳定风险评估、集体土地征收补偿登记；对征收范围内的房屋组织调查登记，拟定征收决定和补偿方案；负责起草归口项目资金结算调度方案；负责组织实施县城规划区和县人民政府总承包大型工程项目的集体土地与房屋征收补偿安置事务；承办县委、县人民政府交办的其他事项等。</w:t>
      </w:r>
    </w:p>
    <w:p>
      <w:pPr>
        <w:spacing w:line="594" w:lineRule="exact"/>
        <w:ind w:left="640" w:leftChars="200"/>
        <w:rPr>
          <w:b/>
          <w:color w:val="000000" w:themeColor="text1"/>
          <w:szCs w:val="32"/>
        </w:rPr>
      </w:pPr>
      <w:r>
        <w:rPr>
          <w:b/>
          <w:color w:val="000000" w:themeColor="text1"/>
          <w:szCs w:val="32"/>
        </w:rPr>
        <w:t>3.重点工作计划</w:t>
      </w:r>
    </w:p>
    <w:p>
      <w:pPr>
        <w:spacing w:line="594" w:lineRule="exact"/>
        <w:ind w:left="640" w:leftChars="200"/>
        <w:rPr>
          <w:b/>
          <w:color w:val="000000" w:themeColor="text1"/>
          <w:szCs w:val="32"/>
        </w:rPr>
      </w:pPr>
      <w:r>
        <w:rPr>
          <w:rFonts w:hint="eastAsia" w:ascii="楷体_GB2312" w:hAnsi="楷体_GB2312" w:eastAsia="楷体_GB2312" w:cs="楷体_GB2312"/>
          <w:bCs/>
          <w:szCs w:val="32"/>
        </w:rPr>
        <w:t>一、全面贯彻县委县政府决策部署，突出重点项目攻坚</w:t>
      </w:r>
    </w:p>
    <w:p>
      <w:pPr>
        <w:pStyle w:val="2"/>
        <w:spacing w:line="594" w:lineRule="exact"/>
        <w:ind w:firstLine="640" w:firstLineChars="200"/>
        <w:rPr>
          <w:rFonts w:ascii="仿宋_GB2312" w:hAnsi="仿宋_GB2312" w:cs="仿宋_GB2312"/>
          <w:szCs w:val="32"/>
        </w:rPr>
      </w:pPr>
      <w:r>
        <w:rPr>
          <w:rFonts w:hint="eastAsia" w:ascii="仿宋_GB2312" w:hAnsi="仿宋_GB2312" w:cs="仿宋_GB2312"/>
          <w:szCs w:val="32"/>
        </w:rPr>
        <w:t>紧扣县委工作思路，主动对标“双向发力”，振奋精神、履职尽责，全力推进重点工程建设项目，全面盘点县城未安置人员和未建成安置点，及时拿出具体的方案，逐一解决其安置遗留问题。</w:t>
      </w:r>
    </w:p>
    <w:p>
      <w:pPr>
        <w:pStyle w:val="2"/>
        <w:spacing w:line="594"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二、配合重点项目建设，协助做好征地拆迁工作</w:t>
      </w:r>
    </w:p>
    <w:p>
      <w:pPr>
        <w:spacing w:line="594" w:lineRule="exact"/>
        <w:ind w:firstLine="640" w:firstLineChars="200"/>
        <w:rPr>
          <w:color w:val="000000" w:themeColor="text1"/>
          <w:szCs w:val="32"/>
        </w:rPr>
      </w:pPr>
      <w:r>
        <w:rPr>
          <w:rFonts w:hint="eastAsia" w:ascii="仿宋_GB2312" w:hAnsi="仿宋_GB2312" w:cs="仿宋_GB2312"/>
          <w:szCs w:val="32"/>
        </w:rPr>
        <w:t>1、配合</w:t>
      </w:r>
      <w:r>
        <w:rPr>
          <w:rFonts w:hint="eastAsia"/>
          <w:color w:val="000000" w:themeColor="text1"/>
          <w:szCs w:val="32"/>
        </w:rPr>
        <w:t>项目实施主体单位</w:t>
      </w:r>
      <w:r>
        <w:rPr>
          <w:rFonts w:hint="eastAsia" w:ascii="仿宋_GB2312" w:hAnsi="仿宋_GB2312" w:cs="仿宋_GB2312"/>
          <w:szCs w:val="32"/>
        </w:rPr>
        <w:t>协调做好金塘村水电站以及桃花江航电枢纽项</w:t>
      </w:r>
      <w:r>
        <w:rPr>
          <w:rFonts w:hint="eastAsia"/>
          <w:color w:val="000000" w:themeColor="text1"/>
          <w:szCs w:val="32"/>
        </w:rPr>
        <w:t>目征地拆迁工作。</w:t>
      </w:r>
    </w:p>
    <w:p>
      <w:pPr>
        <w:spacing w:line="594" w:lineRule="exact"/>
        <w:ind w:firstLine="640" w:firstLineChars="200"/>
        <w:rPr>
          <w:color w:val="000000" w:themeColor="text1"/>
          <w:szCs w:val="32"/>
        </w:rPr>
      </w:pPr>
      <w:r>
        <w:rPr>
          <w:rFonts w:hint="eastAsia" w:ascii="仿宋_GB2312" w:hAnsi="仿宋_GB2312" w:cs="仿宋_GB2312"/>
          <w:szCs w:val="32"/>
        </w:rPr>
        <w:t>2、</w:t>
      </w:r>
      <w:r>
        <w:rPr>
          <w:rFonts w:hint="eastAsia"/>
          <w:color w:val="000000" w:themeColor="text1"/>
          <w:szCs w:val="32"/>
        </w:rPr>
        <w:t>协助配合县棚改指挥部做好弄溪桥棚改、团山棚改、美人窝棚改等项目的后续工作。</w:t>
      </w:r>
    </w:p>
    <w:p>
      <w:pPr>
        <w:spacing w:line="594" w:lineRule="exact"/>
        <w:ind w:firstLine="640" w:firstLineChars="200"/>
        <w:rPr>
          <w:rFonts w:ascii="楷体_GB2312" w:hAnsi="楷体_GB2312" w:eastAsia="楷体_GB2312" w:cs="楷体_GB2312"/>
          <w:color w:val="000000" w:themeColor="text1"/>
          <w:szCs w:val="32"/>
        </w:rPr>
      </w:pPr>
      <w:r>
        <w:rPr>
          <w:rFonts w:hint="eastAsia" w:ascii="楷体_GB2312" w:hAnsi="楷体_GB2312" w:eastAsia="楷体_GB2312" w:cs="楷体_GB2312"/>
          <w:color w:val="000000" w:themeColor="text1"/>
          <w:szCs w:val="32"/>
        </w:rPr>
        <w:t>三、依法履行相关职能，全面推进征地拆迁工作</w:t>
      </w:r>
    </w:p>
    <w:p>
      <w:pPr>
        <w:spacing w:line="594" w:lineRule="exact"/>
        <w:ind w:firstLine="640" w:firstLineChars="200"/>
        <w:rPr>
          <w:rFonts w:ascii="仿宋_GB2312" w:hAnsi="仿宋_GB2312" w:cs="仿宋_GB2312"/>
          <w:szCs w:val="32"/>
        </w:rPr>
      </w:pPr>
      <w:r>
        <w:rPr>
          <w:rFonts w:hint="eastAsia" w:ascii="仿宋_GB2312" w:hAnsi="仿宋_GB2312" w:cs="仿宋_GB2312"/>
          <w:szCs w:val="32"/>
        </w:rPr>
        <w:t>1、</w:t>
      </w:r>
      <w:r>
        <w:rPr>
          <w:rFonts w:hint="eastAsia"/>
          <w:color w:val="000000" w:themeColor="text1"/>
          <w:szCs w:val="32"/>
        </w:rPr>
        <w:t>协助指导各乡镇及各项目实施主体单位完成的</w:t>
      </w:r>
      <w:r>
        <w:rPr>
          <w:rFonts w:hint="eastAsia" w:ascii="仿宋_GB2312" w:hAnsi="仿宋_GB2312" w:cs="仿宋_GB2312"/>
          <w:szCs w:val="32"/>
        </w:rPr>
        <w:t>征地拆迁工作任务。</w:t>
      </w:r>
    </w:p>
    <w:p>
      <w:pPr>
        <w:spacing w:line="594" w:lineRule="exact"/>
        <w:ind w:firstLine="640" w:firstLineChars="200"/>
        <w:rPr>
          <w:rFonts w:ascii="仿宋_GB2312" w:hAnsi="仿宋_GB2312" w:cs="仿宋_GB2312"/>
          <w:szCs w:val="32"/>
        </w:rPr>
      </w:pPr>
      <w:r>
        <w:rPr>
          <w:rFonts w:hint="eastAsia" w:ascii="仿宋_GB2312" w:hAnsi="仿宋_GB2312" w:cs="仿宋_GB2312"/>
          <w:szCs w:val="32"/>
        </w:rPr>
        <w:t>2、协助各项目实施主体单位完成征地拆迁政策法规宣传、业务指导等工作。</w:t>
      </w:r>
    </w:p>
    <w:p>
      <w:pPr>
        <w:spacing w:line="594"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四、全力推动安置进度，确保安置房建设质量</w:t>
      </w:r>
    </w:p>
    <w:p>
      <w:pPr>
        <w:spacing w:line="594" w:lineRule="exact"/>
        <w:ind w:firstLine="640" w:firstLineChars="200"/>
        <w:rPr>
          <w:rFonts w:ascii="仿宋_GB2312" w:hAnsi="仿宋_GB2312" w:cs="仿宋_GB2312"/>
          <w:szCs w:val="32"/>
        </w:rPr>
      </w:pPr>
      <w:r>
        <w:rPr>
          <w:rFonts w:hint="eastAsia" w:ascii="仿宋_GB2312" w:hAnsi="仿宋_GB2312" w:cs="仿宋_GB2312"/>
          <w:szCs w:val="32"/>
        </w:rPr>
        <w:t>中心将重点推进莲荷花园、东城新苑、紫金湾3个安置点的建设，</w:t>
      </w:r>
      <w:r>
        <w:rPr>
          <w:rFonts w:hAnsi="仿宋_GB2312"/>
          <w:szCs w:val="32"/>
        </w:rPr>
        <w:t>由县住建局牵头，按照《湖南省居民自建房安全管理若干规定》等</w:t>
      </w:r>
      <w:r>
        <w:rPr>
          <w:rFonts w:hAnsi="仿宋_GB2312"/>
          <w:color w:val="000000"/>
          <w:szCs w:val="32"/>
        </w:rPr>
        <w:t>文件</w:t>
      </w:r>
      <w:r>
        <w:rPr>
          <w:rFonts w:hAnsi="仿宋_GB2312"/>
          <w:szCs w:val="32"/>
        </w:rPr>
        <w:t>要求，加强日常巡查监管，发现问题及时移交县城管执法局。</w:t>
      </w:r>
    </w:p>
    <w:p>
      <w:pPr>
        <w:spacing w:line="594"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五、加强征拆内部管理，全面推行阳光拆迁</w:t>
      </w:r>
    </w:p>
    <w:p>
      <w:pPr>
        <w:spacing w:line="594" w:lineRule="exact"/>
        <w:ind w:firstLine="640" w:firstLineChars="200"/>
        <w:rPr>
          <w:rFonts w:ascii="仿宋_GB2312" w:hAnsi="仿宋_GB2312" w:cs="仿宋_GB2312"/>
          <w:szCs w:val="32"/>
        </w:rPr>
      </w:pPr>
      <w:r>
        <w:rPr>
          <w:rFonts w:hint="eastAsia" w:ascii="仿宋_GB2312" w:hAnsi="仿宋_GB2312" w:cs="仿宋_GB2312"/>
          <w:szCs w:val="32"/>
        </w:rPr>
        <w:t>继续结合“制度执行与效率提升”活动，切实加强制度建设，进一步强化工作程序，增加工作的透明度及群众的知情率和参与率。进一步加强对征拆工作人员教育和管理，转变工作作风，切实提高工作效率，全力推行公正、公平、和谐的阳光拆迁。</w:t>
      </w:r>
    </w:p>
    <w:p>
      <w:pPr>
        <w:spacing w:line="594" w:lineRule="exact"/>
        <w:ind w:firstLine="640" w:firstLineChars="200"/>
        <w:rPr>
          <w:rFonts w:ascii="仿宋_GB2312" w:hAnsi="仿宋_GB2312" w:cs="仿宋_GB2312"/>
          <w:szCs w:val="32"/>
        </w:rPr>
      </w:pPr>
      <w:r>
        <w:rPr>
          <w:rFonts w:hint="eastAsia" w:ascii="楷体_GB2312" w:hAnsi="楷体_GB2312" w:eastAsia="楷体_GB2312" w:cs="楷体_GB2312"/>
          <w:bCs/>
          <w:szCs w:val="32"/>
        </w:rPr>
        <w:t>六、加强人才队伍建设，提升干部队伍管理水平</w:t>
      </w:r>
    </w:p>
    <w:p>
      <w:pPr>
        <w:spacing w:line="594" w:lineRule="exact"/>
        <w:ind w:firstLine="640" w:firstLineChars="200"/>
        <w:rPr>
          <w:rFonts w:ascii="仿宋_GB2312" w:hAnsi="仿宋_GB2312" w:cs="仿宋_GB2312"/>
          <w:szCs w:val="32"/>
        </w:rPr>
      </w:pPr>
      <w:r>
        <w:rPr>
          <w:rFonts w:hint="eastAsia" w:ascii="仿宋_GB2312" w:hAnsi="仿宋_GB2312" w:cs="仿宋_GB2312"/>
          <w:szCs w:val="32"/>
        </w:rPr>
        <w:t xml:space="preserve">始终坚持党对征拆工作的全面领导，探索创新“党建+履职”模式，切实把党的领导贯穿征拆安置履职各方面和全过程。强化班子和干部队伍的管理，充分发挥班子和干部队伍的凝聚力、战斗力。 </w:t>
      </w:r>
    </w:p>
    <w:p>
      <w:pPr>
        <w:spacing w:line="594" w:lineRule="exact"/>
        <w:ind w:left="640" w:leftChars="200"/>
        <w:rPr>
          <w:rFonts w:ascii="楷体_GB2312" w:hAnsi="楷体_GB2312" w:eastAsia="楷体_GB2312" w:cs="楷体_GB2312"/>
          <w:bCs/>
          <w:szCs w:val="32"/>
        </w:rPr>
      </w:pPr>
      <w:r>
        <w:rPr>
          <w:rFonts w:hint="eastAsia" w:ascii="楷体_GB2312" w:hAnsi="楷体_GB2312" w:eastAsia="楷体_GB2312" w:cs="楷体_GB2312"/>
          <w:bCs/>
          <w:szCs w:val="32"/>
        </w:rPr>
        <w:t>七、理顺征拆体制机制，压实属地管理责任</w:t>
      </w:r>
    </w:p>
    <w:p>
      <w:pPr>
        <w:spacing w:line="594" w:lineRule="exact"/>
        <w:ind w:firstLine="640" w:firstLineChars="200"/>
        <w:rPr>
          <w:rFonts w:ascii="仿宋_GB2312" w:hAnsi="仿宋_GB2312" w:cs="仿宋_GB2312"/>
          <w:szCs w:val="32"/>
        </w:rPr>
      </w:pPr>
      <w:r>
        <w:rPr>
          <w:rFonts w:hint="eastAsia" w:ascii="仿宋_GB2312" w:hAnsi="仿宋_GB2312" w:cs="仿宋_GB2312"/>
          <w:szCs w:val="32"/>
        </w:rPr>
        <w:t>针对征拆体制机制的调整变化，及时制定关于征拆体制机制的管理模式，特别是要规范县城规划区内的重点项目拆迁，同时加大对乡镇及项目实施主体单位的拆迁工作的指导、考核、管理。</w:t>
      </w:r>
    </w:p>
    <w:p>
      <w:pPr>
        <w:spacing w:line="594" w:lineRule="exact"/>
        <w:ind w:left="640" w:leftChars="200"/>
        <w:rPr>
          <w:rFonts w:ascii="楷体_GB2312" w:hAnsi="楷体_GB2312" w:eastAsia="楷体_GB2312" w:cs="楷体_GB2312"/>
          <w:bCs/>
          <w:szCs w:val="32"/>
        </w:rPr>
      </w:pPr>
      <w:r>
        <w:rPr>
          <w:rFonts w:hint="eastAsia" w:ascii="楷体_GB2312" w:hAnsi="楷体_GB2312" w:eastAsia="楷体_GB2312" w:cs="楷体_GB2312"/>
          <w:bCs/>
          <w:szCs w:val="32"/>
        </w:rPr>
        <w:t>八、加强部门统筹协调，强化部门联动效能</w:t>
      </w:r>
    </w:p>
    <w:p>
      <w:pPr>
        <w:spacing w:line="594" w:lineRule="exact"/>
        <w:ind w:firstLine="640" w:firstLineChars="200"/>
        <w:rPr>
          <w:rFonts w:ascii="仿宋_GB2312" w:hAnsi="仿宋_GB2312" w:cs="仿宋_GB2312"/>
          <w:szCs w:val="32"/>
        </w:rPr>
      </w:pPr>
      <w:r>
        <w:rPr>
          <w:rFonts w:hint="eastAsia" w:ascii="仿宋_GB2312" w:hAnsi="仿宋_GB2312" w:cs="仿宋_GB2312"/>
          <w:szCs w:val="32"/>
        </w:rPr>
        <w:t>充分发挥征拆工作联席会议等各种征拆专题会议作用，明确各部门单位职责，形成齐抓共管的征拆工作环境。</w:t>
      </w:r>
    </w:p>
    <w:p>
      <w:pPr>
        <w:spacing w:line="594" w:lineRule="exact"/>
        <w:ind w:left="640" w:leftChars="200"/>
        <w:rPr>
          <w:rFonts w:ascii="楷体_GB2312" w:hAnsi="楷体_GB2312" w:eastAsia="楷体_GB2312" w:cs="楷体_GB2312"/>
          <w:bCs/>
          <w:szCs w:val="32"/>
        </w:rPr>
      </w:pPr>
      <w:r>
        <w:rPr>
          <w:rFonts w:hint="eastAsia" w:ascii="楷体_GB2312" w:hAnsi="楷体_GB2312" w:eastAsia="楷体_GB2312" w:cs="楷体_GB2312"/>
          <w:bCs/>
          <w:szCs w:val="32"/>
        </w:rPr>
        <w:t>九、严格资金管理归集，履行资金监管职能</w:t>
      </w:r>
    </w:p>
    <w:p>
      <w:pPr>
        <w:spacing w:line="594" w:lineRule="exact"/>
        <w:ind w:firstLine="640" w:firstLineChars="200"/>
        <w:rPr>
          <w:rFonts w:ascii="仿宋_GB2312" w:hAnsi="仿宋_GB2312" w:cs="仿宋_GB2312"/>
          <w:szCs w:val="32"/>
        </w:rPr>
      </w:pPr>
      <w:r>
        <w:rPr>
          <w:rFonts w:hint="eastAsia" w:ascii="仿宋_GB2312" w:hAnsi="仿宋_GB2312" w:cs="仿宋_GB2312"/>
          <w:szCs w:val="32"/>
        </w:rPr>
        <w:t>征地拆迁补偿安置资金要坚持专款专用、统筹调配的原则。征拆工作经费由征拆事务中心严格按标准足额分配到各项目实施主体。县财政局要加强指导和监管，便于县人民政府统筹调度。</w:t>
      </w:r>
    </w:p>
    <w:p>
      <w:pPr>
        <w:spacing w:line="594" w:lineRule="exact"/>
        <w:ind w:left="640" w:leftChars="200"/>
        <w:rPr>
          <w:rFonts w:ascii="楷体_GB2312" w:hAnsi="楷体_GB2312" w:eastAsia="楷体_GB2312" w:cs="楷体_GB2312"/>
          <w:bCs/>
          <w:szCs w:val="32"/>
        </w:rPr>
      </w:pPr>
      <w:r>
        <w:rPr>
          <w:rFonts w:hint="eastAsia" w:ascii="楷体_GB2312" w:hAnsi="楷体_GB2312" w:eastAsia="楷体_GB2312" w:cs="楷体_GB2312"/>
          <w:bCs/>
          <w:szCs w:val="32"/>
        </w:rPr>
        <w:t>十、强化档案归集管理，提升服务能力水平</w:t>
      </w:r>
    </w:p>
    <w:p>
      <w:pPr>
        <w:spacing w:line="594" w:lineRule="exact"/>
        <w:ind w:firstLine="640" w:firstLineChars="200"/>
        <w:rPr>
          <w:rFonts w:ascii="仿宋" w:hAnsi="仿宋" w:eastAsia="仿宋" w:cs="仿宋"/>
          <w:szCs w:val="32"/>
        </w:rPr>
      </w:pPr>
      <w:r>
        <w:rPr>
          <w:rFonts w:hint="eastAsia" w:ascii="仿宋_GB2312" w:hAnsi="仿宋_GB2312" w:cs="仿宋_GB2312"/>
          <w:szCs w:val="32"/>
        </w:rPr>
        <w:t>按照“属地管理、主体责任、定期移交、一户一档”的原则，由县征拆事务中心建立征拆档案“智能化、数字化”体系，便于查阅和核查，防止重复补偿和安置。</w:t>
      </w:r>
    </w:p>
    <w:p>
      <w:pPr>
        <w:spacing w:line="594" w:lineRule="exact"/>
        <w:ind w:firstLine="640" w:firstLineChars="200"/>
        <w:rPr>
          <w:rFonts w:ascii="楷体_GB2312" w:hAnsi="楷体_GB2312" w:eastAsia="楷体_GB2312" w:cs="楷体_GB2312"/>
          <w:bCs/>
          <w:szCs w:val="32"/>
        </w:rPr>
      </w:pPr>
      <w:r>
        <w:rPr>
          <w:rFonts w:hint="eastAsia" w:ascii="楷体_GB2312" w:hAnsi="楷体_GB2312" w:eastAsia="楷体_GB2312" w:cs="楷体_GB2312"/>
          <w:bCs/>
          <w:szCs w:val="32"/>
        </w:rPr>
        <w:t>十一、加强业务指导和督查考核，提高征拆工作质效</w:t>
      </w:r>
    </w:p>
    <w:p>
      <w:pPr>
        <w:spacing w:line="594" w:lineRule="exact"/>
        <w:ind w:firstLine="640" w:firstLineChars="200"/>
        <w:rPr>
          <w:rFonts w:ascii="楷体_GB2312" w:hAnsi="楷体_GB2312" w:eastAsia="楷体_GB2312" w:cs="楷体_GB2312"/>
          <w:bCs/>
          <w:szCs w:val="32"/>
        </w:rPr>
      </w:pPr>
      <w:r>
        <w:rPr>
          <w:rFonts w:hint="eastAsia" w:ascii="仿宋_GB2312" w:hAnsi="仿宋_GB2312" w:cs="仿宋_GB2312"/>
          <w:szCs w:val="32"/>
        </w:rPr>
        <w:t>两办督查室要组织县重点建设项目事务中心和县征拆事务中心加强对项目实施情况的不定期督查，特别是在政策标准把握、规范流程、工作纪律和施工进度推进上要严格要求，并做为</w:t>
      </w:r>
      <w:r>
        <w:rPr>
          <w:rFonts w:hint="eastAsia" w:ascii="仿宋_GB2312" w:hAnsi="仿宋_GB2312" w:cs="仿宋_GB2312"/>
          <w:bCs/>
          <w:szCs w:val="32"/>
        </w:rPr>
        <w:t>年底考核奖惩的重要依据。</w:t>
      </w:r>
    </w:p>
    <w:p>
      <w:pPr>
        <w:spacing w:line="594" w:lineRule="exact"/>
        <w:ind w:firstLine="640" w:firstLineChars="200"/>
        <w:rPr>
          <w:rFonts w:ascii="楷体_GB2312" w:hAnsi="楷体_GB2312" w:eastAsia="楷体_GB2312" w:cs="楷体_GB2312"/>
          <w:bCs/>
          <w:szCs w:val="32"/>
        </w:rPr>
      </w:pPr>
      <w:r>
        <w:rPr>
          <w:rFonts w:hint="eastAsia" w:ascii="楷体_GB2312" w:hAnsi="楷体_GB2312" w:eastAsia="楷体_GB2312" w:cs="楷体_GB2312"/>
          <w:bCs/>
          <w:szCs w:val="32"/>
        </w:rPr>
        <w:t>十二、贯彻落实依法治县，加强征拆法规宣传</w:t>
      </w:r>
    </w:p>
    <w:p>
      <w:pPr>
        <w:spacing w:line="594" w:lineRule="exact"/>
        <w:ind w:firstLine="640" w:firstLineChars="200"/>
        <w:rPr>
          <w:rFonts w:ascii="仿宋_GB2312" w:hAnsi="仿宋_GB2312" w:cs="仿宋_GB2312"/>
          <w:szCs w:val="32"/>
        </w:rPr>
      </w:pPr>
      <w:r>
        <w:rPr>
          <w:rFonts w:hint="eastAsia" w:ascii="仿宋_GB2312" w:hAnsi="仿宋_GB2312" w:cs="仿宋_GB2312"/>
          <w:bCs/>
          <w:szCs w:val="32"/>
        </w:rPr>
        <w:t>为认真落实“谁执法、谁普法”责任制要求，结合桃江县人</w:t>
      </w:r>
      <w:r>
        <w:rPr>
          <w:rFonts w:hint="eastAsia" w:ascii="仿宋_GB2312" w:hAnsi="仿宋_GB2312" w:cs="仿宋_GB2312"/>
          <w:szCs w:val="32"/>
        </w:rPr>
        <w:t>民政府关于印发《桃江县集体土地征收与房屋拆迁补偿安置办法》的通知，深入开展新征拆相关文件的宣传。</w:t>
      </w:r>
    </w:p>
    <w:p>
      <w:pPr>
        <w:pStyle w:val="2"/>
        <w:spacing w:line="594" w:lineRule="exact"/>
        <w:ind w:firstLine="640" w:firstLineChars="200"/>
        <w:rPr>
          <w:color w:val="000000" w:themeColor="text1"/>
        </w:rPr>
      </w:pPr>
      <w:r>
        <w:rPr>
          <w:rFonts w:hint="eastAsia" w:ascii="楷体_GB2312" w:hAnsi="楷体_GB2312" w:eastAsia="楷体_GB2312" w:cs="楷体_GB2312"/>
          <w:szCs w:val="32"/>
        </w:rPr>
        <w:t>十三、完成县委县政府交办的其他重点工作任务。</w:t>
      </w:r>
    </w:p>
    <w:p>
      <w:pPr>
        <w:spacing w:line="580" w:lineRule="exact"/>
        <w:ind w:firstLine="640"/>
        <w:rPr>
          <w:b/>
          <w:color w:val="000000" w:themeColor="text1"/>
          <w:szCs w:val="32"/>
        </w:rPr>
      </w:pPr>
    </w:p>
    <w:p>
      <w:pPr>
        <w:spacing w:line="580" w:lineRule="exact"/>
        <w:ind w:firstLine="643" w:firstLineChars="200"/>
        <w:rPr>
          <w:rFonts w:eastAsia="楷体_GB2312"/>
          <w:b/>
          <w:color w:val="000000" w:themeColor="text1"/>
          <w:szCs w:val="32"/>
        </w:rPr>
      </w:pPr>
      <w:r>
        <w:rPr>
          <w:rFonts w:hAnsi="楷体_GB2312" w:eastAsia="楷体_GB2312"/>
          <w:b/>
          <w:color w:val="000000" w:themeColor="text1"/>
          <w:szCs w:val="32"/>
        </w:rPr>
        <w:t>（二）部门整体支出规模</w:t>
      </w:r>
    </w:p>
    <w:p>
      <w:pPr>
        <w:spacing w:line="580" w:lineRule="exact"/>
        <w:ind w:firstLine="640"/>
        <w:rPr>
          <w:color w:val="000000" w:themeColor="text1"/>
          <w:szCs w:val="32"/>
        </w:rPr>
      </w:pPr>
      <w:r>
        <w:rPr>
          <w:rFonts w:hint="eastAsia"/>
          <w:color w:val="000000" w:themeColor="text1"/>
          <w:szCs w:val="32"/>
        </w:rPr>
        <w:t>2023</w:t>
      </w:r>
      <w:r>
        <w:rPr>
          <w:rFonts w:hAnsi="仿宋_GB2312"/>
          <w:color w:val="000000" w:themeColor="text1"/>
          <w:szCs w:val="32"/>
        </w:rPr>
        <w:t>年收入实际完成为</w:t>
      </w:r>
      <w:r>
        <w:rPr>
          <w:rFonts w:hint="eastAsia"/>
          <w:szCs w:val="32"/>
        </w:rPr>
        <w:t>584.90</w:t>
      </w:r>
      <w:r>
        <w:rPr>
          <w:rFonts w:hAnsi="仿宋_GB2312"/>
          <w:color w:val="000000" w:themeColor="text1"/>
          <w:szCs w:val="32"/>
        </w:rPr>
        <w:t>万元，其中一般公共预算财政拨款收入</w:t>
      </w:r>
      <w:r>
        <w:rPr>
          <w:rFonts w:hint="eastAsia"/>
          <w:szCs w:val="32"/>
        </w:rPr>
        <w:t>584.90</w:t>
      </w:r>
      <w:r>
        <w:rPr>
          <w:rFonts w:hAnsi="仿宋_GB2312"/>
          <w:color w:val="000000" w:themeColor="text1"/>
          <w:szCs w:val="32"/>
        </w:rPr>
        <w:t>万元，政府性基金财政拨款收入</w:t>
      </w:r>
      <w:r>
        <w:rPr>
          <w:color w:val="000000" w:themeColor="text1"/>
          <w:szCs w:val="32"/>
        </w:rPr>
        <w:t>0</w:t>
      </w:r>
      <w:r>
        <w:rPr>
          <w:rFonts w:hAnsi="仿宋_GB2312"/>
          <w:color w:val="000000" w:themeColor="text1"/>
          <w:szCs w:val="32"/>
        </w:rPr>
        <w:t>万元。</w:t>
      </w:r>
    </w:p>
    <w:p>
      <w:pPr>
        <w:spacing w:line="580" w:lineRule="exact"/>
        <w:ind w:firstLine="630"/>
        <w:rPr>
          <w:rFonts w:eastAsia="楷体_GB2312"/>
          <w:b/>
          <w:color w:val="000000" w:themeColor="text1"/>
          <w:szCs w:val="32"/>
        </w:rPr>
      </w:pPr>
      <w:r>
        <w:rPr>
          <w:rFonts w:hAnsi="楷体_GB2312" w:eastAsia="楷体_GB2312"/>
          <w:b/>
          <w:color w:val="000000" w:themeColor="text1"/>
          <w:szCs w:val="32"/>
        </w:rPr>
        <w:t>（三）绩效目标设立情况</w:t>
      </w:r>
    </w:p>
    <w:p>
      <w:pPr>
        <w:spacing w:line="580" w:lineRule="exact"/>
        <w:ind w:firstLine="640"/>
        <w:rPr>
          <w:color w:val="000000" w:themeColor="text1"/>
          <w:szCs w:val="32"/>
        </w:rPr>
      </w:pPr>
      <w:r>
        <w:rPr>
          <w:rFonts w:hint="eastAsia" w:hAnsi="仿宋_GB2312"/>
          <w:color w:val="000000" w:themeColor="text1"/>
          <w:szCs w:val="32"/>
        </w:rPr>
        <w:t>桃江县征地拆迁安置与房屋征收补偿事务</w:t>
      </w:r>
      <w:r>
        <w:rPr>
          <w:rFonts w:hAnsi="仿宋_GB2312"/>
          <w:color w:val="000000" w:themeColor="text1"/>
          <w:szCs w:val="32"/>
        </w:rPr>
        <w:t>中心建立了专项资金管理办法，严格遵循专款专用、独立核算的管理原则。专项项目的申报严格按照财政资金管理的要求进行，专项资金财政拨款到位后及时进行了项目开展和资金投入。</w:t>
      </w:r>
    </w:p>
    <w:p>
      <w:pPr>
        <w:spacing w:line="580" w:lineRule="exact"/>
        <w:ind w:firstLine="627"/>
        <w:rPr>
          <w:rFonts w:eastAsia="黑体"/>
          <w:color w:val="000000" w:themeColor="text1"/>
          <w:szCs w:val="32"/>
        </w:rPr>
      </w:pPr>
      <w:r>
        <w:rPr>
          <w:rFonts w:hAnsi="黑体" w:eastAsia="黑体"/>
          <w:color w:val="000000" w:themeColor="text1"/>
          <w:szCs w:val="32"/>
        </w:rPr>
        <w:t>二、部门整体支出管理</w:t>
      </w:r>
      <w:r>
        <w:rPr>
          <w:rFonts w:hint="eastAsia" w:hAnsi="黑体" w:eastAsia="黑体"/>
          <w:color w:val="000000" w:themeColor="text1"/>
          <w:szCs w:val="32"/>
        </w:rPr>
        <w:t>及</w:t>
      </w:r>
      <w:r>
        <w:rPr>
          <w:rFonts w:hAnsi="黑体" w:eastAsia="黑体"/>
          <w:color w:val="000000" w:themeColor="text1"/>
          <w:szCs w:val="32"/>
        </w:rPr>
        <w:t>使用情况分析</w:t>
      </w:r>
    </w:p>
    <w:p>
      <w:pPr>
        <w:spacing w:line="580" w:lineRule="exact"/>
        <w:ind w:firstLine="640" w:firstLineChars="200"/>
        <w:rPr>
          <w:rFonts w:eastAsia="楷体_GB2312"/>
          <w:color w:val="000000" w:themeColor="text1"/>
          <w:szCs w:val="32"/>
        </w:rPr>
      </w:pPr>
      <w:r>
        <w:rPr>
          <w:rFonts w:hAnsi="楷体_GB2312" w:eastAsia="楷体_GB2312"/>
          <w:color w:val="000000" w:themeColor="text1"/>
          <w:szCs w:val="32"/>
        </w:rPr>
        <w:t>（一）基本支出</w:t>
      </w:r>
    </w:p>
    <w:p>
      <w:pPr>
        <w:spacing w:line="580" w:lineRule="exact"/>
        <w:ind w:firstLine="640"/>
        <w:rPr>
          <w:color w:val="000000" w:themeColor="text1"/>
          <w:szCs w:val="32"/>
        </w:rPr>
      </w:pPr>
      <w:r>
        <w:rPr>
          <w:rFonts w:hint="eastAsia"/>
          <w:color w:val="000000" w:themeColor="text1"/>
          <w:szCs w:val="32"/>
        </w:rPr>
        <w:t>2023</w:t>
      </w:r>
      <w:r>
        <w:rPr>
          <w:rFonts w:hAnsi="仿宋_GB2312"/>
          <w:color w:val="000000" w:themeColor="text1"/>
          <w:szCs w:val="32"/>
        </w:rPr>
        <w:t>年实际支出</w:t>
      </w:r>
      <w:r>
        <w:rPr>
          <w:rFonts w:hint="eastAsia"/>
          <w:szCs w:val="32"/>
        </w:rPr>
        <w:t>584.90</w:t>
      </w:r>
      <w:r>
        <w:rPr>
          <w:rFonts w:hAnsi="仿宋_GB2312"/>
          <w:color w:val="000000" w:themeColor="text1"/>
          <w:szCs w:val="32"/>
        </w:rPr>
        <w:t>万元，其中基本支出</w:t>
      </w:r>
      <w:r>
        <w:rPr>
          <w:rFonts w:hint="eastAsia"/>
          <w:szCs w:val="32"/>
        </w:rPr>
        <w:t>405.72</w:t>
      </w:r>
      <w:r>
        <w:rPr>
          <w:rFonts w:hAnsi="仿宋_GB2312"/>
          <w:color w:val="000000" w:themeColor="text1"/>
          <w:szCs w:val="32"/>
        </w:rPr>
        <w:t>万元，占</w:t>
      </w:r>
      <w:r>
        <w:rPr>
          <w:rFonts w:hint="eastAsia"/>
          <w:szCs w:val="32"/>
        </w:rPr>
        <w:t>69.36%</w:t>
      </w:r>
      <w:r>
        <w:rPr>
          <w:rFonts w:hAnsi="仿宋_GB2312"/>
          <w:color w:val="000000" w:themeColor="text1"/>
          <w:szCs w:val="32"/>
        </w:rPr>
        <w:t>。其中：人员经费</w:t>
      </w:r>
      <w:r>
        <w:rPr>
          <w:rFonts w:hint="eastAsia" w:hAnsi="仿宋_GB2312"/>
          <w:color w:val="000000" w:themeColor="text1"/>
          <w:szCs w:val="32"/>
        </w:rPr>
        <w:t>350.29</w:t>
      </w:r>
      <w:r>
        <w:rPr>
          <w:rFonts w:hAnsi="仿宋_GB2312"/>
          <w:color w:val="000000" w:themeColor="text1"/>
          <w:szCs w:val="32"/>
        </w:rPr>
        <w:t>万元，占基本支出的</w:t>
      </w:r>
      <w:r>
        <w:rPr>
          <w:rFonts w:hint="eastAsia" w:hAnsi="仿宋_GB2312"/>
          <w:color w:val="000000" w:themeColor="text1"/>
          <w:szCs w:val="32"/>
        </w:rPr>
        <w:t>86.34</w:t>
      </w:r>
      <w:r>
        <w:rPr>
          <w:rFonts w:hint="eastAsia"/>
          <w:szCs w:val="32"/>
        </w:rPr>
        <w:t>%</w:t>
      </w:r>
      <w:r>
        <w:rPr>
          <w:rFonts w:hAnsi="仿宋_GB2312"/>
          <w:color w:val="000000" w:themeColor="text1"/>
          <w:szCs w:val="32"/>
        </w:rPr>
        <w:t>，主要包括：基本工资、津贴补贴、奖金、伙食补助费、机关事业单位基本养老保险缴费、职业年金缴费、职工基本医疗保险缴费、其他社会保障缴费、住房公积金、其他工资福利支出、抚恤金、生活补助、其他对个人和家庭的补助。公用经</w:t>
      </w:r>
      <w:r>
        <w:rPr>
          <w:rFonts w:hAnsi="仿宋_GB2312"/>
          <w:szCs w:val="32"/>
        </w:rPr>
        <w:t>费</w:t>
      </w:r>
      <w:r>
        <w:rPr>
          <w:rFonts w:hint="eastAsia" w:hAnsi="仿宋_GB2312"/>
          <w:szCs w:val="32"/>
        </w:rPr>
        <w:t>55.43</w:t>
      </w:r>
      <w:r>
        <w:rPr>
          <w:rFonts w:hAnsi="仿宋_GB2312"/>
          <w:szCs w:val="32"/>
        </w:rPr>
        <w:t>万元，占基本支出的</w:t>
      </w:r>
      <w:r>
        <w:rPr>
          <w:rFonts w:hint="eastAsia" w:hAnsi="仿宋_GB2312"/>
          <w:szCs w:val="32"/>
        </w:rPr>
        <w:t>13.66</w:t>
      </w:r>
      <w:r>
        <w:rPr>
          <w:rFonts w:hint="eastAsia"/>
          <w:szCs w:val="32"/>
        </w:rPr>
        <w:t>%</w:t>
      </w:r>
      <w:r>
        <w:rPr>
          <w:rFonts w:hAnsi="仿宋_GB2312"/>
          <w:szCs w:val="32"/>
        </w:rPr>
        <w:t>，主要包括：办公费、印刷费</w:t>
      </w:r>
      <w:r>
        <w:rPr>
          <w:rFonts w:hAnsi="仿宋_GB2312"/>
          <w:color w:val="000000" w:themeColor="text1"/>
          <w:szCs w:val="32"/>
        </w:rPr>
        <w:t>、差旅费、公务接待费、工会经费、其他商品和服务支出。</w:t>
      </w:r>
    </w:p>
    <w:p>
      <w:pPr>
        <w:spacing w:line="580" w:lineRule="exact"/>
        <w:ind w:firstLine="640"/>
        <w:rPr>
          <w:rFonts w:eastAsia="楷体_GB2312"/>
          <w:color w:val="000000" w:themeColor="text1"/>
          <w:szCs w:val="32"/>
        </w:rPr>
      </w:pPr>
      <w:r>
        <w:rPr>
          <w:rFonts w:hAnsi="楷体_GB2312" w:eastAsia="楷体_GB2312"/>
          <w:color w:val="000000" w:themeColor="text1"/>
          <w:szCs w:val="32"/>
        </w:rPr>
        <w:t>（二）项目支出</w:t>
      </w:r>
    </w:p>
    <w:p>
      <w:pPr>
        <w:pStyle w:val="5"/>
        <w:spacing w:beforeAutospacing="0" w:after="2" w:afterAutospacing="0" w:line="580" w:lineRule="exact"/>
        <w:ind w:firstLine="641"/>
        <w:rPr>
          <w:rFonts w:ascii="Times New Roman" w:hAnsi="Times New Roman" w:eastAsia="仿宋_GB2312"/>
          <w:color w:val="000000" w:themeColor="text1"/>
          <w:sz w:val="32"/>
          <w:szCs w:val="32"/>
        </w:rPr>
      </w:pPr>
      <w:r>
        <w:rPr>
          <w:rFonts w:ascii="Times New Roman" w:hAnsi="仿宋_GB2312" w:eastAsia="仿宋_GB2312"/>
          <w:color w:val="000000" w:themeColor="text1"/>
          <w:sz w:val="32"/>
          <w:szCs w:val="32"/>
        </w:rPr>
        <w:t>项目支出</w:t>
      </w:r>
      <w:r>
        <w:rPr>
          <w:rFonts w:hint="eastAsia" w:ascii="Times New Roman" w:hAnsi="Times New Roman" w:eastAsia="仿宋_GB2312"/>
          <w:sz w:val="32"/>
          <w:szCs w:val="32"/>
        </w:rPr>
        <w:t>179.18</w:t>
      </w:r>
      <w:r>
        <w:rPr>
          <w:rFonts w:ascii="Times New Roman" w:hAnsi="仿宋_GB2312" w:eastAsia="仿宋_GB2312"/>
          <w:sz w:val="32"/>
          <w:szCs w:val="32"/>
        </w:rPr>
        <w:t>万元，占</w:t>
      </w:r>
      <w:r>
        <w:rPr>
          <w:rFonts w:hint="eastAsia" w:ascii="Times New Roman" w:hAnsi="Times New Roman" w:eastAsia="仿宋_GB2312"/>
          <w:sz w:val="32"/>
          <w:szCs w:val="32"/>
        </w:rPr>
        <w:t>30.64</w:t>
      </w:r>
      <w:r>
        <w:rPr>
          <w:rFonts w:ascii="Times New Roman" w:hAnsi="Times New Roman" w:eastAsia="仿宋_GB2312"/>
          <w:sz w:val="32"/>
          <w:szCs w:val="32"/>
        </w:rPr>
        <w:t>%</w:t>
      </w:r>
      <w:r>
        <w:rPr>
          <w:rFonts w:ascii="Times New Roman" w:hAnsi="仿宋_GB2312" w:eastAsia="仿宋_GB2312"/>
          <w:sz w:val="32"/>
          <w:szCs w:val="32"/>
        </w:rPr>
        <w:t>；</w:t>
      </w:r>
      <w:r>
        <w:rPr>
          <w:rFonts w:ascii="Times New Roman" w:hAnsi="仿宋_GB2312" w:eastAsia="仿宋_GB2312"/>
          <w:color w:val="000000" w:themeColor="text1"/>
          <w:sz w:val="32"/>
          <w:szCs w:val="32"/>
        </w:rPr>
        <w:t>上缴上级支出</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万元，占</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；经营支出</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万元，占</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；对附属单位补助支出</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万元，占</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项目资金管理情况分析：严格按照国家政策法规规定和本部门实际，建立健全财务基础制度和约束机制，依法、有效地使用财政资金，提高财政资金使用效率，在完成部门职能目标中合理分配人、财、物，使之达到了较高的工作效率和水平。</w:t>
      </w:r>
    </w:p>
    <w:p>
      <w:pPr>
        <w:spacing w:line="580" w:lineRule="exact"/>
        <w:ind w:firstLine="640"/>
        <w:rPr>
          <w:rFonts w:eastAsia="黑体"/>
          <w:color w:val="000000" w:themeColor="text1"/>
          <w:szCs w:val="32"/>
        </w:rPr>
      </w:pPr>
      <w:r>
        <w:rPr>
          <w:rFonts w:hAnsi="黑体" w:eastAsia="黑体"/>
          <w:color w:val="000000" w:themeColor="text1"/>
          <w:szCs w:val="32"/>
        </w:rPr>
        <w:t>三、项目组织实施情况分析</w:t>
      </w:r>
    </w:p>
    <w:p>
      <w:pPr>
        <w:spacing w:line="580" w:lineRule="exact"/>
        <w:ind w:left="640"/>
        <w:rPr>
          <w:rFonts w:eastAsia="黑体"/>
          <w:color w:val="000000" w:themeColor="text1"/>
          <w:szCs w:val="32"/>
        </w:rPr>
      </w:pPr>
      <w:r>
        <w:rPr>
          <w:rFonts w:eastAsia="黑体"/>
          <w:color w:val="000000" w:themeColor="text1"/>
          <w:szCs w:val="32"/>
        </w:rPr>
        <w:t>1.</w:t>
      </w:r>
      <w:r>
        <w:rPr>
          <w:rFonts w:hAnsi="黑体" w:eastAsia="黑体"/>
          <w:color w:val="000000" w:themeColor="text1"/>
          <w:szCs w:val="32"/>
        </w:rPr>
        <w:t>项目资金安排落实、使用情况分析</w:t>
      </w:r>
    </w:p>
    <w:p>
      <w:pPr>
        <w:spacing w:line="580" w:lineRule="exact"/>
        <w:ind w:firstLine="640"/>
        <w:rPr>
          <w:color w:val="000000" w:themeColor="text1"/>
          <w:szCs w:val="32"/>
        </w:rPr>
      </w:pPr>
      <w:r>
        <w:rPr>
          <w:rFonts w:hint="eastAsia"/>
          <w:color w:val="000000" w:themeColor="text1"/>
          <w:szCs w:val="32"/>
        </w:rPr>
        <w:t>2023</w:t>
      </w:r>
      <w:r>
        <w:rPr>
          <w:rFonts w:hAnsi="仿宋_GB2312"/>
          <w:color w:val="000000" w:themeColor="text1"/>
          <w:szCs w:val="32"/>
        </w:rPr>
        <w:t>年度项目支出</w:t>
      </w:r>
      <w:r>
        <w:rPr>
          <w:rFonts w:hint="eastAsia"/>
          <w:szCs w:val="32"/>
        </w:rPr>
        <w:t>179.18</w:t>
      </w:r>
      <w:r>
        <w:rPr>
          <w:rFonts w:hAnsi="仿宋_GB2312"/>
          <w:szCs w:val="32"/>
        </w:rPr>
        <w:t>万</w:t>
      </w:r>
      <w:r>
        <w:rPr>
          <w:rFonts w:hAnsi="仿宋_GB2312"/>
          <w:color w:val="000000" w:themeColor="text1"/>
          <w:szCs w:val="32"/>
        </w:rPr>
        <w:t>元，</w:t>
      </w:r>
      <w:r>
        <w:rPr>
          <w:rFonts w:hint="eastAsia" w:hAnsi="仿宋_GB2312"/>
          <w:color w:val="000000" w:themeColor="text1"/>
          <w:szCs w:val="32"/>
          <w:lang w:eastAsia="zh-CN"/>
        </w:rPr>
        <w:t>包括征</w:t>
      </w:r>
      <w:r>
        <w:rPr>
          <w:rFonts w:hint="eastAsia" w:hAnsi="仿宋_GB2312"/>
          <w:color w:val="000000" w:themeColor="text1"/>
          <w:szCs w:val="32"/>
        </w:rPr>
        <w:t>地拆迁工作经费77万元,安置攻坚、乡村振兴、法规宣传经费40万元，绩效奖励、住房公积金、养老保险等资金46.18万元</w:t>
      </w:r>
      <w:r>
        <w:rPr>
          <w:rFonts w:hint="eastAsia" w:hAnsi="仿宋_GB2312"/>
          <w:color w:val="000000" w:themeColor="text1"/>
          <w:szCs w:val="32"/>
          <w:lang w:val="en-US" w:eastAsia="zh-CN"/>
        </w:rPr>
        <w:t>,</w:t>
      </w:r>
      <w:r>
        <w:rPr>
          <w:rFonts w:hint="eastAsia" w:hAnsi="仿宋_GB2312"/>
          <w:color w:val="000000" w:themeColor="text1"/>
          <w:szCs w:val="32"/>
        </w:rPr>
        <w:t>重点项目建设支持服务奖励资金15万元、驻村工作第一书记工作经费1万元。</w:t>
      </w:r>
      <w:r>
        <w:rPr>
          <w:rFonts w:hAnsi="仿宋_GB2312"/>
          <w:color w:val="000000" w:themeColor="text1"/>
          <w:szCs w:val="32"/>
        </w:rPr>
        <w:t>专项资金</w:t>
      </w:r>
      <w:r>
        <w:rPr>
          <w:rFonts w:hint="eastAsia" w:hAnsi="仿宋_GB2312"/>
          <w:color w:val="000000" w:themeColor="text1"/>
          <w:szCs w:val="32"/>
        </w:rPr>
        <w:t>主要用于征地拆迁工作费用支出、安置攻坚、乡村振兴、法规宣传支出、绩效奖励、住房公积金、养老保险等支出</w:t>
      </w:r>
      <w:r>
        <w:rPr>
          <w:rFonts w:hAnsi="仿宋_GB2312"/>
          <w:color w:val="000000" w:themeColor="text1"/>
          <w:szCs w:val="32"/>
        </w:rPr>
        <w:t>。</w:t>
      </w:r>
    </w:p>
    <w:p>
      <w:pPr>
        <w:spacing w:line="580" w:lineRule="exact"/>
        <w:ind w:left="640"/>
        <w:rPr>
          <w:rFonts w:eastAsia="黑体"/>
          <w:color w:val="000000" w:themeColor="text1"/>
          <w:szCs w:val="32"/>
        </w:rPr>
      </w:pPr>
      <w:r>
        <w:rPr>
          <w:rFonts w:hint="eastAsia" w:eastAsia="黑体"/>
          <w:color w:val="000000" w:themeColor="text1"/>
          <w:szCs w:val="32"/>
          <w:lang w:val="en-US" w:eastAsia="zh-CN"/>
        </w:rPr>
        <w:t>2</w:t>
      </w:r>
      <w:r>
        <w:rPr>
          <w:rFonts w:eastAsia="黑体"/>
          <w:color w:val="000000" w:themeColor="text1"/>
          <w:szCs w:val="32"/>
        </w:rPr>
        <w:t>.</w:t>
      </w:r>
      <w:r>
        <w:rPr>
          <w:rFonts w:hAnsi="黑体" w:eastAsia="黑体"/>
          <w:color w:val="000000" w:themeColor="text1"/>
          <w:szCs w:val="32"/>
        </w:rPr>
        <w:t>项目资金管理情况分析</w:t>
      </w:r>
    </w:p>
    <w:p>
      <w:pPr>
        <w:spacing w:line="580" w:lineRule="exact"/>
        <w:ind w:firstLine="640"/>
        <w:rPr>
          <w:color w:val="000000" w:themeColor="text1"/>
          <w:szCs w:val="32"/>
        </w:rPr>
      </w:pPr>
      <w:r>
        <w:rPr>
          <w:rFonts w:hAnsi="仿宋_GB2312"/>
          <w:color w:val="000000" w:themeColor="text1"/>
          <w:szCs w:val="32"/>
        </w:rPr>
        <w:t>严格按照国家政策法规规定和本部门实际，建立健全财务基础制度和约束机制，依法、有效地使用财政资金，提高财政资金使用效率，在完成部门职能目标中合理分配人、财、物，使之达到了较高的工作效率和水平。</w:t>
      </w:r>
    </w:p>
    <w:p>
      <w:pPr>
        <w:spacing w:line="580" w:lineRule="exact"/>
        <w:ind w:firstLine="640" w:firstLineChars="200"/>
        <w:rPr>
          <w:rFonts w:eastAsia="黑体"/>
          <w:color w:val="000000" w:themeColor="text1"/>
          <w:szCs w:val="32"/>
        </w:rPr>
      </w:pPr>
      <w:r>
        <w:rPr>
          <w:rFonts w:hAnsi="黑体" w:eastAsia="黑体"/>
          <w:color w:val="000000" w:themeColor="text1"/>
          <w:szCs w:val="32"/>
        </w:rPr>
        <w:t>四、部门整体支出绩效情况分析</w:t>
      </w:r>
    </w:p>
    <w:p>
      <w:pPr>
        <w:spacing w:line="594"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2023年，县征拆事务中心在县委、县政府的坚强领导下，紧紧围绕县委“12345”工作思路、县政府六七八九十工作要点及2023年政府投资类项目计划工作任务要求，狠抓重点建设项目，取得了显著成效，中心2023年征拆工作情况如下：</w:t>
      </w:r>
    </w:p>
    <w:p>
      <w:pPr>
        <w:spacing w:line="594" w:lineRule="exact"/>
        <w:ind w:firstLine="419" w:firstLineChars="131"/>
        <w:rPr>
          <w:rFonts w:ascii="楷体" w:hAnsi="楷体" w:eastAsia="楷体" w:cs="楷体"/>
          <w:bCs/>
          <w:color w:val="000000" w:themeColor="text1"/>
          <w:szCs w:val="32"/>
        </w:rPr>
      </w:pPr>
      <w:r>
        <w:rPr>
          <w:rFonts w:hint="eastAsia" w:ascii="楷体" w:hAnsi="楷体" w:eastAsia="楷体" w:cs="楷体"/>
          <w:bCs/>
          <w:color w:val="000000" w:themeColor="text1"/>
          <w:szCs w:val="32"/>
        </w:rPr>
        <w:t>（一）全面理顺体制机制，强化征拆队伍建设</w:t>
      </w:r>
    </w:p>
    <w:p>
      <w:pPr>
        <w:spacing w:line="594" w:lineRule="exact"/>
        <w:ind w:firstLine="640" w:firstLineChars="200"/>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为进一步规范征地拆迁补偿安置工作，加强征地拆迁资金的管理和使用，中心起草出台《桃江县集体土地征收与房屋拆迁补偿安置办法》和《桃江县人民政府办公室关于进一步规范征地拆迁安置工作的通知（征求意见稿）》。以上2个文件，均已通过县政府常务会议以及县委常委会议审定，其中《桃江县集体土地征收与房屋拆迁补偿安置办法》已经县人民政府名义行文下发。</w:t>
      </w:r>
    </w:p>
    <w:p>
      <w:pPr>
        <w:spacing w:line="594" w:lineRule="exact"/>
        <w:ind w:firstLine="320" w:firstLineChars="100"/>
        <w:rPr>
          <w:rFonts w:ascii="楷体" w:hAnsi="楷体" w:eastAsia="楷体" w:cs="楷体"/>
          <w:color w:val="000000" w:themeColor="text1"/>
          <w:szCs w:val="32"/>
        </w:rPr>
      </w:pPr>
      <w:r>
        <w:rPr>
          <w:rFonts w:hint="eastAsia" w:ascii="楷体" w:hAnsi="楷体" w:eastAsia="楷体" w:cs="楷体"/>
          <w:color w:val="000000" w:themeColor="text1"/>
          <w:szCs w:val="32"/>
        </w:rPr>
        <w:t xml:space="preserve"> （二）全力推进征地拆迁，保证项目落地落实</w:t>
      </w:r>
    </w:p>
    <w:p>
      <w:pPr>
        <w:spacing w:line="594" w:lineRule="exact"/>
        <w:ind w:left="160" w:leftChars="50" w:firstLine="640" w:firstLineChars="200"/>
        <w:rPr>
          <w:rFonts w:ascii="仿宋_GB2312"/>
          <w:szCs w:val="32"/>
        </w:rPr>
      </w:pPr>
      <w:r>
        <w:rPr>
          <w:rFonts w:hint="eastAsia" w:ascii="仿宋_GB2312" w:hAnsi="仿宋_GB2312" w:cs="仿宋_GB2312"/>
          <w:color w:val="000000" w:themeColor="text1"/>
          <w:szCs w:val="32"/>
        </w:rPr>
        <w:t>2023年，我中心共计拆除县城范围内房屋25栋，迁坟337支，实物量调查59栋，签订各类拆迁及附属物、青苗补偿协议70余份。我中心对接县城投集团拨入征拆资金3490万元，支付金额4360万元；弄溪桥专款资金拨入1700万元，支付金额1517万元。其中</w:t>
      </w:r>
      <w:r>
        <w:rPr>
          <w:rFonts w:hint="eastAsia" w:ascii="仿宋_GB2312"/>
          <w:szCs w:val="32"/>
        </w:rPr>
        <w:t>全面</w:t>
      </w:r>
      <w:r>
        <w:rPr>
          <w:rFonts w:ascii="仿宋_GB2312"/>
          <w:szCs w:val="32"/>
        </w:rPr>
        <w:t>完成</w:t>
      </w:r>
      <w:r>
        <w:rPr>
          <w:rFonts w:hint="eastAsia" w:ascii="仿宋_GB2312"/>
          <w:szCs w:val="32"/>
        </w:rPr>
        <w:t>桃花江竹海创4A景区创建相关征地拆迁工作：全力配合县棚改指挥部，完成了弄溪桥棚改项目补偿资金拨付、协议的签订；配合桃花江镇完成桃花江流域治理项目中18户房屋的拆迁倒地工作和130余亩征地工作；完成美人窝文化体育公园（原湿地公园）所涉及红线内房屋118栋203户房屋实物量调查登记情况；协助配合指挥部完成金塘村水电站的前期实物量调查等工作。</w:t>
      </w:r>
    </w:p>
    <w:p>
      <w:pPr>
        <w:spacing w:line="594" w:lineRule="exact"/>
        <w:ind w:firstLine="640" w:firstLineChars="200"/>
        <w:rPr>
          <w:rFonts w:ascii="楷体" w:hAnsi="楷体" w:eastAsia="楷体" w:cs="楷体"/>
          <w:bCs/>
          <w:color w:val="000000" w:themeColor="text1"/>
          <w:szCs w:val="32"/>
        </w:rPr>
      </w:pPr>
      <w:r>
        <w:rPr>
          <w:rFonts w:hint="eastAsia" w:ascii="楷体" w:hAnsi="楷体" w:eastAsia="楷体" w:cs="楷体"/>
          <w:bCs/>
          <w:color w:val="000000" w:themeColor="text1"/>
          <w:szCs w:val="32"/>
        </w:rPr>
        <w:t>（三）全面梳理遗留问题，强力推进安置攻坚</w:t>
      </w:r>
    </w:p>
    <w:p>
      <w:pPr>
        <w:spacing w:line="594" w:lineRule="exact"/>
        <w:ind w:firstLine="640" w:firstLineChars="200"/>
        <w:jc w:val="left"/>
        <w:rPr>
          <w:rStyle w:val="11"/>
          <w:rFonts w:ascii="仿宋_GB2312" w:hAnsi="仿宋_GB2312" w:eastAsia="仿宋_GB2312" w:cs="仿宋_GB2312"/>
          <w:color w:val="000000" w:themeColor="text1"/>
          <w:sz w:val="32"/>
          <w:szCs w:val="32"/>
        </w:rPr>
      </w:pPr>
      <w:r>
        <w:rPr>
          <w:rFonts w:hint="eastAsia" w:ascii="仿宋_GB2312" w:hAnsi="仿宋_GB2312" w:cs="仿宋_GB2312"/>
          <w:color w:val="000000" w:themeColor="text1"/>
          <w:szCs w:val="32"/>
        </w:rPr>
        <w:t>历年来安置拆迁户总计3700余户，安置地基5503间，转型安置200间。其中，</w:t>
      </w:r>
      <w:r>
        <w:rPr>
          <w:rStyle w:val="11"/>
          <w:rFonts w:hint="eastAsia" w:ascii="仿宋_GB2312" w:hAnsi="仿宋_GB2312" w:eastAsia="仿宋_GB2312" w:cs="仿宋_GB2312"/>
          <w:color w:val="000000" w:themeColor="text1"/>
          <w:sz w:val="32"/>
          <w:szCs w:val="32"/>
        </w:rPr>
        <w:t>省委巡视组反馈的</w:t>
      </w:r>
      <w:r>
        <w:rPr>
          <w:rFonts w:hint="eastAsia" w:ascii="仿宋_GB2312" w:hAnsi="仿宋_GB2312" w:cs="仿宋_GB2312"/>
          <w:color w:val="000000" w:themeColor="text1"/>
          <w:szCs w:val="32"/>
        </w:rPr>
        <w:t>1931户拆迁户没有安置的问题，已全面完成安置分户任务。</w:t>
      </w:r>
      <w:r>
        <w:rPr>
          <w:rStyle w:val="11"/>
          <w:rFonts w:hint="eastAsia" w:ascii="仿宋_GB2312" w:hAnsi="仿宋_GB2312" w:eastAsia="仿宋_GB2312" w:cs="仿宋_GB2312"/>
          <w:color w:val="000000" w:themeColor="text1"/>
          <w:sz w:val="32"/>
          <w:szCs w:val="32"/>
        </w:rPr>
        <w:t>截至2023年6月底，已基本完成历年来所有拆迁户的安置分户任务。</w:t>
      </w:r>
    </w:p>
    <w:p>
      <w:pPr>
        <w:spacing w:line="594" w:lineRule="exact"/>
        <w:ind w:firstLine="640" w:firstLineChars="200"/>
        <w:jc w:val="left"/>
        <w:rPr>
          <w:rFonts w:ascii="楷体" w:hAnsi="楷体" w:eastAsia="楷体" w:cs="楷体"/>
          <w:bCs/>
          <w:color w:val="000000" w:themeColor="text1"/>
          <w:szCs w:val="32"/>
        </w:rPr>
      </w:pPr>
      <w:r>
        <w:rPr>
          <w:rFonts w:hint="eastAsia" w:ascii="楷体" w:hAnsi="楷体" w:eastAsia="楷体" w:cs="楷体"/>
          <w:bCs/>
          <w:color w:val="000000" w:themeColor="text1"/>
          <w:szCs w:val="32"/>
        </w:rPr>
        <w:t>（四）全面推行“一线工作”方法，提升征拆水平实效</w:t>
      </w:r>
    </w:p>
    <w:p>
      <w:pPr>
        <w:spacing w:line="594"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当前，在征拆过程中，新情况、新问题、新现象层出不穷，即使是遗留问题，也常常会有“新变种”。面对征拆工作的新形势，我中心坚持在创新方法上下功夫，在提升水平上求实效。采用“领导一线指挥、干部一线工作，问题一线解决”的一线工作法，畅通与群众的交流、沟通渠道，面对面地向群众宣传征地拆迁政策和法律法规，切实解决实际问题，为研究、探索和把握征拆工作的规律起到了积极的作用。</w:t>
      </w:r>
    </w:p>
    <w:p>
      <w:pPr>
        <w:kinsoku w:val="0"/>
        <w:overflowPunct w:val="0"/>
        <w:autoSpaceDE w:val="0"/>
        <w:autoSpaceDN w:val="0"/>
        <w:adjustRightInd w:val="0"/>
        <w:snapToGrid w:val="0"/>
        <w:spacing w:line="594" w:lineRule="exac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我中心作为县人民政府履行征拆工作的法律主体，将优化工作机制，要按照“政策把关、资金监管、业务指导、工作统筹”工作方针，全面理清同各乡镇（项目指挥部）、桃江高新区、县自然资源局、县城投集团及项目业主的关系，尽快出台理顺和规范体制机制相关文件，进一步明确各方职责，确保全县征地拆迁安置工作健康有序发展。</w:t>
      </w:r>
    </w:p>
    <w:p>
      <w:pPr>
        <w:spacing w:line="580" w:lineRule="exact"/>
        <w:ind w:firstLine="640" w:firstLineChars="200"/>
        <w:rPr>
          <w:rFonts w:eastAsia="黑体"/>
          <w:color w:val="000000" w:themeColor="text1"/>
          <w:szCs w:val="32"/>
        </w:rPr>
      </w:pPr>
      <w:r>
        <w:rPr>
          <w:rFonts w:hAnsi="黑体" w:eastAsia="黑体"/>
          <w:color w:val="000000" w:themeColor="text1"/>
          <w:szCs w:val="32"/>
        </w:rPr>
        <w:t>五、绩效评价工作开展情况</w:t>
      </w:r>
    </w:p>
    <w:p>
      <w:pPr>
        <w:spacing w:line="580" w:lineRule="exact"/>
        <w:ind w:firstLine="640" w:firstLineChars="200"/>
        <w:rPr>
          <w:rFonts w:eastAsia="楷体_GB2312"/>
          <w:b/>
          <w:color w:val="000000" w:themeColor="text1"/>
          <w:szCs w:val="32"/>
        </w:rPr>
      </w:pPr>
      <w:bookmarkStart w:id="1" w:name="_Hlk163551528"/>
      <w:r>
        <w:rPr>
          <w:rFonts w:hAnsi="楷体_GB2312" w:eastAsia="楷体_GB2312"/>
          <w:color w:val="000000" w:themeColor="text1"/>
          <w:szCs w:val="32"/>
        </w:rPr>
        <w:t>（一）</w:t>
      </w:r>
      <w:r>
        <w:rPr>
          <w:rFonts w:hAnsi="楷体_GB2312" w:eastAsia="楷体_GB2312"/>
          <w:b/>
          <w:color w:val="000000" w:themeColor="text1"/>
          <w:szCs w:val="32"/>
        </w:rPr>
        <w:t>绩效评价目的</w:t>
      </w:r>
    </w:p>
    <w:p>
      <w:pPr>
        <w:spacing w:line="580" w:lineRule="exact"/>
        <w:ind w:firstLine="640"/>
        <w:rPr>
          <w:color w:val="000000" w:themeColor="text1"/>
          <w:szCs w:val="32"/>
        </w:rPr>
      </w:pPr>
      <w:r>
        <w:rPr>
          <w:rFonts w:hAnsi="仿宋_GB2312"/>
          <w:color w:val="000000" w:themeColor="text1"/>
          <w:szCs w:val="32"/>
        </w:rPr>
        <w:t>本次绩效评价的目的是为了全面分析和综合评价我县</w:t>
      </w:r>
      <w:r>
        <w:rPr>
          <w:rFonts w:hint="eastAsia" w:hAnsi="仿宋_GB2312"/>
          <w:color w:val="000000" w:themeColor="text1"/>
          <w:szCs w:val="32"/>
        </w:rPr>
        <w:t>征地拆迁安置与房屋征收补偿事务</w:t>
      </w:r>
      <w:r>
        <w:rPr>
          <w:rFonts w:hAnsi="仿宋_GB2312"/>
          <w:color w:val="000000" w:themeColor="text1"/>
          <w:szCs w:val="32"/>
        </w:rPr>
        <w:t>中心财政预算资金的使用管理情况，为切实提高财政资金使用效益，强化预算支出的责任和效率提供参考依据。</w:t>
      </w:r>
    </w:p>
    <w:p>
      <w:pPr>
        <w:spacing w:line="580" w:lineRule="exact"/>
        <w:ind w:firstLine="643"/>
        <w:rPr>
          <w:rFonts w:eastAsia="楷体_GB2312"/>
          <w:b/>
          <w:color w:val="000000" w:themeColor="text1"/>
          <w:szCs w:val="32"/>
        </w:rPr>
      </w:pPr>
      <w:r>
        <w:rPr>
          <w:rFonts w:hAnsi="楷体_GB2312" w:eastAsia="楷体_GB2312"/>
          <w:b/>
          <w:color w:val="000000" w:themeColor="text1"/>
          <w:szCs w:val="32"/>
        </w:rPr>
        <w:t>（二）整体支出绩效目标</w:t>
      </w:r>
    </w:p>
    <w:p>
      <w:pPr>
        <w:spacing w:line="580" w:lineRule="exact"/>
        <w:ind w:firstLine="640" w:firstLineChars="200"/>
        <w:rPr>
          <w:color w:val="000000" w:themeColor="text1"/>
          <w:szCs w:val="32"/>
        </w:rPr>
      </w:pPr>
      <w:r>
        <w:rPr>
          <w:rFonts w:eastAsia="Times New Roman"/>
          <w:color w:val="000000" w:themeColor="text1"/>
          <w:szCs w:val="32"/>
        </w:rPr>
        <w:t>1</w:t>
      </w:r>
      <w:r>
        <w:rPr>
          <w:color w:val="000000" w:themeColor="text1"/>
          <w:szCs w:val="32"/>
        </w:rPr>
        <w:t>.</w:t>
      </w:r>
      <w:r>
        <w:rPr>
          <w:rFonts w:hAnsi="仿宋_GB2312"/>
          <w:color w:val="000000" w:themeColor="text1"/>
          <w:szCs w:val="32"/>
        </w:rPr>
        <w:t>预决算公开：</w:t>
      </w:r>
      <w:r>
        <w:rPr>
          <w:rFonts w:hint="eastAsia"/>
          <w:color w:val="000000" w:themeColor="text1"/>
          <w:szCs w:val="32"/>
        </w:rPr>
        <w:t>2023</w:t>
      </w:r>
      <w:r>
        <w:rPr>
          <w:rFonts w:hAnsi="仿宋_GB2312"/>
          <w:color w:val="000000" w:themeColor="text1"/>
          <w:szCs w:val="32"/>
        </w:rPr>
        <w:t>年，按照上级的要求，我单位在桃江公众信息网上进行了预决算公开。</w:t>
      </w:r>
    </w:p>
    <w:p>
      <w:pPr>
        <w:spacing w:line="580" w:lineRule="exact"/>
        <w:ind w:firstLine="640"/>
        <w:rPr>
          <w:color w:val="000000" w:themeColor="text1"/>
          <w:szCs w:val="32"/>
        </w:rPr>
      </w:pPr>
      <w:r>
        <w:rPr>
          <w:rFonts w:hAnsi="仿宋_GB2312"/>
          <w:color w:val="000000" w:themeColor="text1"/>
          <w:szCs w:val="32"/>
        </w:rPr>
        <w:t>资产管理：我们进一步加强资产的管理，制定了《桃江县</w:t>
      </w:r>
      <w:r>
        <w:rPr>
          <w:rFonts w:hint="eastAsia" w:hAnsi="仿宋_GB2312"/>
          <w:color w:val="000000" w:themeColor="text1"/>
          <w:szCs w:val="32"/>
        </w:rPr>
        <w:t>征地拆迁安置与房屋征收补偿事务</w:t>
      </w:r>
      <w:r>
        <w:rPr>
          <w:rFonts w:hAnsi="仿宋_GB2312"/>
          <w:color w:val="000000" w:themeColor="text1"/>
          <w:szCs w:val="32"/>
        </w:rPr>
        <w:t>中心财务管理制度》、《桃江县</w:t>
      </w:r>
      <w:r>
        <w:rPr>
          <w:rFonts w:hint="eastAsia" w:hAnsi="仿宋_GB2312"/>
          <w:color w:val="000000" w:themeColor="text1"/>
          <w:szCs w:val="32"/>
        </w:rPr>
        <w:t>征地拆迁安置与房屋征收补偿事务</w:t>
      </w:r>
      <w:r>
        <w:rPr>
          <w:rFonts w:hAnsi="仿宋_GB2312"/>
          <w:color w:val="000000" w:themeColor="text1"/>
          <w:szCs w:val="32"/>
        </w:rPr>
        <w:t>中心资产管理制度》等，明确了具体责任人，完善了固定资产档案，严格报批、销审等手续，做好资产统计工作，</w:t>
      </w:r>
      <w:r>
        <w:rPr>
          <w:rFonts w:hint="eastAsia" w:hAnsi="仿宋_GB2312"/>
          <w:color w:val="000000" w:themeColor="text1"/>
          <w:szCs w:val="32"/>
        </w:rPr>
        <w:t>按时上报资产报表，及时完成资产增加、处置申报等工作</w:t>
      </w:r>
      <w:r>
        <w:rPr>
          <w:rFonts w:hAnsi="仿宋_GB2312"/>
          <w:color w:val="000000" w:themeColor="text1"/>
          <w:szCs w:val="32"/>
        </w:rPr>
        <w:t>。</w:t>
      </w:r>
    </w:p>
    <w:p>
      <w:pPr>
        <w:spacing w:line="580" w:lineRule="exact"/>
        <w:ind w:firstLine="640" w:firstLineChars="200"/>
        <w:rPr>
          <w:rFonts w:hAnsi="仿宋_GB2312"/>
          <w:color w:val="000000" w:themeColor="text1"/>
          <w:szCs w:val="32"/>
        </w:rPr>
      </w:pPr>
      <w:r>
        <w:rPr>
          <w:rFonts w:eastAsia="Times New Roman"/>
          <w:color w:val="000000" w:themeColor="text1"/>
          <w:szCs w:val="32"/>
        </w:rPr>
        <w:t>2</w:t>
      </w:r>
      <w:r>
        <w:rPr>
          <w:color w:val="000000" w:themeColor="text1"/>
          <w:szCs w:val="32"/>
        </w:rPr>
        <w:t>.“</w:t>
      </w:r>
      <w:r>
        <w:rPr>
          <w:rFonts w:hAnsi="仿宋_GB2312"/>
          <w:color w:val="000000" w:themeColor="text1"/>
          <w:szCs w:val="32"/>
        </w:rPr>
        <w:t>三公经费</w:t>
      </w:r>
      <w:r>
        <w:rPr>
          <w:color w:val="000000" w:themeColor="text1"/>
          <w:szCs w:val="32"/>
        </w:rPr>
        <w:t>”</w:t>
      </w:r>
      <w:r>
        <w:rPr>
          <w:rFonts w:hAnsi="仿宋_GB2312"/>
          <w:color w:val="000000" w:themeColor="text1"/>
          <w:szCs w:val="32"/>
        </w:rPr>
        <w:t>控制情况：贯彻落实上级有关精神，严格控制</w:t>
      </w:r>
      <w:r>
        <w:rPr>
          <w:color w:val="000000" w:themeColor="text1"/>
          <w:szCs w:val="32"/>
        </w:rPr>
        <w:t>“</w:t>
      </w:r>
      <w:r>
        <w:rPr>
          <w:rFonts w:hAnsi="仿宋_GB2312"/>
          <w:color w:val="000000" w:themeColor="text1"/>
          <w:szCs w:val="32"/>
        </w:rPr>
        <w:t>三公经费</w:t>
      </w:r>
      <w:r>
        <w:rPr>
          <w:color w:val="000000" w:themeColor="text1"/>
          <w:szCs w:val="32"/>
        </w:rPr>
        <w:t>”</w:t>
      </w:r>
      <w:r>
        <w:rPr>
          <w:rFonts w:hAnsi="仿宋_GB2312"/>
          <w:color w:val="000000" w:themeColor="text1"/>
          <w:szCs w:val="32"/>
        </w:rPr>
        <w:t>支出，取得了良好效果。</w:t>
      </w:r>
      <w:r>
        <w:rPr>
          <w:rFonts w:hint="eastAsia"/>
          <w:color w:val="000000" w:themeColor="text1"/>
          <w:szCs w:val="32"/>
        </w:rPr>
        <w:t>2023</w:t>
      </w:r>
      <w:r>
        <w:rPr>
          <w:rFonts w:hAnsi="仿宋_GB2312"/>
          <w:color w:val="000000" w:themeColor="text1"/>
          <w:szCs w:val="32"/>
        </w:rPr>
        <w:t>年度</w:t>
      </w:r>
      <w:r>
        <w:rPr>
          <w:color w:val="000000" w:themeColor="text1"/>
          <w:szCs w:val="32"/>
        </w:rPr>
        <w:t>“</w:t>
      </w:r>
      <w:r>
        <w:rPr>
          <w:rFonts w:hAnsi="仿宋_GB2312"/>
          <w:color w:val="000000" w:themeColor="text1"/>
          <w:szCs w:val="32"/>
        </w:rPr>
        <w:t>三公</w:t>
      </w:r>
      <w:r>
        <w:rPr>
          <w:color w:val="000000" w:themeColor="text1"/>
          <w:szCs w:val="32"/>
        </w:rPr>
        <w:t>”</w:t>
      </w:r>
      <w:r>
        <w:rPr>
          <w:rFonts w:hAnsi="仿宋_GB2312"/>
          <w:color w:val="000000" w:themeColor="text1"/>
          <w:szCs w:val="32"/>
        </w:rPr>
        <w:t>经费支出</w:t>
      </w:r>
      <w:r>
        <w:rPr>
          <w:rFonts w:hint="eastAsia" w:hAnsi="仿宋_GB2312"/>
          <w:color w:val="000000" w:themeColor="text1"/>
          <w:szCs w:val="32"/>
        </w:rPr>
        <w:t>7.95</w:t>
      </w:r>
      <w:r>
        <w:rPr>
          <w:rFonts w:hAnsi="仿宋_GB2312"/>
          <w:color w:val="000000" w:themeColor="text1"/>
          <w:szCs w:val="32"/>
        </w:rPr>
        <w:t>万元，比20</w:t>
      </w:r>
      <w:r>
        <w:rPr>
          <w:rFonts w:hint="eastAsia" w:hAnsi="仿宋_GB2312"/>
          <w:color w:val="000000" w:themeColor="text1"/>
          <w:szCs w:val="32"/>
        </w:rPr>
        <w:t>22</w:t>
      </w:r>
      <w:r>
        <w:rPr>
          <w:rFonts w:hAnsi="仿宋_GB2312"/>
          <w:color w:val="000000" w:themeColor="text1"/>
          <w:szCs w:val="32"/>
        </w:rPr>
        <w:t>年度“三公经费”支出减少</w:t>
      </w:r>
      <w:r>
        <w:rPr>
          <w:rFonts w:hint="eastAsia" w:hAnsi="仿宋_GB2312"/>
          <w:color w:val="000000" w:themeColor="text1"/>
          <w:szCs w:val="32"/>
        </w:rPr>
        <w:t>1.50</w:t>
      </w:r>
      <w:r>
        <w:rPr>
          <w:rFonts w:hAnsi="仿宋_GB2312"/>
          <w:color w:val="000000" w:themeColor="text1"/>
          <w:szCs w:val="32"/>
        </w:rPr>
        <w:t>万元</w:t>
      </w:r>
      <w:r>
        <w:rPr>
          <w:rFonts w:hint="eastAsia" w:hAnsi="仿宋_GB2312"/>
          <w:color w:val="000000" w:themeColor="text1"/>
          <w:szCs w:val="32"/>
        </w:rPr>
        <w:t>，</w:t>
      </w:r>
      <w:r>
        <w:rPr>
          <w:rFonts w:hAnsi="仿宋_GB2312"/>
          <w:color w:val="000000" w:themeColor="text1"/>
          <w:szCs w:val="32"/>
        </w:rPr>
        <w:t>下降</w:t>
      </w:r>
      <w:r>
        <w:rPr>
          <w:rFonts w:hint="eastAsia" w:hAnsi="仿宋_GB2312"/>
          <w:color w:val="000000" w:themeColor="text1"/>
          <w:szCs w:val="32"/>
        </w:rPr>
        <w:t>15.8</w:t>
      </w:r>
      <w:r>
        <w:rPr>
          <w:rFonts w:hAnsi="仿宋_GB2312"/>
          <w:color w:val="000000" w:themeColor="text1"/>
          <w:szCs w:val="32"/>
        </w:rPr>
        <w:t>%。</w:t>
      </w:r>
    </w:p>
    <w:p>
      <w:pPr>
        <w:spacing w:line="580" w:lineRule="exact"/>
        <w:ind w:firstLine="640"/>
        <w:rPr>
          <w:color w:val="000000" w:themeColor="text1"/>
          <w:szCs w:val="32"/>
        </w:rPr>
      </w:pPr>
      <w:r>
        <w:rPr>
          <w:rFonts w:eastAsia="Times New Roman"/>
          <w:color w:val="000000" w:themeColor="text1"/>
          <w:szCs w:val="32"/>
        </w:rPr>
        <w:t>3</w:t>
      </w:r>
      <w:r>
        <w:rPr>
          <w:color w:val="000000" w:themeColor="text1"/>
          <w:szCs w:val="32"/>
        </w:rPr>
        <w:t>.</w:t>
      </w:r>
      <w:r>
        <w:rPr>
          <w:rFonts w:hAnsi="仿宋_GB2312"/>
          <w:color w:val="000000" w:themeColor="text1"/>
          <w:szCs w:val="32"/>
        </w:rPr>
        <w:t>内部管理制度建设情况：近年来，我单位制定了《桃江县</w:t>
      </w:r>
      <w:r>
        <w:rPr>
          <w:rFonts w:hint="eastAsia" w:hAnsi="仿宋_GB2312"/>
          <w:color w:val="000000" w:themeColor="text1"/>
          <w:szCs w:val="32"/>
        </w:rPr>
        <w:t>征地拆迁安置与房屋征收补偿事务</w:t>
      </w:r>
      <w:r>
        <w:rPr>
          <w:rFonts w:hAnsi="仿宋_GB2312"/>
          <w:color w:val="000000" w:themeColor="text1"/>
          <w:szCs w:val="32"/>
        </w:rPr>
        <w:t>中心财务管理制度》等内部制度。</w:t>
      </w:r>
    </w:p>
    <w:p>
      <w:pPr>
        <w:snapToGrid w:val="0"/>
        <w:spacing w:line="520" w:lineRule="exact"/>
        <w:ind w:firstLine="640" w:firstLineChars="200"/>
        <w:rPr>
          <w:rFonts w:ascii="仿宋_GB2312" w:hAnsi="仿宋"/>
          <w:szCs w:val="32"/>
        </w:rPr>
      </w:pPr>
      <w:r>
        <w:rPr>
          <w:rFonts w:eastAsia="Times New Roman"/>
          <w:color w:val="000000" w:themeColor="text1"/>
          <w:szCs w:val="32"/>
        </w:rPr>
        <w:t>4</w:t>
      </w:r>
      <w:r>
        <w:rPr>
          <w:color w:val="000000" w:themeColor="text1"/>
          <w:szCs w:val="32"/>
        </w:rPr>
        <w:t>.</w:t>
      </w:r>
      <w:r>
        <w:rPr>
          <w:rFonts w:hAnsi="仿宋_GB2312"/>
          <w:color w:val="000000" w:themeColor="text1"/>
          <w:szCs w:val="32"/>
        </w:rPr>
        <w:t>项目绩效总目标完成情况：</w:t>
      </w:r>
      <w:r>
        <w:rPr>
          <w:rFonts w:hint="eastAsia" w:ascii="仿宋_GB2312" w:hAnsi="仿宋"/>
          <w:szCs w:val="32"/>
        </w:rPr>
        <w:t>我中心在县委、县政府的正确领导下，在各相关职能部门的大力支持下，主动作为、攻坚克难，以拆迁安置为重点的各项工作已按目标全面完成。重点建设项目竹海4A级景区项目签订房屋拆迁、征地、青苗补偿、迁坟等协议118份，出色的完成了县委县政府下达的任务。圆满完成了弄溪桥棚改项目的扫尾拆迁款支付。全面完成了鸬鹚渡、松木塘政府刘伏洞尾砂库项目的实物量调查工作。开展了安置攻坚，复迁安置加快推进，组织相关股室完成东城新苑复迁地571间，教师发展中心复迁安置点150间安置分户方案。梳理了历年来的征拆安置存量问题，将历年来的安置资料清理盘整，有序分类，规范化存档完善到位等。</w:t>
      </w:r>
    </w:p>
    <w:p>
      <w:pPr>
        <w:spacing w:line="594" w:lineRule="exact"/>
        <w:ind w:left="160" w:leftChars="50"/>
        <w:rPr>
          <w:rFonts w:ascii="仿宋_GB2312"/>
          <w:szCs w:val="32"/>
        </w:rPr>
      </w:pPr>
      <w:r>
        <w:rPr>
          <w:rFonts w:hAnsi="楷体_GB2312" w:eastAsia="楷体_GB2312"/>
          <w:b/>
          <w:color w:val="000000" w:themeColor="text1"/>
          <w:szCs w:val="32"/>
        </w:rPr>
        <w:t>（三）部门整体支出情况分析</w:t>
      </w:r>
    </w:p>
    <w:p>
      <w:pPr>
        <w:spacing w:line="580" w:lineRule="exact"/>
        <w:ind w:firstLine="640"/>
        <w:rPr>
          <w:color w:val="000000" w:themeColor="text1"/>
          <w:szCs w:val="32"/>
        </w:rPr>
      </w:pPr>
      <w:r>
        <w:rPr>
          <w:rFonts w:hAnsi="仿宋_GB2312"/>
          <w:color w:val="000000" w:themeColor="text1"/>
          <w:szCs w:val="32"/>
        </w:rPr>
        <w:t>从整体情况来看，我单位严格按照年初预算进行部门整体支出。在支出过程中，能严格遵守各项规章制度，</w:t>
      </w:r>
      <w:r>
        <w:rPr>
          <w:color w:val="000000" w:themeColor="text1"/>
          <w:szCs w:val="32"/>
        </w:rPr>
        <w:t>“</w:t>
      </w:r>
      <w:r>
        <w:rPr>
          <w:rFonts w:hAnsi="仿宋_GB2312"/>
          <w:color w:val="000000" w:themeColor="text1"/>
          <w:szCs w:val="32"/>
        </w:rPr>
        <w:t>三公经费</w:t>
      </w:r>
      <w:r>
        <w:rPr>
          <w:color w:val="000000" w:themeColor="text1"/>
          <w:szCs w:val="32"/>
        </w:rPr>
        <w:t>”</w:t>
      </w:r>
      <w:r>
        <w:rPr>
          <w:rFonts w:hAnsi="仿宋_GB2312"/>
          <w:color w:val="000000" w:themeColor="text1"/>
          <w:szCs w:val="32"/>
        </w:rPr>
        <w:t>中的公务接待费明显下降。所有项目都详细制定了方案，严格按方案组织实施，并加强了监督。尤其是在专项经费支出上，我们能专款专用，按项目实施计划的进度情况进行资金拨付，无截留、无挪用等现象。</w:t>
      </w:r>
    </w:p>
    <w:p>
      <w:pPr>
        <w:spacing w:line="580" w:lineRule="exact"/>
        <w:ind w:firstLine="640"/>
        <w:rPr>
          <w:rFonts w:eastAsia="黑体"/>
          <w:color w:val="000000" w:themeColor="text1"/>
          <w:szCs w:val="32"/>
        </w:rPr>
      </w:pPr>
      <w:r>
        <w:rPr>
          <w:rFonts w:hAnsi="黑体" w:eastAsia="黑体"/>
          <w:color w:val="000000" w:themeColor="text1"/>
          <w:szCs w:val="32"/>
        </w:rPr>
        <w:t>六、存在的主要问题</w:t>
      </w:r>
    </w:p>
    <w:p>
      <w:pPr>
        <w:spacing w:line="580" w:lineRule="exact"/>
        <w:ind w:firstLine="640"/>
        <w:rPr>
          <w:rFonts w:hAnsi="仿宋_GB2312"/>
          <w:color w:val="000000" w:themeColor="text1"/>
          <w:szCs w:val="32"/>
        </w:rPr>
      </w:pPr>
      <w:r>
        <w:rPr>
          <w:rFonts w:hint="eastAsia" w:hAnsi="仿宋_GB2312"/>
          <w:color w:val="000000" w:themeColor="text1"/>
          <w:szCs w:val="32"/>
        </w:rPr>
        <w:t>（一）资金的使用进度未严格按县财政预算进度执行；</w:t>
      </w:r>
    </w:p>
    <w:p>
      <w:pPr>
        <w:spacing w:line="580" w:lineRule="exact"/>
        <w:ind w:firstLine="640"/>
        <w:rPr>
          <w:rFonts w:hAnsi="仿宋_GB2312"/>
          <w:color w:val="000000" w:themeColor="text1"/>
          <w:szCs w:val="32"/>
        </w:rPr>
      </w:pPr>
      <w:r>
        <w:rPr>
          <w:rFonts w:hint="eastAsia" w:hAnsi="仿宋_GB2312"/>
          <w:color w:val="000000" w:themeColor="text1"/>
          <w:szCs w:val="32"/>
        </w:rPr>
        <w:t>（二）在资金使用效益上有待进一步提高。</w:t>
      </w:r>
    </w:p>
    <w:p>
      <w:pPr>
        <w:spacing w:line="580" w:lineRule="exact"/>
        <w:ind w:firstLine="640"/>
        <w:rPr>
          <w:rFonts w:hAnsi="黑体" w:eastAsia="黑体"/>
          <w:color w:val="000000" w:themeColor="text1"/>
          <w:szCs w:val="32"/>
        </w:rPr>
      </w:pPr>
      <w:r>
        <w:rPr>
          <w:rFonts w:hAnsi="黑体" w:eastAsia="黑体"/>
          <w:color w:val="000000" w:themeColor="text1"/>
          <w:szCs w:val="32"/>
        </w:rPr>
        <w:t>七、改进措施和有关建议</w:t>
      </w:r>
    </w:p>
    <w:p>
      <w:pPr>
        <w:spacing w:line="580" w:lineRule="exact"/>
        <w:ind w:firstLine="640"/>
        <w:rPr>
          <w:rFonts w:hAnsi="仿宋_GB2312"/>
          <w:color w:val="000000" w:themeColor="text1"/>
          <w:szCs w:val="32"/>
        </w:rPr>
      </w:pPr>
      <w:r>
        <w:rPr>
          <w:rFonts w:hint="eastAsia" w:hAnsi="楷体_GB2312" w:eastAsia="楷体_GB2312"/>
          <w:b/>
          <w:color w:val="000000" w:themeColor="text1"/>
          <w:szCs w:val="32"/>
        </w:rPr>
        <w:t>（一）加强财务管理，严格预算收支项目分类。</w:t>
      </w:r>
      <w:r>
        <w:rPr>
          <w:rFonts w:hint="eastAsia" w:hAnsi="仿宋_GB2312"/>
          <w:color w:val="000000" w:themeColor="text1"/>
          <w:szCs w:val="32"/>
        </w:rPr>
        <w:t>在费用报账支付时，按照预算规定的费用项目和用途进行审核、列报支付，同时杜绝超支现象的发生。</w:t>
      </w:r>
    </w:p>
    <w:p>
      <w:pPr>
        <w:spacing w:line="580" w:lineRule="exact"/>
        <w:ind w:firstLine="640"/>
        <w:rPr>
          <w:rFonts w:hAnsi="仿宋_GB2312"/>
          <w:color w:val="000000" w:themeColor="text1"/>
          <w:szCs w:val="32"/>
        </w:rPr>
      </w:pPr>
      <w:r>
        <w:rPr>
          <w:rFonts w:hint="eastAsia" w:hAnsi="楷体_GB2312" w:eastAsia="楷体_GB2312"/>
          <w:b/>
          <w:color w:val="000000" w:themeColor="text1"/>
          <w:szCs w:val="32"/>
        </w:rPr>
        <w:t>（二）持续抓好“三公”经费控制管理。</w:t>
      </w:r>
      <w:r>
        <w:rPr>
          <w:rFonts w:hint="eastAsia" w:hAnsi="仿宋_GB2312"/>
          <w:color w:val="000000" w:themeColor="text1"/>
          <w:szCs w:val="32"/>
        </w:rPr>
        <w:t>进一步细化“三公”经费的管理，合理压缩“三公”经费支出。</w:t>
      </w:r>
    </w:p>
    <w:p>
      <w:pPr>
        <w:spacing w:line="580" w:lineRule="exact"/>
        <w:ind w:firstLine="640"/>
        <w:rPr>
          <w:color w:val="000000" w:themeColor="text1"/>
          <w:szCs w:val="32"/>
        </w:rPr>
      </w:pPr>
      <w:r>
        <w:rPr>
          <w:rFonts w:hAnsi="楷体_GB2312" w:eastAsia="楷体_GB2312"/>
          <w:b/>
          <w:color w:val="000000" w:themeColor="text1"/>
          <w:szCs w:val="32"/>
        </w:rPr>
        <w:t>（三）认真</w:t>
      </w:r>
      <w:r>
        <w:rPr>
          <w:rFonts w:hint="eastAsia" w:hAnsi="楷体_GB2312" w:eastAsia="楷体_GB2312"/>
          <w:b/>
          <w:color w:val="000000" w:themeColor="text1"/>
          <w:szCs w:val="32"/>
        </w:rPr>
        <w:t>开展</w:t>
      </w:r>
      <w:r>
        <w:rPr>
          <w:rFonts w:hAnsi="楷体_GB2312" w:eastAsia="楷体_GB2312"/>
          <w:b/>
          <w:color w:val="000000" w:themeColor="text1"/>
          <w:szCs w:val="32"/>
        </w:rPr>
        <w:t>绩效管理。</w:t>
      </w:r>
      <w:r>
        <w:rPr>
          <w:rFonts w:hAnsi="仿宋_GB2312"/>
          <w:color w:val="000000" w:themeColor="text1"/>
          <w:szCs w:val="32"/>
        </w:rPr>
        <w:t>加强项目开展进度的跟踪，开展项目绩效评价，确保项目绩效目标的完成。</w:t>
      </w:r>
    </w:p>
    <w:p>
      <w:pPr>
        <w:spacing w:line="580" w:lineRule="exact"/>
        <w:ind w:firstLine="640"/>
        <w:rPr>
          <w:color w:val="000000" w:themeColor="text1"/>
        </w:rPr>
      </w:pPr>
      <w:r>
        <w:rPr>
          <w:rFonts w:hAnsi="仿宋_GB2312"/>
          <w:color w:val="000000" w:themeColor="text1"/>
          <w:szCs w:val="32"/>
        </w:rPr>
        <w:t>在今后，我单位</w:t>
      </w:r>
      <w:r>
        <w:rPr>
          <w:rFonts w:hint="eastAsia" w:hAnsi="仿宋_GB2312"/>
          <w:color w:val="000000" w:themeColor="text1"/>
          <w:szCs w:val="32"/>
        </w:rPr>
        <w:t>将严格</w:t>
      </w:r>
      <w:r>
        <w:rPr>
          <w:rFonts w:hAnsi="仿宋_GB2312"/>
          <w:color w:val="000000" w:themeColor="text1"/>
          <w:szCs w:val="32"/>
        </w:rPr>
        <w:t>按项目实施计划及时拨付相关资金，做好资金统筹与分配。</w:t>
      </w:r>
    </w:p>
    <w:p>
      <w:pPr>
        <w:spacing w:line="560" w:lineRule="exact"/>
        <w:jc w:val="left"/>
        <w:rPr>
          <w:rFonts w:eastAsia="黑体"/>
          <w:bCs/>
          <w:kern w:val="0"/>
          <w:szCs w:val="32"/>
        </w:rPr>
      </w:pPr>
    </w:p>
    <w:bookmarkEnd w:id="1"/>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r>
        <w:rPr>
          <w:rFonts w:eastAsia="黑体"/>
          <w:bCs/>
          <w:kern w:val="0"/>
          <w:szCs w:val="32"/>
        </w:rPr>
        <w:t>附件4</w:t>
      </w:r>
    </w:p>
    <w:p>
      <w:pPr>
        <w:spacing w:line="560" w:lineRule="exact"/>
        <w:jc w:val="center"/>
        <w:rPr>
          <w:rFonts w:eastAsia="方正小标宋简体"/>
          <w:sz w:val="44"/>
          <w:szCs w:val="44"/>
        </w:rPr>
      </w:pPr>
      <w:r>
        <w:rPr>
          <w:rFonts w:eastAsia="方正小标宋简体"/>
          <w:bCs/>
          <w:kern w:val="0"/>
          <w:sz w:val="44"/>
          <w:szCs w:val="44"/>
        </w:rPr>
        <w:t>桃江县2023年度项目支出绩效自评表</w:t>
      </w:r>
    </w:p>
    <w:tbl>
      <w:tblPr>
        <w:tblStyle w:val="6"/>
        <w:tblpPr w:leftFromText="180" w:rightFromText="180" w:vertAnchor="text" w:horzAnchor="page" w:tblpX="1227" w:tblpY="172"/>
        <w:tblOverlap w:val="never"/>
        <w:tblW w:w="97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20"/>
        <w:gridCol w:w="1100"/>
        <w:gridCol w:w="940"/>
        <w:gridCol w:w="1220"/>
        <w:gridCol w:w="1260"/>
        <w:gridCol w:w="1260"/>
        <w:gridCol w:w="660"/>
        <w:gridCol w:w="860"/>
        <w:gridCol w:w="14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3060" w:type="dxa"/>
            <w:gridSpan w:val="3"/>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项目支出名称</w:t>
            </w:r>
          </w:p>
        </w:tc>
        <w:tc>
          <w:tcPr>
            <w:tcW w:w="6660" w:type="dxa"/>
            <w:gridSpan w:val="6"/>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桃江县征地拆迁安置与房屋征收补偿事务中心工作经费专项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主管部门</w:t>
            </w:r>
          </w:p>
        </w:tc>
        <w:tc>
          <w:tcPr>
            <w:tcW w:w="4520" w:type="dxa"/>
            <w:gridSpan w:val="4"/>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桃江县征地拆迁安置与房屋征收补偿事务中心</w:t>
            </w:r>
          </w:p>
        </w:tc>
        <w:tc>
          <w:tcPr>
            <w:tcW w:w="12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实施单位</w:t>
            </w:r>
          </w:p>
        </w:tc>
        <w:tc>
          <w:tcPr>
            <w:tcW w:w="2920" w:type="dxa"/>
            <w:gridSpan w:val="3"/>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桃江县征地拆迁安置与房屋征收补偿事务中心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restart"/>
            <w:vAlign w:val="center"/>
          </w:tcPr>
          <w:p>
            <w:pPr>
              <w:autoSpaceDE w:val="0"/>
              <w:autoSpaceDN w:val="0"/>
              <w:spacing w:line="320" w:lineRule="exact"/>
              <w:jc w:val="center"/>
              <w:rPr>
                <w:rFonts w:eastAsia="宋体"/>
                <w:kern w:val="0"/>
                <w:sz w:val="21"/>
                <w:szCs w:val="21"/>
              </w:rPr>
            </w:pPr>
          </w:p>
          <w:p>
            <w:pPr>
              <w:autoSpaceDE w:val="0"/>
              <w:autoSpaceDN w:val="0"/>
              <w:spacing w:line="320" w:lineRule="exact"/>
              <w:jc w:val="center"/>
              <w:rPr>
                <w:rFonts w:eastAsia="宋体"/>
                <w:kern w:val="0"/>
                <w:sz w:val="21"/>
                <w:szCs w:val="21"/>
              </w:rPr>
            </w:pPr>
          </w:p>
          <w:p>
            <w:pPr>
              <w:autoSpaceDE w:val="0"/>
              <w:autoSpaceDN w:val="0"/>
              <w:spacing w:line="320" w:lineRule="exact"/>
              <w:jc w:val="center"/>
              <w:rPr>
                <w:rFonts w:eastAsia="宋体"/>
                <w:kern w:val="0"/>
                <w:sz w:val="21"/>
                <w:szCs w:val="21"/>
              </w:rPr>
            </w:pPr>
            <w:r>
              <w:rPr>
                <w:rFonts w:hAnsi="宋体" w:eastAsia="宋体"/>
                <w:kern w:val="0"/>
                <w:sz w:val="21"/>
                <w:szCs w:val="21"/>
              </w:rPr>
              <w:t>项目资金</w:t>
            </w:r>
          </w:p>
          <w:p>
            <w:pPr>
              <w:autoSpaceDE w:val="0"/>
              <w:autoSpaceDN w:val="0"/>
              <w:spacing w:line="320" w:lineRule="exact"/>
              <w:jc w:val="center"/>
              <w:rPr>
                <w:rFonts w:eastAsia="宋体"/>
                <w:kern w:val="0"/>
                <w:sz w:val="21"/>
                <w:szCs w:val="21"/>
              </w:rPr>
            </w:pPr>
            <w:r>
              <w:rPr>
                <w:rFonts w:hAnsi="宋体" w:eastAsia="宋体"/>
                <w:kern w:val="0"/>
                <w:sz w:val="21"/>
                <w:szCs w:val="21"/>
              </w:rPr>
              <w:t>（万元）</w:t>
            </w:r>
          </w:p>
        </w:tc>
        <w:tc>
          <w:tcPr>
            <w:tcW w:w="2040" w:type="dxa"/>
            <w:gridSpan w:val="2"/>
            <w:vAlign w:val="center"/>
          </w:tcPr>
          <w:p>
            <w:pPr>
              <w:autoSpaceDE w:val="0"/>
              <w:autoSpaceDN w:val="0"/>
              <w:spacing w:line="320" w:lineRule="exact"/>
              <w:jc w:val="center"/>
              <w:rPr>
                <w:rFonts w:eastAsia="宋体"/>
                <w:kern w:val="0"/>
                <w:sz w:val="21"/>
                <w:szCs w:val="21"/>
              </w:rPr>
            </w:pPr>
          </w:p>
        </w:tc>
        <w:tc>
          <w:tcPr>
            <w:tcW w:w="122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年初预算数</w:t>
            </w:r>
          </w:p>
        </w:tc>
        <w:tc>
          <w:tcPr>
            <w:tcW w:w="12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全年预算数</w:t>
            </w:r>
          </w:p>
        </w:tc>
        <w:tc>
          <w:tcPr>
            <w:tcW w:w="12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全年执行数</w:t>
            </w:r>
          </w:p>
        </w:tc>
        <w:tc>
          <w:tcPr>
            <w:tcW w:w="6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分值</w:t>
            </w:r>
          </w:p>
        </w:tc>
        <w:tc>
          <w:tcPr>
            <w:tcW w:w="8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执行率</w:t>
            </w:r>
          </w:p>
        </w:tc>
        <w:tc>
          <w:tcPr>
            <w:tcW w:w="140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自评得分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rPr>
                <w:rFonts w:eastAsia="宋体"/>
                <w:kern w:val="0"/>
                <w:sz w:val="21"/>
                <w:szCs w:val="21"/>
              </w:rPr>
            </w:pPr>
            <w:r>
              <w:rPr>
                <w:rFonts w:hAnsi="宋体" w:eastAsia="宋体"/>
                <w:kern w:val="0"/>
                <w:sz w:val="21"/>
                <w:szCs w:val="21"/>
              </w:rPr>
              <w:t>年度资金总额</w:t>
            </w:r>
          </w:p>
        </w:tc>
        <w:tc>
          <w:tcPr>
            <w:tcW w:w="122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77</w:t>
            </w:r>
          </w:p>
        </w:tc>
        <w:tc>
          <w:tcPr>
            <w:tcW w:w="12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77</w:t>
            </w:r>
          </w:p>
        </w:tc>
        <w:tc>
          <w:tcPr>
            <w:tcW w:w="12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77</w:t>
            </w:r>
          </w:p>
        </w:tc>
        <w:tc>
          <w:tcPr>
            <w:tcW w:w="660" w:type="dxa"/>
            <w:vAlign w:val="center"/>
          </w:tcPr>
          <w:p>
            <w:pPr>
              <w:autoSpaceDE w:val="0"/>
              <w:autoSpaceDN w:val="0"/>
              <w:spacing w:line="320" w:lineRule="exact"/>
              <w:jc w:val="center"/>
              <w:rPr>
                <w:rFonts w:eastAsia="宋体"/>
                <w:kern w:val="0"/>
                <w:sz w:val="21"/>
                <w:szCs w:val="21"/>
              </w:rPr>
            </w:pPr>
            <w:r>
              <w:rPr>
                <w:rFonts w:eastAsia="宋体"/>
                <w:kern w:val="0"/>
                <w:sz w:val="21"/>
                <w:szCs w:val="21"/>
              </w:rPr>
              <w:t>10</w:t>
            </w:r>
          </w:p>
        </w:tc>
        <w:tc>
          <w:tcPr>
            <w:tcW w:w="8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100%</w:t>
            </w:r>
          </w:p>
        </w:tc>
        <w:tc>
          <w:tcPr>
            <w:tcW w:w="140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其中：当年财政拨款</w:t>
            </w:r>
          </w:p>
        </w:tc>
        <w:tc>
          <w:tcPr>
            <w:tcW w:w="122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77</w:t>
            </w:r>
          </w:p>
        </w:tc>
        <w:tc>
          <w:tcPr>
            <w:tcW w:w="12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77</w:t>
            </w:r>
          </w:p>
        </w:tc>
        <w:tc>
          <w:tcPr>
            <w:tcW w:w="12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77</w:t>
            </w:r>
          </w:p>
        </w:tc>
        <w:tc>
          <w:tcPr>
            <w:tcW w:w="660" w:type="dxa"/>
            <w:vAlign w:val="center"/>
          </w:tcPr>
          <w:p>
            <w:pPr>
              <w:autoSpaceDE w:val="0"/>
              <w:autoSpaceDN w:val="0"/>
              <w:spacing w:line="320" w:lineRule="exact"/>
              <w:jc w:val="center"/>
              <w:rPr>
                <w:rFonts w:eastAsia="宋体"/>
                <w:kern w:val="0"/>
                <w:sz w:val="21"/>
                <w:szCs w:val="21"/>
              </w:rPr>
            </w:pPr>
            <w:r>
              <w:rPr>
                <w:rFonts w:eastAsia="宋体"/>
                <w:kern w:val="0"/>
                <w:sz w:val="21"/>
                <w:szCs w:val="21"/>
              </w:rPr>
              <w:t>10</w:t>
            </w:r>
          </w:p>
        </w:tc>
        <w:tc>
          <w:tcPr>
            <w:tcW w:w="8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100%</w:t>
            </w:r>
          </w:p>
        </w:tc>
        <w:tc>
          <w:tcPr>
            <w:tcW w:w="140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上年结转资金</w:t>
            </w:r>
          </w:p>
        </w:tc>
        <w:tc>
          <w:tcPr>
            <w:tcW w:w="122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0</w:t>
            </w:r>
          </w:p>
        </w:tc>
        <w:tc>
          <w:tcPr>
            <w:tcW w:w="12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0</w:t>
            </w:r>
          </w:p>
        </w:tc>
        <w:tc>
          <w:tcPr>
            <w:tcW w:w="12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0</w:t>
            </w:r>
          </w:p>
        </w:tc>
        <w:tc>
          <w:tcPr>
            <w:tcW w:w="660" w:type="dxa"/>
            <w:vAlign w:val="center"/>
          </w:tcPr>
          <w:p>
            <w:pPr>
              <w:autoSpaceDE w:val="0"/>
              <w:autoSpaceDN w:val="0"/>
              <w:spacing w:line="320" w:lineRule="exact"/>
              <w:jc w:val="center"/>
              <w:rPr>
                <w:rFonts w:eastAsia="宋体"/>
                <w:kern w:val="0"/>
                <w:sz w:val="21"/>
                <w:szCs w:val="21"/>
              </w:rPr>
            </w:pPr>
          </w:p>
        </w:tc>
        <w:tc>
          <w:tcPr>
            <w:tcW w:w="860" w:type="dxa"/>
            <w:vAlign w:val="center"/>
          </w:tcPr>
          <w:p>
            <w:pPr>
              <w:autoSpaceDE w:val="0"/>
              <w:autoSpaceDN w:val="0"/>
              <w:spacing w:line="320" w:lineRule="exact"/>
              <w:jc w:val="center"/>
              <w:rPr>
                <w:rFonts w:eastAsia="宋体"/>
                <w:kern w:val="0"/>
                <w:sz w:val="21"/>
                <w:szCs w:val="21"/>
              </w:rPr>
            </w:pPr>
          </w:p>
        </w:tc>
        <w:tc>
          <w:tcPr>
            <w:tcW w:w="1400" w:type="dxa"/>
            <w:vAlign w:val="center"/>
          </w:tcPr>
          <w:p>
            <w:pPr>
              <w:autoSpaceDE w:val="0"/>
              <w:autoSpaceDN w:val="0"/>
              <w:spacing w:line="32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其他资金</w:t>
            </w:r>
          </w:p>
        </w:tc>
        <w:tc>
          <w:tcPr>
            <w:tcW w:w="1220" w:type="dxa"/>
            <w:vAlign w:val="center"/>
          </w:tcPr>
          <w:p>
            <w:pPr>
              <w:autoSpaceDE w:val="0"/>
              <w:autoSpaceDN w:val="0"/>
              <w:spacing w:line="320" w:lineRule="exact"/>
              <w:jc w:val="center"/>
              <w:rPr>
                <w:rFonts w:eastAsia="宋体"/>
                <w:kern w:val="0"/>
                <w:sz w:val="21"/>
                <w:szCs w:val="21"/>
              </w:rPr>
            </w:pPr>
          </w:p>
        </w:tc>
        <w:tc>
          <w:tcPr>
            <w:tcW w:w="1260" w:type="dxa"/>
            <w:vAlign w:val="center"/>
          </w:tcPr>
          <w:p>
            <w:pPr>
              <w:autoSpaceDE w:val="0"/>
              <w:autoSpaceDN w:val="0"/>
              <w:spacing w:line="320" w:lineRule="exact"/>
              <w:jc w:val="center"/>
              <w:rPr>
                <w:rFonts w:eastAsia="宋体"/>
                <w:kern w:val="0"/>
                <w:sz w:val="21"/>
                <w:szCs w:val="21"/>
              </w:rPr>
            </w:pPr>
          </w:p>
        </w:tc>
        <w:tc>
          <w:tcPr>
            <w:tcW w:w="1260" w:type="dxa"/>
            <w:vAlign w:val="center"/>
          </w:tcPr>
          <w:p>
            <w:pPr>
              <w:autoSpaceDE w:val="0"/>
              <w:autoSpaceDN w:val="0"/>
              <w:spacing w:line="320" w:lineRule="exact"/>
              <w:jc w:val="center"/>
              <w:rPr>
                <w:rFonts w:eastAsia="宋体"/>
                <w:kern w:val="0"/>
                <w:sz w:val="21"/>
                <w:szCs w:val="21"/>
              </w:rPr>
            </w:pPr>
          </w:p>
        </w:tc>
        <w:tc>
          <w:tcPr>
            <w:tcW w:w="660" w:type="dxa"/>
            <w:vAlign w:val="center"/>
          </w:tcPr>
          <w:p>
            <w:pPr>
              <w:autoSpaceDE w:val="0"/>
              <w:autoSpaceDN w:val="0"/>
              <w:spacing w:line="320" w:lineRule="exact"/>
              <w:jc w:val="center"/>
              <w:rPr>
                <w:rFonts w:eastAsia="宋体"/>
                <w:kern w:val="0"/>
                <w:sz w:val="21"/>
                <w:szCs w:val="21"/>
              </w:rPr>
            </w:pPr>
          </w:p>
        </w:tc>
        <w:tc>
          <w:tcPr>
            <w:tcW w:w="860" w:type="dxa"/>
            <w:vAlign w:val="center"/>
          </w:tcPr>
          <w:p>
            <w:pPr>
              <w:autoSpaceDE w:val="0"/>
              <w:autoSpaceDN w:val="0"/>
              <w:spacing w:line="320" w:lineRule="exact"/>
              <w:jc w:val="center"/>
              <w:rPr>
                <w:rFonts w:eastAsia="宋体"/>
                <w:kern w:val="0"/>
                <w:sz w:val="21"/>
                <w:szCs w:val="21"/>
              </w:rPr>
            </w:pPr>
          </w:p>
        </w:tc>
        <w:tc>
          <w:tcPr>
            <w:tcW w:w="1400" w:type="dxa"/>
            <w:vAlign w:val="center"/>
          </w:tcPr>
          <w:p>
            <w:pPr>
              <w:autoSpaceDE w:val="0"/>
              <w:autoSpaceDN w:val="0"/>
              <w:spacing w:line="32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restart"/>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年度总体</w:t>
            </w:r>
          </w:p>
          <w:p>
            <w:pPr>
              <w:autoSpaceDE w:val="0"/>
              <w:autoSpaceDN w:val="0"/>
              <w:spacing w:line="320" w:lineRule="exact"/>
              <w:jc w:val="center"/>
              <w:rPr>
                <w:rFonts w:eastAsia="宋体"/>
                <w:kern w:val="0"/>
                <w:sz w:val="21"/>
                <w:szCs w:val="21"/>
              </w:rPr>
            </w:pPr>
            <w:r>
              <w:rPr>
                <w:rFonts w:hAnsi="宋体" w:eastAsia="宋体"/>
                <w:kern w:val="0"/>
                <w:sz w:val="21"/>
                <w:szCs w:val="21"/>
              </w:rPr>
              <w:t>目标</w:t>
            </w:r>
          </w:p>
        </w:tc>
        <w:tc>
          <w:tcPr>
            <w:tcW w:w="4520" w:type="dxa"/>
            <w:gridSpan w:val="4"/>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预期目标</w:t>
            </w:r>
          </w:p>
        </w:tc>
        <w:tc>
          <w:tcPr>
            <w:tcW w:w="4180" w:type="dxa"/>
            <w:gridSpan w:val="4"/>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实际完成情况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tcPr>
          <w:p>
            <w:pPr>
              <w:autoSpaceDE w:val="0"/>
              <w:autoSpaceDN w:val="0"/>
              <w:spacing w:line="320" w:lineRule="exact"/>
              <w:jc w:val="center"/>
              <w:rPr>
                <w:rFonts w:eastAsia="宋体"/>
                <w:kern w:val="0"/>
                <w:sz w:val="21"/>
                <w:szCs w:val="21"/>
              </w:rPr>
            </w:pPr>
          </w:p>
        </w:tc>
        <w:tc>
          <w:tcPr>
            <w:tcW w:w="4520" w:type="dxa"/>
            <w:gridSpan w:val="4"/>
          </w:tcPr>
          <w:p>
            <w:pPr>
              <w:autoSpaceDE w:val="0"/>
              <w:autoSpaceDN w:val="0"/>
              <w:spacing w:line="320" w:lineRule="exact"/>
              <w:jc w:val="center"/>
              <w:rPr>
                <w:rFonts w:eastAsia="宋体"/>
                <w:kern w:val="0"/>
                <w:sz w:val="21"/>
                <w:szCs w:val="21"/>
              </w:rPr>
            </w:pPr>
            <w:r>
              <w:rPr>
                <w:rFonts w:hint="eastAsia" w:eastAsia="宋体"/>
                <w:kern w:val="0"/>
                <w:sz w:val="21"/>
                <w:szCs w:val="21"/>
              </w:rPr>
              <w:t>77</w:t>
            </w:r>
          </w:p>
        </w:tc>
        <w:tc>
          <w:tcPr>
            <w:tcW w:w="4180" w:type="dxa"/>
            <w:gridSpan w:val="4"/>
          </w:tcPr>
          <w:p>
            <w:pPr>
              <w:autoSpaceDE w:val="0"/>
              <w:autoSpaceDN w:val="0"/>
              <w:spacing w:line="320" w:lineRule="exact"/>
              <w:jc w:val="center"/>
              <w:rPr>
                <w:rFonts w:eastAsia="宋体"/>
                <w:kern w:val="0"/>
                <w:sz w:val="21"/>
                <w:szCs w:val="21"/>
              </w:rPr>
            </w:pPr>
            <w:r>
              <w:rPr>
                <w:rFonts w:hint="eastAsia" w:eastAsia="宋体"/>
                <w:kern w:val="0"/>
                <w:sz w:val="21"/>
                <w:szCs w:val="21"/>
              </w:rPr>
              <w:t>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exact"/>
        </w:trPr>
        <w:tc>
          <w:tcPr>
            <w:tcW w:w="1020" w:type="dxa"/>
            <w:vMerge w:val="restart"/>
          </w:tcPr>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00" w:lineRule="atLeast"/>
              <w:jc w:val="center"/>
              <w:rPr>
                <w:rFonts w:eastAsia="宋体"/>
                <w:kern w:val="0"/>
                <w:sz w:val="21"/>
                <w:szCs w:val="21"/>
              </w:rPr>
            </w:pPr>
          </w:p>
          <w:p>
            <w:pPr>
              <w:autoSpaceDE w:val="0"/>
              <w:autoSpaceDN w:val="0"/>
              <w:spacing w:before="20" w:line="240" w:lineRule="exact"/>
              <w:jc w:val="center"/>
              <w:rPr>
                <w:rFonts w:eastAsia="宋体"/>
                <w:kern w:val="0"/>
                <w:sz w:val="21"/>
                <w:szCs w:val="21"/>
              </w:rPr>
            </w:pPr>
            <w:r>
              <w:rPr>
                <w:rFonts w:hAnsi="宋体" w:eastAsia="宋体"/>
                <w:kern w:val="0"/>
                <w:sz w:val="21"/>
                <w:szCs w:val="21"/>
              </w:rPr>
              <w:t>绩</w:t>
            </w:r>
          </w:p>
          <w:p>
            <w:pPr>
              <w:autoSpaceDE w:val="0"/>
              <w:autoSpaceDN w:val="0"/>
              <w:spacing w:before="20" w:line="240" w:lineRule="exact"/>
              <w:jc w:val="center"/>
              <w:rPr>
                <w:rFonts w:eastAsia="宋体"/>
                <w:kern w:val="0"/>
                <w:sz w:val="21"/>
                <w:szCs w:val="21"/>
              </w:rPr>
            </w:pPr>
            <w:r>
              <w:rPr>
                <w:rFonts w:hAnsi="宋体" w:eastAsia="宋体"/>
                <w:kern w:val="0"/>
                <w:sz w:val="21"/>
                <w:szCs w:val="21"/>
              </w:rPr>
              <w:t>效</w:t>
            </w:r>
          </w:p>
          <w:p>
            <w:pPr>
              <w:autoSpaceDE w:val="0"/>
              <w:autoSpaceDN w:val="0"/>
              <w:spacing w:before="20" w:line="240" w:lineRule="exact"/>
              <w:jc w:val="center"/>
              <w:rPr>
                <w:rFonts w:eastAsia="宋体"/>
                <w:kern w:val="0"/>
                <w:sz w:val="21"/>
                <w:szCs w:val="21"/>
              </w:rPr>
            </w:pPr>
            <w:r>
              <w:rPr>
                <w:rFonts w:hAnsi="宋体" w:eastAsia="宋体"/>
                <w:kern w:val="0"/>
                <w:sz w:val="21"/>
                <w:szCs w:val="21"/>
              </w:rPr>
              <w:t>指</w:t>
            </w:r>
          </w:p>
          <w:p>
            <w:pPr>
              <w:autoSpaceDE w:val="0"/>
              <w:autoSpaceDN w:val="0"/>
              <w:spacing w:before="20" w:line="240" w:lineRule="exact"/>
              <w:jc w:val="center"/>
              <w:rPr>
                <w:rFonts w:eastAsia="宋体"/>
                <w:kern w:val="0"/>
                <w:sz w:val="21"/>
                <w:szCs w:val="21"/>
              </w:rPr>
            </w:pPr>
            <w:r>
              <w:rPr>
                <w:rFonts w:hAnsi="宋体" w:eastAsia="宋体"/>
                <w:kern w:val="0"/>
                <w:sz w:val="21"/>
                <w:szCs w:val="21"/>
              </w:rPr>
              <w:t>标</w:t>
            </w:r>
          </w:p>
        </w:tc>
        <w:tc>
          <w:tcPr>
            <w:tcW w:w="110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一级指标</w:t>
            </w:r>
          </w:p>
        </w:tc>
        <w:tc>
          <w:tcPr>
            <w:tcW w:w="94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二级指标</w:t>
            </w:r>
          </w:p>
        </w:tc>
        <w:tc>
          <w:tcPr>
            <w:tcW w:w="122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三级指标</w:t>
            </w:r>
          </w:p>
        </w:tc>
        <w:tc>
          <w:tcPr>
            <w:tcW w:w="12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年度指标值</w:t>
            </w:r>
          </w:p>
        </w:tc>
        <w:tc>
          <w:tcPr>
            <w:tcW w:w="12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实际完成值</w:t>
            </w:r>
          </w:p>
        </w:tc>
        <w:tc>
          <w:tcPr>
            <w:tcW w:w="6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分值</w:t>
            </w:r>
          </w:p>
        </w:tc>
        <w:tc>
          <w:tcPr>
            <w:tcW w:w="8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自评得分</w:t>
            </w:r>
          </w:p>
        </w:tc>
        <w:tc>
          <w:tcPr>
            <w:tcW w:w="1400" w:type="dxa"/>
          </w:tcPr>
          <w:p>
            <w:pPr>
              <w:autoSpaceDE w:val="0"/>
              <w:autoSpaceDN w:val="0"/>
              <w:spacing w:before="20" w:line="240" w:lineRule="exact"/>
              <w:jc w:val="center"/>
              <w:rPr>
                <w:rFonts w:eastAsia="宋体"/>
                <w:kern w:val="0"/>
                <w:sz w:val="21"/>
                <w:szCs w:val="21"/>
              </w:rPr>
            </w:pPr>
            <w:r>
              <w:rPr>
                <w:rFonts w:hAnsi="宋体" w:eastAsia="宋体"/>
                <w:kern w:val="0"/>
                <w:sz w:val="21"/>
                <w:szCs w:val="21"/>
              </w:rPr>
              <w:t>偏差原因分析</w:t>
            </w:r>
          </w:p>
          <w:p>
            <w:pPr>
              <w:autoSpaceDE w:val="0"/>
              <w:autoSpaceDN w:val="0"/>
              <w:spacing w:before="20" w:line="240" w:lineRule="exact"/>
              <w:jc w:val="center"/>
              <w:rPr>
                <w:rFonts w:eastAsia="宋体"/>
                <w:kern w:val="0"/>
                <w:sz w:val="21"/>
                <w:szCs w:val="21"/>
              </w:rPr>
            </w:pPr>
            <w:r>
              <w:rPr>
                <w:rFonts w:hAnsi="宋体" w:eastAsia="宋体"/>
                <w:kern w:val="0"/>
                <w:sz w:val="21"/>
                <w:szCs w:val="21"/>
              </w:rPr>
              <w:t>及改进措施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restart"/>
          </w:tcPr>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r>
              <w:rPr>
                <w:rFonts w:hAnsi="宋体" w:eastAsia="宋体"/>
                <w:kern w:val="0"/>
                <w:sz w:val="21"/>
                <w:szCs w:val="21"/>
              </w:rPr>
              <w:t>产出指标</w:t>
            </w:r>
          </w:p>
          <w:p>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50</w:t>
            </w:r>
            <w:r>
              <w:rPr>
                <w:rFonts w:hAnsi="宋体" w:eastAsia="宋体"/>
                <w:kern w:val="0"/>
                <w:sz w:val="21"/>
                <w:szCs w:val="21"/>
              </w:rPr>
              <w:t>分）</w:t>
            </w: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数量</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vAlign w:val="center"/>
          </w:tcPr>
          <w:p>
            <w:pPr>
              <w:autoSpaceDE w:val="0"/>
              <w:autoSpaceDN w:val="0"/>
              <w:spacing w:line="300" w:lineRule="exact"/>
              <w:jc w:val="center"/>
              <w:rPr>
                <w:rFonts w:ascii="思源黑体" w:hAnsi="思源黑体" w:eastAsia="思源黑体" w:cs="思源黑体"/>
                <w:color w:val="000000"/>
                <w:sz w:val="15"/>
                <w:szCs w:val="15"/>
              </w:rPr>
            </w:pPr>
            <w:r>
              <w:rPr>
                <w:rFonts w:eastAsia="宋体"/>
                <w:kern w:val="0"/>
                <w:sz w:val="15"/>
                <w:szCs w:val="15"/>
              </w:rPr>
              <w:t>完成省市县重点工作任务</w:t>
            </w:r>
            <w:r>
              <w:rPr>
                <w:rFonts w:ascii="思源黑体" w:hAnsi="思源黑体" w:eastAsia="思源黑体" w:cs="思源黑体"/>
                <w:color w:val="000000"/>
                <w:kern w:val="0"/>
                <w:sz w:val="15"/>
                <w:szCs w:val="15"/>
              </w:rPr>
              <w:t>资金情况</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20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20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widowControl/>
              <w:jc w:val="left"/>
              <w:textAlignment w:val="center"/>
              <w:rPr>
                <w:rFonts w:eastAsia="宋体"/>
                <w:kern w:val="0"/>
                <w:sz w:val="15"/>
                <w:szCs w:val="15"/>
              </w:rPr>
            </w:pPr>
          </w:p>
        </w:tc>
        <w:tc>
          <w:tcPr>
            <w:tcW w:w="1260" w:type="dxa"/>
          </w:tcPr>
          <w:p>
            <w:pPr>
              <w:autoSpaceDE w:val="0"/>
              <w:autoSpaceDN w:val="0"/>
              <w:spacing w:line="300" w:lineRule="exact"/>
              <w:rPr>
                <w:rFonts w:eastAsia="宋体"/>
                <w:kern w:val="0"/>
                <w:sz w:val="15"/>
                <w:szCs w:val="15"/>
              </w:rPr>
            </w:pPr>
          </w:p>
        </w:tc>
        <w:tc>
          <w:tcPr>
            <w:tcW w:w="1260" w:type="dxa"/>
          </w:tcPr>
          <w:p>
            <w:pPr>
              <w:autoSpaceDE w:val="0"/>
              <w:autoSpaceDN w:val="0"/>
              <w:spacing w:line="300" w:lineRule="exact"/>
              <w:rPr>
                <w:rFonts w:eastAsia="宋体"/>
                <w:kern w:val="0"/>
                <w:sz w:val="15"/>
                <w:szCs w:val="15"/>
              </w:rPr>
            </w:pPr>
          </w:p>
        </w:tc>
        <w:tc>
          <w:tcPr>
            <w:tcW w:w="660" w:type="dxa"/>
          </w:tcPr>
          <w:p>
            <w:pPr>
              <w:autoSpaceDE w:val="0"/>
              <w:autoSpaceDN w:val="0"/>
              <w:spacing w:line="300" w:lineRule="exact"/>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质量</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高质量完成重点任务干部大学</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时效</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拆迁安置补偿及时率</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hint="eastAsia" w:eastAsia="宋体"/>
                <w:kern w:val="0"/>
                <w:sz w:val="15"/>
                <w:szCs w:val="15"/>
                <w:lang w:eastAsia="zh-CN"/>
              </w:rPr>
            </w:pPr>
            <w:r>
              <w:rPr>
                <w:rFonts w:hint="eastAsia" w:eastAsia="宋体"/>
                <w:kern w:val="0"/>
                <w:sz w:val="15"/>
                <w:szCs w:val="15"/>
                <w:lang w:val="en-US" w:eastAsia="zh-CN"/>
              </w:rPr>
              <w:t>9</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成本</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保证整体工作正常推进行</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restart"/>
          </w:tcPr>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r>
              <w:rPr>
                <w:rFonts w:hAnsi="宋体" w:eastAsia="宋体"/>
                <w:kern w:val="0"/>
                <w:sz w:val="21"/>
                <w:szCs w:val="21"/>
              </w:rPr>
              <w:t>效益指标</w:t>
            </w:r>
          </w:p>
          <w:p>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30</w:t>
            </w:r>
            <w:r>
              <w:rPr>
                <w:rFonts w:hAnsi="宋体" w:eastAsia="宋体"/>
                <w:kern w:val="0"/>
                <w:sz w:val="21"/>
                <w:szCs w:val="21"/>
              </w:rPr>
              <w:t>分）</w:t>
            </w: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经济效</w:t>
            </w:r>
          </w:p>
          <w:p>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vAlign w:val="center"/>
          </w:tcPr>
          <w:p>
            <w:pPr>
              <w:widowControl/>
              <w:jc w:val="left"/>
              <w:textAlignment w:val="center"/>
              <w:rPr>
                <w:rFonts w:ascii="思源黑体" w:hAnsi="思源黑体" w:eastAsia="思源黑体" w:cs="思源黑体"/>
                <w:color w:val="000000"/>
                <w:sz w:val="15"/>
                <w:szCs w:val="15"/>
              </w:rPr>
            </w:pPr>
            <w:r>
              <w:rPr>
                <w:rFonts w:eastAsia="宋体"/>
                <w:kern w:val="0"/>
                <w:sz w:val="15"/>
                <w:szCs w:val="15"/>
              </w:rPr>
              <w:t>各项补偿到位</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社会效</w:t>
            </w:r>
          </w:p>
          <w:p>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安置到位</w:t>
            </w:r>
          </w:p>
        </w:tc>
        <w:tc>
          <w:tcPr>
            <w:tcW w:w="1260" w:type="dxa"/>
            <w:vAlign w:val="center"/>
          </w:tcPr>
          <w:p>
            <w:pPr>
              <w:widowControl/>
              <w:jc w:val="center"/>
              <w:textAlignment w:val="center"/>
              <w:rPr>
                <w:rFonts w:ascii="思源黑体" w:hAnsi="思源黑体" w:eastAsia="思源黑体" w:cs="思源黑体"/>
                <w:color w:val="000000"/>
                <w:sz w:val="24"/>
              </w:rPr>
            </w:pPr>
            <w:r>
              <w:rPr>
                <w:rFonts w:eastAsia="宋体"/>
                <w:kern w:val="0"/>
                <w:sz w:val="15"/>
                <w:szCs w:val="15"/>
              </w:rPr>
              <w:t>持续向好</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合格</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hint="eastAsia" w:eastAsia="宋体"/>
                <w:kern w:val="0"/>
                <w:sz w:val="15"/>
                <w:szCs w:val="15"/>
                <w:lang w:eastAsia="zh-CN"/>
              </w:rPr>
            </w:pPr>
            <w:r>
              <w:rPr>
                <w:rFonts w:hint="eastAsia" w:eastAsia="宋体"/>
                <w:kern w:val="0"/>
                <w:sz w:val="15"/>
                <w:szCs w:val="15"/>
                <w:lang w:val="en-US" w:eastAsia="zh-CN"/>
              </w:rPr>
              <w:t>9</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生态效</w:t>
            </w:r>
          </w:p>
          <w:p>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vAlign w:val="center"/>
          </w:tcPr>
          <w:p>
            <w:pPr>
              <w:widowControl/>
              <w:jc w:val="left"/>
              <w:textAlignment w:val="center"/>
              <w:rPr>
                <w:rFonts w:ascii="思源黑体" w:hAnsi="思源黑体" w:eastAsia="思源黑体" w:cs="思源黑体"/>
                <w:color w:val="000000"/>
                <w:sz w:val="24"/>
              </w:rPr>
            </w:pPr>
            <w:r>
              <w:rPr>
                <w:rFonts w:eastAsia="宋体"/>
                <w:kern w:val="0"/>
                <w:sz w:val="15"/>
                <w:szCs w:val="15"/>
              </w:rPr>
              <w:t>节约工作中资源</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好</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优</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可持续</w:t>
            </w:r>
          </w:p>
          <w:p>
            <w:pPr>
              <w:autoSpaceDE w:val="0"/>
              <w:autoSpaceDN w:val="0"/>
              <w:spacing w:before="20" w:line="240" w:lineRule="exact"/>
              <w:jc w:val="center"/>
              <w:rPr>
                <w:rFonts w:eastAsia="宋体"/>
                <w:kern w:val="0"/>
                <w:sz w:val="21"/>
                <w:szCs w:val="21"/>
              </w:rPr>
            </w:pPr>
            <w:r>
              <w:rPr>
                <w:rFonts w:hAnsi="宋体" w:eastAsia="宋体"/>
                <w:kern w:val="0"/>
                <w:sz w:val="21"/>
                <w:szCs w:val="21"/>
              </w:rPr>
              <w:t>影响指</w:t>
            </w:r>
          </w:p>
          <w:p>
            <w:pPr>
              <w:autoSpaceDE w:val="0"/>
              <w:autoSpaceDN w:val="0"/>
              <w:spacing w:before="20" w:line="240" w:lineRule="exact"/>
              <w:jc w:val="center"/>
              <w:rPr>
                <w:rFonts w:eastAsia="宋体"/>
                <w:kern w:val="0"/>
                <w:sz w:val="21"/>
                <w:szCs w:val="21"/>
              </w:rPr>
            </w:pPr>
            <w:r>
              <w:rPr>
                <w:rFonts w:hAnsi="宋体" w:eastAsia="宋体"/>
                <w:kern w:val="0"/>
                <w:sz w:val="21"/>
                <w:szCs w:val="21"/>
              </w:rPr>
              <w:t>标</w:t>
            </w:r>
          </w:p>
        </w:tc>
        <w:tc>
          <w:tcPr>
            <w:tcW w:w="1220" w:type="dxa"/>
          </w:tcPr>
          <w:p>
            <w:pPr>
              <w:autoSpaceDE w:val="0"/>
              <w:autoSpaceDN w:val="0"/>
              <w:spacing w:line="300" w:lineRule="exact"/>
              <w:rPr>
                <w:rFonts w:eastAsia="宋体"/>
                <w:kern w:val="0"/>
                <w:sz w:val="15"/>
                <w:szCs w:val="15"/>
              </w:rPr>
            </w:pPr>
            <w:r>
              <w:rPr>
                <w:rFonts w:hint="eastAsia" w:eastAsia="宋体"/>
                <w:kern w:val="0"/>
                <w:sz w:val="15"/>
                <w:szCs w:val="15"/>
              </w:rPr>
              <w:t>单位运行情况正常</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restart"/>
          </w:tcPr>
          <w:p>
            <w:pPr>
              <w:autoSpaceDE w:val="0"/>
              <w:autoSpaceDN w:val="0"/>
              <w:spacing w:before="20" w:line="240" w:lineRule="exact"/>
              <w:jc w:val="center"/>
              <w:rPr>
                <w:rFonts w:eastAsia="宋体"/>
                <w:kern w:val="0"/>
                <w:sz w:val="21"/>
                <w:szCs w:val="21"/>
              </w:rPr>
            </w:pPr>
            <w:r>
              <w:rPr>
                <w:rFonts w:hAnsi="宋体" w:eastAsia="宋体"/>
                <w:kern w:val="0"/>
                <w:sz w:val="21"/>
                <w:szCs w:val="21"/>
              </w:rPr>
              <w:t>满意度</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p>
            <w:pPr>
              <w:autoSpaceDE w:val="0"/>
              <w:autoSpaceDN w:val="0"/>
              <w:spacing w:before="20" w:line="240" w:lineRule="exact"/>
              <w:jc w:val="center"/>
              <w:rPr>
                <w:rFonts w:eastAsia="宋体"/>
                <w:kern w:val="0"/>
                <w:sz w:val="21"/>
                <w:szCs w:val="21"/>
              </w:rPr>
            </w:pPr>
            <w:r>
              <w:rPr>
                <w:rFonts w:hAnsi="宋体" w:eastAsia="宋体"/>
                <w:kern w:val="0"/>
                <w:sz w:val="21"/>
                <w:szCs w:val="21"/>
              </w:rPr>
              <w:t>（</w:t>
            </w:r>
            <w:r>
              <w:rPr>
                <w:rFonts w:eastAsia="宋体"/>
                <w:kern w:val="0"/>
                <w:sz w:val="21"/>
                <w:szCs w:val="21"/>
              </w:rPr>
              <w:t>10</w:t>
            </w:r>
            <w:r>
              <w:rPr>
                <w:rFonts w:hAnsi="宋体" w:eastAsia="宋体"/>
                <w:kern w:val="0"/>
                <w:sz w:val="21"/>
                <w:szCs w:val="21"/>
              </w:rPr>
              <w:t>分）</w:t>
            </w: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服务对</w:t>
            </w:r>
          </w:p>
          <w:p>
            <w:pPr>
              <w:autoSpaceDE w:val="0"/>
              <w:autoSpaceDN w:val="0"/>
              <w:spacing w:before="20" w:line="240" w:lineRule="exact"/>
              <w:jc w:val="center"/>
              <w:rPr>
                <w:rFonts w:eastAsia="宋体"/>
                <w:kern w:val="0"/>
                <w:sz w:val="21"/>
                <w:szCs w:val="21"/>
              </w:rPr>
            </w:pPr>
            <w:r>
              <w:rPr>
                <w:rFonts w:hAnsi="宋体" w:eastAsia="宋体"/>
                <w:kern w:val="0"/>
                <w:sz w:val="21"/>
                <w:szCs w:val="21"/>
              </w:rPr>
              <w:t>象满意</w:t>
            </w:r>
          </w:p>
          <w:p>
            <w:pPr>
              <w:autoSpaceDE w:val="0"/>
              <w:autoSpaceDN w:val="0"/>
              <w:spacing w:before="20" w:line="240" w:lineRule="exact"/>
              <w:jc w:val="center"/>
              <w:rPr>
                <w:rFonts w:eastAsia="宋体"/>
                <w:kern w:val="0"/>
                <w:sz w:val="21"/>
                <w:szCs w:val="21"/>
              </w:rPr>
            </w:pPr>
            <w:r>
              <w:rPr>
                <w:rFonts w:hAnsi="宋体" w:eastAsia="宋体"/>
                <w:kern w:val="0"/>
                <w:sz w:val="21"/>
                <w:szCs w:val="21"/>
              </w:rPr>
              <w:t>度指标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各项工作满意</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90%以上</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660" w:type="dxa"/>
          </w:tcPr>
          <w:p>
            <w:pPr>
              <w:autoSpaceDE w:val="0"/>
              <w:autoSpaceDN w:val="0"/>
              <w:spacing w:before="20" w:line="340" w:lineRule="atLeast"/>
              <w:jc w:val="center"/>
              <w:rPr>
                <w:rFonts w:eastAsia="宋体"/>
                <w:kern w:val="0"/>
                <w:sz w:val="21"/>
                <w:szCs w:val="21"/>
              </w:rPr>
            </w:pPr>
          </w:p>
        </w:tc>
        <w:tc>
          <w:tcPr>
            <w:tcW w:w="860" w:type="dxa"/>
          </w:tcPr>
          <w:p>
            <w:pPr>
              <w:autoSpaceDE w:val="0"/>
              <w:autoSpaceDN w:val="0"/>
              <w:spacing w:before="20" w:line="340" w:lineRule="atLeast"/>
              <w:jc w:val="center"/>
              <w:rPr>
                <w:rFonts w:eastAsia="宋体"/>
                <w:kern w:val="0"/>
                <w:sz w:val="21"/>
                <w:szCs w:val="21"/>
              </w:rPr>
            </w:pPr>
          </w:p>
        </w:tc>
        <w:tc>
          <w:tcPr>
            <w:tcW w:w="1400" w:type="dxa"/>
          </w:tcPr>
          <w:p>
            <w:pPr>
              <w:autoSpaceDE w:val="0"/>
              <w:autoSpaceDN w:val="0"/>
              <w:spacing w:before="20" w:line="340" w:lineRule="atLeas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660" w:type="dxa"/>
          </w:tcPr>
          <w:p>
            <w:pPr>
              <w:autoSpaceDE w:val="0"/>
              <w:autoSpaceDN w:val="0"/>
              <w:spacing w:before="20" w:line="340" w:lineRule="atLeast"/>
              <w:jc w:val="center"/>
              <w:rPr>
                <w:rFonts w:eastAsia="宋体"/>
                <w:kern w:val="0"/>
                <w:sz w:val="21"/>
                <w:szCs w:val="21"/>
              </w:rPr>
            </w:pPr>
          </w:p>
        </w:tc>
        <w:tc>
          <w:tcPr>
            <w:tcW w:w="860" w:type="dxa"/>
          </w:tcPr>
          <w:p>
            <w:pPr>
              <w:autoSpaceDE w:val="0"/>
              <w:autoSpaceDN w:val="0"/>
              <w:spacing w:before="20" w:line="340" w:lineRule="atLeast"/>
              <w:jc w:val="center"/>
              <w:rPr>
                <w:rFonts w:eastAsia="宋体"/>
                <w:kern w:val="0"/>
                <w:sz w:val="21"/>
                <w:szCs w:val="21"/>
              </w:rPr>
            </w:pPr>
          </w:p>
        </w:tc>
        <w:tc>
          <w:tcPr>
            <w:tcW w:w="1400" w:type="dxa"/>
          </w:tcPr>
          <w:p>
            <w:pPr>
              <w:autoSpaceDE w:val="0"/>
              <w:autoSpaceDN w:val="0"/>
              <w:spacing w:before="20" w:line="340" w:lineRule="atLeas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exact"/>
        </w:trPr>
        <w:tc>
          <w:tcPr>
            <w:tcW w:w="6800" w:type="dxa"/>
            <w:gridSpan w:val="6"/>
          </w:tcPr>
          <w:p>
            <w:pPr>
              <w:autoSpaceDE w:val="0"/>
              <w:autoSpaceDN w:val="0"/>
              <w:spacing w:line="320" w:lineRule="exact"/>
              <w:jc w:val="center"/>
              <w:rPr>
                <w:rFonts w:eastAsia="宋体"/>
                <w:kern w:val="0"/>
                <w:sz w:val="21"/>
                <w:szCs w:val="21"/>
              </w:rPr>
            </w:pPr>
            <w:r>
              <w:rPr>
                <w:rFonts w:hAnsi="宋体" w:eastAsia="宋体"/>
                <w:kern w:val="0"/>
                <w:sz w:val="21"/>
                <w:szCs w:val="21"/>
              </w:rPr>
              <w:t>总分</w:t>
            </w:r>
          </w:p>
        </w:tc>
        <w:tc>
          <w:tcPr>
            <w:tcW w:w="660" w:type="dxa"/>
          </w:tcPr>
          <w:p>
            <w:pPr>
              <w:autoSpaceDE w:val="0"/>
              <w:autoSpaceDN w:val="0"/>
              <w:spacing w:line="320" w:lineRule="exact"/>
              <w:jc w:val="center"/>
              <w:rPr>
                <w:rFonts w:eastAsia="宋体"/>
                <w:kern w:val="0"/>
                <w:sz w:val="21"/>
                <w:szCs w:val="21"/>
              </w:rPr>
            </w:pPr>
            <w:r>
              <w:rPr>
                <w:rFonts w:eastAsia="宋体"/>
                <w:kern w:val="0"/>
                <w:sz w:val="21"/>
                <w:szCs w:val="21"/>
              </w:rPr>
              <w:t>100</w:t>
            </w:r>
          </w:p>
        </w:tc>
        <w:tc>
          <w:tcPr>
            <w:tcW w:w="860" w:type="dxa"/>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98</w:t>
            </w:r>
          </w:p>
        </w:tc>
        <w:tc>
          <w:tcPr>
            <w:tcW w:w="1400" w:type="dxa"/>
          </w:tcPr>
          <w:p>
            <w:pPr>
              <w:autoSpaceDE w:val="0"/>
              <w:autoSpaceDN w:val="0"/>
              <w:spacing w:line="320" w:lineRule="exact"/>
              <w:jc w:val="center"/>
              <w:rPr>
                <w:rFonts w:eastAsia="宋体"/>
                <w:kern w:val="0"/>
                <w:sz w:val="21"/>
                <w:szCs w:val="21"/>
              </w:rPr>
            </w:pPr>
          </w:p>
        </w:tc>
      </w:tr>
    </w:tbl>
    <w:p>
      <w:pPr>
        <w:autoSpaceDE w:val="0"/>
        <w:autoSpaceDN w:val="0"/>
        <w:spacing w:line="320" w:lineRule="exact"/>
        <w:rPr>
          <w:rFonts w:eastAsia="宋体"/>
          <w:kern w:val="0"/>
          <w:sz w:val="21"/>
          <w:szCs w:val="21"/>
        </w:rPr>
      </w:pPr>
      <w:r>
        <w:rPr>
          <w:rFonts w:hAnsi="宋体" w:eastAsia="宋体"/>
          <w:kern w:val="0"/>
          <w:sz w:val="21"/>
          <w:szCs w:val="21"/>
        </w:rPr>
        <w:t>备注：每个项目支出一张表。</w:t>
      </w:r>
    </w:p>
    <w:p>
      <w:pPr>
        <w:spacing w:line="560" w:lineRule="exact"/>
        <w:jc w:val="left"/>
        <w:rPr>
          <w:rFonts w:eastAsia="黑体"/>
          <w:bCs/>
          <w:kern w:val="0"/>
          <w:szCs w:val="32"/>
        </w:rPr>
      </w:pPr>
      <w:r>
        <w:rPr>
          <w:rFonts w:hAnsi="宋体" w:eastAsia="宋体"/>
          <w:kern w:val="0"/>
          <w:sz w:val="21"/>
          <w:szCs w:val="21"/>
        </w:rPr>
        <w:t>填表人：</w:t>
      </w:r>
      <w:r>
        <w:rPr>
          <w:rFonts w:hint="eastAsia" w:hAnsi="宋体" w:eastAsia="宋体"/>
          <w:kern w:val="0"/>
          <w:sz w:val="21"/>
          <w:szCs w:val="21"/>
          <w:lang w:eastAsia="zh-CN"/>
        </w:rPr>
        <w:t>薛卫华</w:t>
      </w:r>
      <w:r>
        <w:rPr>
          <w:rFonts w:hint="eastAsia" w:hAnsi="宋体"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2024.4.18</w:t>
      </w:r>
      <w:r>
        <w:rPr>
          <w:rFonts w:hint="eastAsia" w:hAnsi="宋体" w:eastAsia="宋体"/>
          <w:kern w:val="0"/>
          <w:sz w:val="21"/>
          <w:szCs w:val="21"/>
        </w:rPr>
        <w:t xml:space="preserve">     </w:t>
      </w:r>
      <w:r>
        <w:rPr>
          <w:rFonts w:hAnsi="宋体" w:eastAsia="宋体"/>
          <w:kern w:val="0"/>
          <w:sz w:val="21"/>
          <w:szCs w:val="21"/>
        </w:rPr>
        <w:t>联系电话：</w:t>
      </w:r>
      <w:r>
        <w:rPr>
          <w:rFonts w:hint="eastAsia" w:hAnsi="宋体" w:eastAsia="宋体"/>
          <w:kern w:val="0"/>
          <w:sz w:val="21"/>
          <w:szCs w:val="21"/>
          <w:lang w:val="en-US" w:eastAsia="zh-CN"/>
        </w:rPr>
        <w:t>8822798</w:t>
      </w:r>
      <w:r>
        <w:rPr>
          <w:rFonts w:hint="eastAsia" w:hAnsi="宋体"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lang w:val="en-US" w:eastAsia="zh-CN"/>
        </w:rPr>
        <w:t xml:space="preserve">      </w:t>
      </w:r>
      <w:r>
        <w:rPr>
          <w:rFonts w:eastAsia="黑体"/>
          <w:bCs/>
          <w:kern w:val="0"/>
          <w:szCs w:val="32"/>
        </w:rPr>
        <w:t>附件4</w:t>
      </w:r>
    </w:p>
    <w:p>
      <w:pPr>
        <w:spacing w:line="560" w:lineRule="exact"/>
        <w:jc w:val="center"/>
        <w:rPr>
          <w:rFonts w:eastAsia="方正小标宋简体"/>
          <w:sz w:val="44"/>
          <w:szCs w:val="44"/>
        </w:rPr>
      </w:pPr>
      <w:r>
        <w:rPr>
          <w:rFonts w:eastAsia="方正小标宋简体"/>
          <w:bCs/>
          <w:kern w:val="0"/>
          <w:sz w:val="44"/>
          <w:szCs w:val="44"/>
        </w:rPr>
        <w:t>桃江县2023年度项目支出绩效自评表</w:t>
      </w:r>
    </w:p>
    <w:tbl>
      <w:tblPr>
        <w:tblStyle w:val="6"/>
        <w:tblpPr w:leftFromText="180" w:rightFromText="180" w:vertAnchor="text" w:horzAnchor="page" w:tblpX="1227" w:tblpY="172"/>
        <w:tblOverlap w:val="never"/>
        <w:tblW w:w="97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20"/>
        <w:gridCol w:w="1100"/>
        <w:gridCol w:w="940"/>
        <w:gridCol w:w="1220"/>
        <w:gridCol w:w="1260"/>
        <w:gridCol w:w="1260"/>
        <w:gridCol w:w="660"/>
        <w:gridCol w:w="860"/>
        <w:gridCol w:w="14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3060" w:type="dxa"/>
            <w:gridSpan w:val="3"/>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项目支出名称</w:t>
            </w:r>
          </w:p>
        </w:tc>
        <w:tc>
          <w:tcPr>
            <w:tcW w:w="6660" w:type="dxa"/>
            <w:gridSpan w:val="6"/>
            <w:vAlign w:val="center"/>
          </w:tcPr>
          <w:p>
            <w:pPr>
              <w:autoSpaceDE w:val="0"/>
              <w:autoSpaceDN w:val="0"/>
              <w:spacing w:line="320" w:lineRule="exact"/>
              <w:jc w:val="center"/>
              <w:rPr>
                <w:rFonts w:eastAsia="宋体"/>
                <w:kern w:val="0"/>
                <w:sz w:val="21"/>
                <w:szCs w:val="21"/>
              </w:rPr>
            </w:pPr>
            <w:r>
              <w:rPr>
                <w:rFonts w:hint="eastAsia" w:eastAsia="宋体"/>
                <w:kern w:val="0"/>
                <w:sz w:val="21"/>
                <w:szCs w:val="21"/>
                <w:lang w:eastAsia="zh-CN"/>
              </w:rPr>
              <w:t>安置攻坚、乡村振兴、法规宣传工作经费</w:t>
            </w:r>
            <w:r>
              <w:rPr>
                <w:rFonts w:hint="eastAsia" w:eastAsia="宋体"/>
                <w:kern w:val="0"/>
                <w:sz w:val="21"/>
                <w:szCs w:val="21"/>
              </w:rPr>
              <w:t>专项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主管部门</w:t>
            </w:r>
          </w:p>
        </w:tc>
        <w:tc>
          <w:tcPr>
            <w:tcW w:w="4520" w:type="dxa"/>
            <w:gridSpan w:val="4"/>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桃江县征地拆迁安置与房屋征收补偿事务中心</w:t>
            </w:r>
          </w:p>
        </w:tc>
        <w:tc>
          <w:tcPr>
            <w:tcW w:w="12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实施单位</w:t>
            </w:r>
          </w:p>
        </w:tc>
        <w:tc>
          <w:tcPr>
            <w:tcW w:w="2920" w:type="dxa"/>
            <w:gridSpan w:val="3"/>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桃江县征地拆迁安置与房屋征收补偿事务中心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restart"/>
            <w:vAlign w:val="center"/>
          </w:tcPr>
          <w:p>
            <w:pPr>
              <w:autoSpaceDE w:val="0"/>
              <w:autoSpaceDN w:val="0"/>
              <w:spacing w:line="320" w:lineRule="exact"/>
              <w:jc w:val="center"/>
              <w:rPr>
                <w:rFonts w:eastAsia="宋体"/>
                <w:kern w:val="0"/>
                <w:sz w:val="21"/>
                <w:szCs w:val="21"/>
              </w:rPr>
            </w:pPr>
          </w:p>
          <w:p>
            <w:pPr>
              <w:autoSpaceDE w:val="0"/>
              <w:autoSpaceDN w:val="0"/>
              <w:spacing w:line="320" w:lineRule="exact"/>
              <w:jc w:val="center"/>
              <w:rPr>
                <w:rFonts w:eastAsia="宋体"/>
                <w:kern w:val="0"/>
                <w:sz w:val="21"/>
                <w:szCs w:val="21"/>
              </w:rPr>
            </w:pPr>
          </w:p>
          <w:p>
            <w:pPr>
              <w:autoSpaceDE w:val="0"/>
              <w:autoSpaceDN w:val="0"/>
              <w:spacing w:line="320" w:lineRule="exact"/>
              <w:jc w:val="center"/>
              <w:rPr>
                <w:rFonts w:eastAsia="宋体"/>
                <w:kern w:val="0"/>
                <w:sz w:val="21"/>
                <w:szCs w:val="21"/>
              </w:rPr>
            </w:pPr>
            <w:r>
              <w:rPr>
                <w:rFonts w:hAnsi="宋体" w:eastAsia="宋体"/>
                <w:kern w:val="0"/>
                <w:sz w:val="21"/>
                <w:szCs w:val="21"/>
              </w:rPr>
              <w:t>项目资金</w:t>
            </w:r>
          </w:p>
          <w:p>
            <w:pPr>
              <w:autoSpaceDE w:val="0"/>
              <w:autoSpaceDN w:val="0"/>
              <w:spacing w:line="320" w:lineRule="exact"/>
              <w:jc w:val="center"/>
              <w:rPr>
                <w:rFonts w:eastAsia="宋体"/>
                <w:kern w:val="0"/>
                <w:sz w:val="21"/>
                <w:szCs w:val="21"/>
              </w:rPr>
            </w:pPr>
            <w:r>
              <w:rPr>
                <w:rFonts w:hAnsi="宋体" w:eastAsia="宋体"/>
                <w:kern w:val="0"/>
                <w:sz w:val="21"/>
                <w:szCs w:val="21"/>
              </w:rPr>
              <w:t>（万元）</w:t>
            </w:r>
          </w:p>
        </w:tc>
        <w:tc>
          <w:tcPr>
            <w:tcW w:w="2040" w:type="dxa"/>
            <w:gridSpan w:val="2"/>
            <w:vAlign w:val="center"/>
          </w:tcPr>
          <w:p>
            <w:pPr>
              <w:autoSpaceDE w:val="0"/>
              <w:autoSpaceDN w:val="0"/>
              <w:spacing w:line="320" w:lineRule="exact"/>
              <w:jc w:val="center"/>
              <w:rPr>
                <w:rFonts w:eastAsia="宋体"/>
                <w:kern w:val="0"/>
                <w:sz w:val="21"/>
                <w:szCs w:val="21"/>
              </w:rPr>
            </w:pPr>
          </w:p>
        </w:tc>
        <w:tc>
          <w:tcPr>
            <w:tcW w:w="122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年初预算数</w:t>
            </w:r>
          </w:p>
        </w:tc>
        <w:tc>
          <w:tcPr>
            <w:tcW w:w="12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全年预算数</w:t>
            </w:r>
          </w:p>
        </w:tc>
        <w:tc>
          <w:tcPr>
            <w:tcW w:w="12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全年执行数</w:t>
            </w:r>
          </w:p>
        </w:tc>
        <w:tc>
          <w:tcPr>
            <w:tcW w:w="6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分值</w:t>
            </w:r>
          </w:p>
        </w:tc>
        <w:tc>
          <w:tcPr>
            <w:tcW w:w="8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执行率</w:t>
            </w:r>
          </w:p>
        </w:tc>
        <w:tc>
          <w:tcPr>
            <w:tcW w:w="140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自评得分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rPr>
                <w:rFonts w:eastAsia="宋体"/>
                <w:kern w:val="0"/>
                <w:sz w:val="21"/>
                <w:szCs w:val="21"/>
              </w:rPr>
            </w:pPr>
            <w:r>
              <w:rPr>
                <w:rFonts w:hAnsi="宋体" w:eastAsia="宋体"/>
                <w:kern w:val="0"/>
                <w:sz w:val="21"/>
                <w:szCs w:val="21"/>
              </w:rPr>
              <w:t>年度资金总额</w:t>
            </w:r>
          </w:p>
        </w:tc>
        <w:tc>
          <w:tcPr>
            <w:tcW w:w="122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40</w:t>
            </w:r>
          </w:p>
        </w:tc>
        <w:tc>
          <w:tcPr>
            <w:tcW w:w="126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40</w:t>
            </w:r>
          </w:p>
        </w:tc>
        <w:tc>
          <w:tcPr>
            <w:tcW w:w="126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40</w:t>
            </w:r>
          </w:p>
        </w:tc>
        <w:tc>
          <w:tcPr>
            <w:tcW w:w="660" w:type="dxa"/>
            <w:vAlign w:val="center"/>
          </w:tcPr>
          <w:p>
            <w:pPr>
              <w:autoSpaceDE w:val="0"/>
              <w:autoSpaceDN w:val="0"/>
              <w:spacing w:line="320" w:lineRule="exact"/>
              <w:jc w:val="center"/>
              <w:rPr>
                <w:rFonts w:eastAsia="宋体"/>
                <w:kern w:val="0"/>
                <w:sz w:val="21"/>
                <w:szCs w:val="21"/>
              </w:rPr>
            </w:pPr>
            <w:r>
              <w:rPr>
                <w:rFonts w:eastAsia="宋体"/>
                <w:kern w:val="0"/>
                <w:sz w:val="21"/>
                <w:szCs w:val="21"/>
              </w:rPr>
              <w:t>10</w:t>
            </w:r>
          </w:p>
        </w:tc>
        <w:tc>
          <w:tcPr>
            <w:tcW w:w="8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100%</w:t>
            </w:r>
          </w:p>
        </w:tc>
        <w:tc>
          <w:tcPr>
            <w:tcW w:w="140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其中：当年财政拨款</w:t>
            </w:r>
          </w:p>
        </w:tc>
        <w:tc>
          <w:tcPr>
            <w:tcW w:w="122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40</w:t>
            </w:r>
          </w:p>
        </w:tc>
        <w:tc>
          <w:tcPr>
            <w:tcW w:w="126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40</w:t>
            </w:r>
          </w:p>
        </w:tc>
        <w:tc>
          <w:tcPr>
            <w:tcW w:w="126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40</w:t>
            </w:r>
          </w:p>
        </w:tc>
        <w:tc>
          <w:tcPr>
            <w:tcW w:w="660" w:type="dxa"/>
            <w:vAlign w:val="center"/>
          </w:tcPr>
          <w:p>
            <w:pPr>
              <w:autoSpaceDE w:val="0"/>
              <w:autoSpaceDN w:val="0"/>
              <w:spacing w:line="320" w:lineRule="exact"/>
              <w:jc w:val="center"/>
              <w:rPr>
                <w:rFonts w:eastAsia="宋体"/>
                <w:kern w:val="0"/>
                <w:sz w:val="21"/>
                <w:szCs w:val="21"/>
              </w:rPr>
            </w:pPr>
            <w:r>
              <w:rPr>
                <w:rFonts w:eastAsia="宋体"/>
                <w:kern w:val="0"/>
                <w:sz w:val="21"/>
                <w:szCs w:val="21"/>
              </w:rPr>
              <w:t>10</w:t>
            </w:r>
          </w:p>
        </w:tc>
        <w:tc>
          <w:tcPr>
            <w:tcW w:w="8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100%</w:t>
            </w:r>
          </w:p>
        </w:tc>
        <w:tc>
          <w:tcPr>
            <w:tcW w:w="140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上年结转资金</w:t>
            </w:r>
          </w:p>
        </w:tc>
        <w:tc>
          <w:tcPr>
            <w:tcW w:w="122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0</w:t>
            </w:r>
          </w:p>
        </w:tc>
        <w:tc>
          <w:tcPr>
            <w:tcW w:w="12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0</w:t>
            </w:r>
          </w:p>
        </w:tc>
        <w:tc>
          <w:tcPr>
            <w:tcW w:w="12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0</w:t>
            </w:r>
          </w:p>
        </w:tc>
        <w:tc>
          <w:tcPr>
            <w:tcW w:w="660" w:type="dxa"/>
            <w:vAlign w:val="center"/>
          </w:tcPr>
          <w:p>
            <w:pPr>
              <w:autoSpaceDE w:val="0"/>
              <w:autoSpaceDN w:val="0"/>
              <w:spacing w:line="320" w:lineRule="exact"/>
              <w:jc w:val="center"/>
              <w:rPr>
                <w:rFonts w:eastAsia="宋体"/>
                <w:kern w:val="0"/>
                <w:sz w:val="21"/>
                <w:szCs w:val="21"/>
              </w:rPr>
            </w:pPr>
          </w:p>
        </w:tc>
        <w:tc>
          <w:tcPr>
            <w:tcW w:w="860" w:type="dxa"/>
            <w:vAlign w:val="center"/>
          </w:tcPr>
          <w:p>
            <w:pPr>
              <w:autoSpaceDE w:val="0"/>
              <w:autoSpaceDN w:val="0"/>
              <w:spacing w:line="320" w:lineRule="exact"/>
              <w:jc w:val="center"/>
              <w:rPr>
                <w:rFonts w:eastAsia="宋体"/>
                <w:kern w:val="0"/>
                <w:sz w:val="21"/>
                <w:szCs w:val="21"/>
              </w:rPr>
            </w:pPr>
          </w:p>
        </w:tc>
        <w:tc>
          <w:tcPr>
            <w:tcW w:w="1400" w:type="dxa"/>
            <w:vAlign w:val="center"/>
          </w:tcPr>
          <w:p>
            <w:pPr>
              <w:autoSpaceDE w:val="0"/>
              <w:autoSpaceDN w:val="0"/>
              <w:spacing w:line="32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其他资金</w:t>
            </w:r>
          </w:p>
        </w:tc>
        <w:tc>
          <w:tcPr>
            <w:tcW w:w="1220" w:type="dxa"/>
            <w:vAlign w:val="center"/>
          </w:tcPr>
          <w:p>
            <w:pPr>
              <w:autoSpaceDE w:val="0"/>
              <w:autoSpaceDN w:val="0"/>
              <w:spacing w:line="320" w:lineRule="exact"/>
              <w:jc w:val="center"/>
              <w:rPr>
                <w:rFonts w:eastAsia="宋体"/>
                <w:kern w:val="0"/>
                <w:sz w:val="21"/>
                <w:szCs w:val="21"/>
              </w:rPr>
            </w:pPr>
          </w:p>
        </w:tc>
        <w:tc>
          <w:tcPr>
            <w:tcW w:w="1260" w:type="dxa"/>
            <w:vAlign w:val="center"/>
          </w:tcPr>
          <w:p>
            <w:pPr>
              <w:autoSpaceDE w:val="0"/>
              <w:autoSpaceDN w:val="0"/>
              <w:spacing w:line="320" w:lineRule="exact"/>
              <w:jc w:val="center"/>
              <w:rPr>
                <w:rFonts w:eastAsia="宋体"/>
                <w:kern w:val="0"/>
                <w:sz w:val="21"/>
                <w:szCs w:val="21"/>
              </w:rPr>
            </w:pPr>
          </w:p>
        </w:tc>
        <w:tc>
          <w:tcPr>
            <w:tcW w:w="1260" w:type="dxa"/>
            <w:vAlign w:val="center"/>
          </w:tcPr>
          <w:p>
            <w:pPr>
              <w:autoSpaceDE w:val="0"/>
              <w:autoSpaceDN w:val="0"/>
              <w:spacing w:line="320" w:lineRule="exact"/>
              <w:jc w:val="center"/>
              <w:rPr>
                <w:rFonts w:eastAsia="宋体"/>
                <w:kern w:val="0"/>
                <w:sz w:val="21"/>
                <w:szCs w:val="21"/>
              </w:rPr>
            </w:pPr>
          </w:p>
        </w:tc>
        <w:tc>
          <w:tcPr>
            <w:tcW w:w="660" w:type="dxa"/>
            <w:vAlign w:val="center"/>
          </w:tcPr>
          <w:p>
            <w:pPr>
              <w:autoSpaceDE w:val="0"/>
              <w:autoSpaceDN w:val="0"/>
              <w:spacing w:line="320" w:lineRule="exact"/>
              <w:jc w:val="center"/>
              <w:rPr>
                <w:rFonts w:eastAsia="宋体"/>
                <w:kern w:val="0"/>
                <w:sz w:val="21"/>
                <w:szCs w:val="21"/>
              </w:rPr>
            </w:pPr>
          </w:p>
        </w:tc>
        <w:tc>
          <w:tcPr>
            <w:tcW w:w="860" w:type="dxa"/>
            <w:vAlign w:val="center"/>
          </w:tcPr>
          <w:p>
            <w:pPr>
              <w:autoSpaceDE w:val="0"/>
              <w:autoSpaceDN w:val="0"/>
              <w:spacing w:line="320" w:lineRule="exact"/>
              <w:jc w:val="center"/>
              <w:rPr>
                <w:rFonts w:eastAsia="宋体"/>
                <w:kern w:val="0"/>
                <w:sz w:val="21"/>
                <w:szCs w:val="21"/>
              </w:rPr>
            </w:pPr>
          </w:p>
        </w:tc>
        <w:tc>
          <w:tcPr>
            <w:tcW w:w="1400" w:type="dxa"/>
            <w:vAlign w:val="center"/>
          </w:tcPr>
          <w:p>
            <w:pPr>
              <w:autoSpaceDE w:val="0"/>
              <w:autoSpaceDN w:val="0"/>
              <w:spacing w:line="32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restart"/>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年度总体</w:t>
            </w:r>
          </w:p>
          <w:p>
            <w:pPr>
              <w:autoSpaceDE w:val="0"/>
              <w:autoSpaceDN w:val="0"/>
              <w:spacing w:line="320" w:lineRule="exact"/>
              <w:jc w:val="center"/>
              <w:rPr>
                <w:rFonts w:eastAsia="宋体"/>
                <w:kern w:val="0"/>
                <w:sz w:val="21"/>
                <w:szCs w:val="21"/>
              </w:rPr>
            </w:pPr>
            <w:r>
              <w:rPr>
                <w:rFonts w:hAnsi="宋体" w:eastAsia="宋体"/>
                <w:kern w:val="0"/>
                <w:sz w:val="21"/>
                <w:szCs w:val="21"/>
              </w:rPr>
              <w:t>目标</w:t>
            </w:r>
          </w:p>
        </w:tc>
        <w:tc>
          <w:tcPr>
            <w:tcW w:w="4520" w:type="dxa"/>
            <w:gridSpan w:val="4"/>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预期目标</w:t>
            </w:r>
          </w:p>
        </w:tc>
        <w:tc>
          <w:tcPr>
            <w:tcW w:w="4180" w:type="dxa"/>
            <w:gridSpan w:val="4"/>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实际完成情况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tcPr>
          <w:p>
            <w:pPr>
              <w:autoSpaceDE w:val="0"/>
              <w:autoSpaceDN w:val="0"/>
              <w:spacing w:line="320" w:lineRule="exact"/>
              <w:jc w:val="center"/>
              <w:rPr>
                <w:rFonts w:eastAsia="宋体"/>
                <w:kern w:val="0"/>
                <w:sz w:val="21"/>
                <w:szCs w:val="21"/>
              </w:rPr>
            </w:pPr>
          </w:p>
        </w:tc>
        <w:tc>
          <w:tcPr>
            <w:tcW w:w="4520" w:type="dxa"/>
            <w:gridSpan w:val="4"/>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40</w:t>
            </w:r>
          </w:p>
        </w:tc>
        <w:tc>
          <w:tcPr>
            <w:tcW w:w="4180" w:type="dxa"/>
            <w:gridSpan w:val="4"/>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exact"/>
        </w:trPr>
        <w:tc>
          <w:tcPr>
            <w:tcW w:w="1020" w:type="dxa"/>
            <w:vMerge w:val="restart"/>
          </w:tcPr>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00" w:lineRule="atLeast"/>
              <w:jc w:val="center"/>
              <w:rPr>
                <w:rFonts w:eastAsia="宋体"/>
                <w:kern w:val="0"/>
                <w:sz w:val="21"/>
                <w:szCs w:val="21"/>
              </w:rPr>
            </w:pPr>
          </w:p>
          <w:p>
            <w:pPr>
              <w:autoSpaceDE w:val="0"/>
              <w:autoSpaceDN w:val="0"/>
              <w:spacing w:before="20" w:line="240" w:lineRule="exact"/>
              <w:jc w:val="center"/>
              <w:rPr>
                <w:rFonts w:eastAsia="宋体"/>
                <w:kern w:val="0"/>
                <w:sz w:val="21"/>
                <w:szCs w:val="21"/>
              </w:rPr>
            </w:pPr>
            <w:r>
              <w:rPr>
                <w:rFonts w:hAnsi="宋体" w:eastAsia="宋体"/>
                <w:kern w:val="0"/>
                <w:sz w:val="21"/>
                <w:szCs w:val="21"/>
              </w:rPr>
              <w:t>绩</w:t>
            </w:r>
          </w:p>
          <w:p>
            <w:pPr>
              <w:autoSpaceDE w:val="0"/>
              <w:autoSpaceDN w:val="0"/>
              <w:spacing w:before="20" w:line="240" w:lineRule="exact"/>
              <w:jc w:val="center"/>
              <w:rPr>
                <w:rFonts w:eastAsia="宋体"/>
                <w:kern w:val="0"/>
                <w:sz w:val="21"/>
                <w:szCs w:val="21"/>
              </w:rPr>
            </w:pPr>
            <w:r>
              <w:rPr>
                <w:rFonts w:hAnsi="宋体" w:eastAsia="宋体"/>
                <w:kern w:val="0"/>
                <w:sz w:val="21"/>
                <w:szCs w:val="21"/>
              </w:rPr>
              <w:t>效</w:t>
            </w:r>
          </w:p>
          <w:p>
            <w:pPr>
              <w:autoSpaceDE w:val="0"/>
              <w:autoSpaceDN w:val="0"/>
              <w:spacing w:before="20" w:line="240" w:lineRule="exact"/>
              <w:jc w:val="center"/>
              <w:rPr>
                <w:rFonts w:eastAsia="宋体"/>
                <w:kern w:val="0"/>
                <w:sz w:val="21"/>
                <w:szCs w:val="21"/>
              </w:rPr>
            </w:pPr>
            <w:r>
              <w:rPr>
                <w:rFonts w:hAnsi="宋体" w:eastAsia="宋体"/>
                <w:kern w:val="0"/>
                <w:sz w:val="21"/>
                <w:szCs w:val="21"/>
              </w:rPr>
              <w:t>指</w:t>
            </w:r>
          </w:p>
          <w:p>
            <w:pPr>
              <w:autoSpaceDE w:val="0"/>
              <w:autoSpaceDN w:val="0"/>
              <w:spacing w:before="20" w:line="240" w:lineRule="exact"/>
              <w:jc w:val="center"/>
              <w:rPr>
                <w:rFonts w:eastAsia="宋体"/>
                <w:kern w:val="0"/>
                <w:sz w:val="21"/>
                <w:szCs w:val="21"/>
              </w:rPr>
            </w:pPr>
            <w:r>
              <w:rPr>
                <w:rFonts w:hAnsi="宋体" w:eastAsia="宋体"/>
                <w:kern w:val="0"/>
                <w:sz w:val="21"/>
                <w:szCs w:val="21"/>
              </w:rPr>
              <w:t>标</w:t>
            </w:r>
          </w:p>
        </w:tc>
        <w:tc>
          <w:tcPr>
            <w:tcW w:w="110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一级指标</w:t>
            </w:r>
          </w:p>
        </w:tc>
        <w:tc>
          <w:tcPr>
            <w:tcW w:w="94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二级指标</w:t>
            </w:r>
          </w:p>
        </w:tc>
        <w:tc>
          <w:tcPr>
            <w:tcW w:w="122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三级指标</w:t>
            </w:r>
          </w:p>
        </w:tc>
        <w:tc>
          <w:tcPr>
            <w:tcW w:w="12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年度指标值</w:t>
            </w:r>
          </w:p>
        </w:tc>
        <w:tc>
          <w:tcPr>
            <w:tcW w:w="12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实际完成值</w:t>
            </w:r>
          </w:p>
        </w:tc>
        <w:tc>
          <w:tcPr>
            <w:tcW w:w="6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分值</w:t>
            </w:r>
          </w:p>
        </w:tc>
        <w:tc>
          <w:tcPr>
            <w:tcW w:w="8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自评得分</w:t>
            </w:r>
          </w:p>
        </w:tc>
        <w:tc>
          <w:tcPr>
            <w:tcW w:w="1400" w:type="dxa"/>
          </w:tcPr>
          <w:p>
            <w:pPr>
              <w:autoSpaceDE w:val="0"/>
              <w:autoSpaceDN w:val="0"/>
              <w:spacing w:before="20" w:line="240" w:lineRule="exact"/>
              <w:jc w:val="center"/>
              <w:rPr>
                <w:rFonts w:eastAsia="宋体"/>
                <w:kern w:val="0"/>
                <w:sz w:val="21"/>
                <w:szCs w:val="21"/>
              </w:rPr>
            </w:pPr>
            <w:r>
              <w:rPr>
                <w:rFonts w:hAnsi="宋体" w:eastAsia="宋体"/>
                <w:kern w:val="0"/>
                <w:sz w:val="21"/>
                <w:szCs w:val="21"/>
              </w:rPr>
              <w:t>偏差原因分析</w:t>
            </w:r>
          </w:p>
          <w:p>
            <w:pPr>
              <w:autoSpaceDE w:val="0"/>
              <w:autoSpaceDN w:val="0"/>
              <w:spacing w:before="20" w:line="240" w:lineRule="exact"/>
              <w:jc w:val="center"/>
              <w:rPr>
                <w:rFonts w:eastAsia="宋体"/>
                <w:kern w:val="0"/>
                <w:sz w:val="21"/>
                <w:szCs w:val="21"/>
              </w:rPr>
            </w:pPr>
            <w:r>
              <w:rPr>
                <w:rFonts w:hAnsi="宋体" w:eastAsia="宋体"/>
                <w:kern w:val="0"/>
                <w:sz w:val="21"/>
                <w:szCs w:val="21"/>
              </w:rPr>
              <w:t>及改进措施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restart"/>
          </w:tcPr>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r>
              <w:rPr>
                <w:rFonts w:hAnsi="宋体" w:eastAsia="宋体"/>
                <w:kern w:val="0"/>
                <w:sz w:val="21"/>
                <w:szCs w:val="21"/>
              </w:rPr>
              <w:t>产出指标</w:t>
            </w:r>
          </w:p>
          <w:p>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50</w:t>
            </w:r>
            <w:r>
              <w:rPr>
                <w:rFonts w:hAnsi="宋体" w:eastAsia="宋体"/>
                <w:kern w:val="0"/>
                <w:sz w:val="21"/>
                <w:szCs w:val="21"/>
              </w:rPr>
              <w:t>分）</w:t>
            </w: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数量</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vAlign w:val="center"/>
          </w:tcPr>
          <w:p>
            <w:pPr>
              <w:autoSpaceDE w:val="0"/>
              <w:autoSpaceDN w:val="0"/>
              <w:spacing w:line="300" w:lineRule="exact"/>
              <w:jc w:val="center"/>
              <w:rPr>
                <w:rFonts w:ascii="思源黑体" w:hAnsi="思源黑体" w:eastAsia="思源黑体" w:cs="思源黑体"/>
                <w:color w:val="000000"/>
                <w:sz w:val="15"/>
                <w:szCs w:val="15"/>
              </w:rPr>
            </w:pPr>
            <w:r>
              <w:rPr>
                <w:rFonts w:eastAsia="宋体"/>
                <w:kern w:val="0"/>
                <w:sz w:val="15"/>
                <w:szCs w:val="15"/>
              </w:rPr>
              <w:t>完成省市县重点工作任务</w:t>
            </w:r>
            <w:r>
              <w:rPr>
                <w:rFonts w:ascii="思源黑体" w:hAnsi="思源黑体" w:eastAsia="思源黑体" w:cs="思源黑体"/>
                <w:color w:val="000000"/>
                <w:kern w:val="0"/>
                <w:sz w:val="15"/>
                <w:szCs w:val="15"/>
              </w:rPr>
              <w:t>资金情况</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20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20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widowControl/>
              <w:jc w:val="left"/>
              <w:textAlignment w:val="center"/>
              <w:rPr>
                <w:rFonts w:eastAsia="宋体"/>
                <w:kern w:val="0"/>
                <w:sz w:val="15"/>
                <w:szCs w:val="15"/>
              </w:rPr>
            </w:pPr>
          </w:p>
        </w:tc>
        <w:tc>
          <w:tcPr>
            <w:tcW w:w="1260" w:type="dxa"/>
          </w:tcPr>
          <w:p>
            <w:pPr>
              <w:autoSpaceDE w:val="0"/>
              <w:autoSpaceDN w:val="0"/>
              <w:spacing w:line="300" w:lineRule="exact"/>
              <w:rPr>
                <w:rFonts w:eastAsia="宋体"/>
                <w:kern w:val="0"/>
                <w:sz w:val="15"/>
                <w:szCs w:val="15"/>
              </w:rPr>
            </w:pPr>
          </w:p>
        </w:tc>
        <w:tc>
          <w:tcPr>
            <w:tcW w:w="1260" w:type="dxa"/>
          </w:tcPr>
          <w:p>
            <w:pPr>
              <w:autoSpaceDE w:val="0"/>
              <w:autoSpaceDN w:val="0"/>
              <w:spacing w:line="300" w:lineRule="exact"/>
              <w:rPr>
                <w:rFonts w:eastAsia="宋体"/>
                <w:kern w:val="0"/>
                <w:sz w:val="15"/>
                <w:szCs w:val="15"/>
              </w:rPr>
            </w:pPr>
          </w:p>
        </w:tc>
        <w:tc>
          <w:tcPr>
            <w:tcW w:w="660" w:type="dxa"/>
          </w:tcPr>
          <w:p>
            <w:pPr>
              <w:autoSpaceDE w:val="0"/>
              <w:autoSpaceDN w:val="0"/>
              <w:spacing w:line="300" w:lineRule="exact"/>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质量</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高质量完成重点任务干部大学</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时效</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拆迁安置补偿及时率</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hint="eastAsia" w:eastAsia="宋体"/>
                <w:kern w:val="0"/>
                <w:sz w:val="15"/>
                <w:szCs w:val="15"/>
                <w:lang w:eastAsia="zh-CN"/>
              </w:rPr>
            </w:pPr>
            <w:r>
              <w:rPr>
                <w:rFonts w:hint="eastAsia" w:eastAsia="宋体"/>
                <w:kern w:val="0"/>
                <w:sz w:val="15"/>
                <w:szCs w:val="15"/>
                <w:lang w:val="en-US" w:eastAsia="zh-CN"/>
              </w:rPr>
              <w:t>9</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成本</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保证整体工作正常推进行</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restart"/>
          </w:tcPr>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r>
              <w:rPr>
                <w:rFonts w:hAnsi="宋体" w:eastAsia="宋体"/>
                <w:kern w:val="0"/>
                <w:sz w:val="21"/>
                <w:szCs w:val="21"/>
              </w:rPr>
              <w:t>效益指标</w:t>
            </w:r>
          </w:p>
          <w:p>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30</w:t>
            </w:r>
            <w:r>
              <w:rPr>
                <w:rFonts w:hAnsi="宋体" w:eastAsia="宋体"/>
                <w:kern w:val="0"/>
                <w:sz w:val="21"/>
                <w:szCs w:val="21"/>
              </w:rPr>
              <w:t>分）</w:t>
            </w: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经济效</w:t>
            </w:r>
          </w:p>
          <w:p>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vAlign w:val="center"/>
          </w:tcPr>
          <w:p>
            <w:pPr>
              <w:widowControl/>
              <w:jc w:val="left"/>
              <w:textAlignment w:val="center"/>
              <w:rPr>
                <w:rFonts w:ascii="思源黑体" w:hAnsi="思源黑体" w:eastAsia="思源黑体" w:cs="思源黑体"/>
                <w:color w:val="000000"/>
                <w:sz w:val="15"/>
                <w:szCs w:val="15"/>
              </w:rPr>
            </w:pPr>
            <w:r>
              <w:rPr>
                <w:rFonts w:eastAsia="宋体"/>
                <w:kern w:val="0"/>
                <w:sz w:val="15"/>
                <w:szCs w:val="15"/>
              </w:rPr>
              <w:t>各项补偿到位</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社会效</w:t>
            </w:r>
          </w:p>
          <w:p>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安置到位</w:t>
            </w:r>
          </w:p>
        </w:tc>
        <w:tc>
          <w:tcPr>
            <w:tcW w:w="1260" w:type="dxa"/>
            <w:vAlign w:val="center"/>
          </w:tcPr>
          <w:p>
            <w:pPr>
              <w:widowControl/>
              <w:jc w:val="center"/>
              <w:textAlignment w:val="center"/>
              <w:rPr>
                <w:rFonts w:ascii="思源黑体" w:hAnsi="思源黑体" w:eastAsia="思源黑体" w:cs="思源黑体"/>
                <w:color w:val="000000"/>
                <w:sz w:val="24"/>
              </w:rPr>
            </w:pPr>
            <w:r>
              <w:rPr>
                <w:rFonts w:eastAsia="宋体"/>
                <w:kern w:val="0"/>
                <w:sz w:val="15"/>
                <w:szCs w:val="15"/>
              </w:rPr>
              <w:t>持续向好</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合格</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hint="eastAsia" w:eastAsia="宋体"/>
                <w:kern w:val="0"/>
                <w:sz w:val="15"/>
                <w:szCs w:val="15"/>
                <w:lang w:eastAsia="zh-CN"/>
              </w:rPr>
            </w:pPr>
            <w:r>
              <w:rPr>
                <w:rFonts w:hint="eastAsia" w:eastAsia="宋体"/>
                <w:kern w:val="0"/>
                <w:sz w:val="15"/>
                <w:szCs w:val="15"/>
                <w:lang w:val="en-US" w:eastAsia="zh-CN"/>
              </w:rPr>
              <w:t>9</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生态效</w:t>
            </w:r>
          </w:p>
          <w:p>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vAlign w:val="center"/>
          </w:tcPr>
          <w:p>
            <w:pPr>
              <w:widowControl/>
              <w:jc w:val="left"/>
              <w:textAlignment w:val="center"/>
              <w:rPr>
                <w:rFonts w:ascii="思源黑体" w:hAnsi="思源黑体" w:eastAsia="思源黑体" w:cs="思源黑体"/>
                <w:color w:val="000000"/>
                <w:sz w:val="24"/>
              </w:rPr>
            </w:pPr>
            <w:r>
              <w:rPr>
                <w:rFonts w:eastAsia="宋体"/>
                <w:kern w:val="0"/>
                <w:sz w:val="15"/>
                <w:szCs w:val="15"/>
              </w:rPr>
              <w:t>节约工作中资源</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好</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优</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可持续</w:t>
            </w:r>
          </w:p>
          <w:p>
            <w:pPr>
              <w:autoSpaceDE w:val="0"/>
              <w:autoSpaceDN w:val="0"/>
              <w:spacing w:before="20" w:line="240" w:lineRule="exact"/>
              <w:jc w:val="center"/>
              <w:rPr>
                <w:rFonts w:eastAsia="宋体"/>
                <w:kern w:val="0"/>
                <w:sz w:val="21"/>
                <w:szCs w:val="21"/>
              </w:rPr>
            </w:pPr>
            <w:r>
              <w:rPr>
                <w:rFonts w:hAnsi="宋体" w:eastAsia="宋体"/>
                <w:kern w:val="0"/>
                <w:sz w:val="21"/>
                <w:szCs w:val="21"/>
              </w:rPr>
              <w:t>影响指</w:t>
            </w:r>
          </w:p>
          <w:p>
            <w:pPr>
              <w:autoSpaceDE w:val="0"/>
              <w:autoSpaceDN w:val="0"/>
              <w:spacing w:before="20" w:line="240" w:lineRule="exact"/>
              <w:jc w:val="center"/>
              <w:rPr>
                <w:rFonts w:eastAsia="宋体"/>
                <w:kern w:val="0"/>
                <w:sz w:val="21"/>
                <w:szCs w:val="21"/>
              </w:rPr>
            </w:pPr>
            <w:r>
              <w:rPr>
                <w:rFonts w:hAnsi="宋体" w:eastAsia="宋体"/>
                <w:kern w:val="0"/>
                <w:sz w:val="21"/>
                <w:szCs w:val="21"/>
              </w:rPr>
              <w:t>标</w:t>
            </w:r>
          </w:p>
        </w:tc>
        <w:tc>
          <w:tcPr>
            <w:tcW w:w="1220" w:type="dxa"/>
          </w:tcPr>
          <w:p>
            <w:pPr>
              <w:autoSpaceDE w:val="0"/>
              <w:autoSpaceDN w:val="0"/>
              <w:spacing w:line="300" w:lineRule="exact"/>
              <w:rPr>
                <w:rFonts w:eastAsia="宋体"/>
                <w:kern w:val="0"/>
                <w:sz w:val="15"/>
                <w:szCs w:val="15"/>
              </w:rPr>
            </w:pPr>
            <w:r>
              <w:rPr>
                <w:rFonts w:hint="eastAsia" w:eastAsia="宋体"/>
                <w:kern w:val="0"/>
                <w:sz w:val="15"/>
                <w:szCs w:val="15"/>
              </w:rPr>
              <w:t>单位运行情况正常</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restart"/>
          </w:tcPr>
          <w:p>
            <w:pPr>
              <w:autoSpaceDE w:val="0"/>
              <w:autoSpaceDN w:val="0"/>
              <w:spacing w:before="20" w:line="240" w:lineRule="exact"/>
              <w:jc w:val="center"/>
              <w:rPr>
                <w:rFonts w:eastAsia="宋体"/>
                <w:kern w:val="0"/>
                <w:sz w:val="21"/>
                <w:szCs w:val="21"/>
              </w:rPr>
            </w:pPr>
            <w:r>
              <w:rPr>
                <w:rFonts w:hAnsi="宋体" w:eastAsia="宋体"/>
                <w:kern w:val="0"/>
                <w:sz w:val="21"/>
                <w:szCs w:val="21"/>
              </w:rPr>
              <w:t>满意度</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p>
            <w:pPr>
              <w:autoSpaceDE w:val="0"/>
              <w:autoSpaceDN w:val="0"/>
              <w:spacing w:before="20" w:line="240" w:lineRule="exact"/>
              <w:jc w:val="center"/>
              <w:rPr>
                <w:rFonts w:eastAsia="宋体"/>
                <w:kern w:val="0"/>
                <w:sz w:val="21"/>
                <w:szCs w:val="21"/>
              </w:rPr>
            </w:pPr>
            <w:r>
              <w:rPr>
                <w:rFonts w:hAnsi="宋体" w:eastAsia="宋体"/>
                <w:kern w:val="0"/>
                <w:sz w:val="21"/>
                <w:szCs w:val="21"/>
              </w:rPr>
              <w:t>（</w:t>
            </w:r>
            <w:r>
              <w:rPr>
                <w:rFonts w:eastAsia="宋体"/>
                <w:kern w:val="0"/>
                <w:sz w:val="21"/>
                <w:szCs w:val="21"/>
              </w:rPr>
              <w:t>10</w:t>
            </w:r>
            <w:r>
              <w:rPr>
                <w:rFonts w:hAnsi="宋体" w:eastAsia="宋体"/>
                <w:kern w:val="0"/>
                <w:sz w:val="21"/>
                <w:szCs w:val="21"/>
              </w:rPr>
              <w:t>分）</w:t>
            </w: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服务对</w:t>
            </w:r>
          </w:p>
          <w:p>
            <w:pPr>
              <w:autoSpaceDE w:val="0"/>
              <w:autoSpaceDN w:val="0"/>
              <w:spacing w:before="20" w:line="240" w:lineRule="exact"/>
              <w:jc w:val="center"/>
              <w:rPr>
                <w:rFonts w:eastAsia="宋体"/>
                <w:kern w:val="0"/>
                <w:sz w:val="21"/>
                <w:szCs w:val="21"/>
              </w:rPr>
            </w:pPr>
            <w:r>
              <w:rPr>
                <w:rFonts w:hAnsi="宋体" w:eastAsia="宋体"/>
                <w:kern w:val="0"/>
                <w:sz w:val="21"/>
                <w:szCs w:val="21"/>
              </w:rPr>
              <w:t>象满意</w:t>
            </w:r>
          </w:p>
          <w:p>
            <w:pPr>
              <w:autoSpaceDE w:val="0"/>
              <w:autoSpaceDN w:val="0"/>
              <w:spacing w:before="20" w:line="240" w:lineRule="exact"/>
              <w:jc w:val="center"/>
              <w:rPr>
                <w:rFonts w:eastAsia="宋体"/>
                <w:kern w:val="0"/>
                <w:sz w:val="21"/>
                <w:szCs w:val="21"/>
              </w:rPr>
            </w:pPr>
            <w:r>
              <w:rPr>
                <w:rFonts w:hAnsi="宋体" w:eastAsia="宋体"/>
                <w:kern w:val="0"/>
                <w:sz w:val="21"/>
                <w:szCs w:val="21"/>
              </w:rPr>
              <w:t>度指标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各项工作满意</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90%以上</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660" w:type="dxa"/>
          </w:tcPr>
          <w:p>
            <w:pPr>
              <w:autoSpaceDE w:val="0"/>
              <w:autoSpaceDN w:val="0"/>
              <w:spacing w:before="20" w:line="340" w:lineRule="atLeast"/>
              <w:jc w:val="center"/>
              <w:rPr>
                <w:rFonts w:eastAsia="宋体"/>
                <w:kern w:val="0"/>
                <w:sz w:val="21"/>
                <w:szCs w:val="21"/>
              </w:rPr>
            </w:pPr>
          </w:p>
        </w:tc>
        <w:tc>
          <w:tcPr>
            <w:tcW w:w="860" w:type="dxa"/>
          </w:tcPr>
          <w:p>
            <w:pPr>
              <w:autoSpaceDE w:val="0"/>
              <w:autoSpaceDN w:val="0"/>
              <w:spacing w:before="20" w:line="340" w:lineRule="atLeast"/>
              <w:jc w:val="center"/>
              <w:rPr>
                <w:rFonts w:eastAsia="宋体"/>
                <w:kern w:val="0"/>
                <w:sz w:val="21"/>
                <w:szCs w:val="21"/>
              </w:rPr>
            </w:pPr>
          </w:p>
        </w:tc>
        <w:tc>
          <w:tcPr>
            <w:tcW w:w="1400" w:type="dxa"/>
          </w:tcPr>
          <w:p>
            <w:pPr>
              <w:autoSpaceDE w:val="0"/>
              <w:autoSpaceDN w:val="0"/>
              <w:spacing w:before="20" w:line="340" w:lineRule="atLeas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660" w:type="dxa"/>
          </w:tcPr>
          <w:p>
            <w:pPr>
              <w:autoSpaceDE w:val="0"/>
              <w:autoSpaceDN w:val="0"/>
              <w:spacing w:before="20" w:line="340" w:lineRule="atLeast"/>
              <w:jc w:val="center"/>
              <w:rPr>
                <w:rFonts w:eastAsia="宋体"/>
                <w:kern w:val="0"/>
                <w:sz w:val="21"/>
                <w:szCs w:val="21"/>
              </w:rPr>
            </w:pPr>
          </w:p>
        </w:tc>
        <w:tc>
          <w:tcPr>
            <w:tcW w:w="860" w:type="dxa"/>
          </w:tcPr>
          <w:p>
            <w:pPr>
              <w:autoSpaceDE w:val="0"/>
              <w:autoSpaceDN w:val="0"/>
              <w:spacing w:before="20" w:line="340" w:lineRule="atLeast"/>
              <w:jc w:val="center"/>
              <w:rPr>
                <w:rFonts w:eastAsia="宋体"/>
                <w:kern w:val="0"/>
                <w:sz w:val="21"/>
                <w:szCs w:val="21"/>
              </w:rPr>
            </w:pPr>
          </w:p>
        </w:tc>
        <w:tc>
          <w:tcPr>
            <w:tcW w:w="1400" w:type="dxa"/>
          </w:tcPr>
          <w:p>
            <w:pPr>
              <w:autoSpaceDE w:val="0"/>
              <w:autoSpaceDN w:val="0"/>
              <w:spacing w:before="20" w:line="340" w:lineRule="atLeas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exact"/>
        </w:trPr>
        <w:tc>
          <w:tcPr>
            <w:tcW w:w="6800" w:type="dxa"/>
            <w:gridSpan w:val="6"/>
          </w:tcPr>
          <w:p>
            <w:pPr>
              <w:autoSpaceDE w:val="0"/>
              <w:autoSpaceDN w:val="0"/>
              <w:spacing w:line="320" w:lineRule="exact"/>
              <w:jc w:val="center"/>
              <w:rPr>
                <w:rFonts w:eastAsia="宋体"/>
                <w:kern w:val="0"/>
                <w:sz w:val="21"/>
                <w:szCs w:val="21"/>
              </w:rPr>
            </w:pPr>
            <w:r>
              <w:rPr>
                <w:rFonts w:hAnsi="宋体" w:eastAsia="宋体"/>
                <w:kern w:val="0"/>
                <w:sz w:val="21"/>
                <w:szCs w:val="21"/>
              </w:rPr>
              <w:t>总分</w:t>
            </w:r>
          </w:p>
        </w:tc>
        <w:tc>
          <w:tcPr>
            <w:tcW w:w="660" w:type="dxa"/>
          </w:tcPr>
          <w:p>
            <w:pPr>
              <w:autoSpaceDE w:val="0"/>
              <w:autoSpaceDN w:val="0"/>
              <w:spacing w:line="320" w:lineRule="exact"/>
              <w:jc w:val="center"/>
              <w:rPr>
                <w:rFonts w:eastAsia="宋体"/>
                <w:kern w:val="0"/>
                <w:sz w:val="21"/>
                <w:szCs w:val="21"/>
              </w:rPr>
            </w:pPr>
            <w:r>
              <w:rPr>
                <w:rFonts w:eastAsia="宋体"/>
                <w:kern w:val="0"/>
                <w:sz w:val="21"/>
                <w:szCs w:val="21"/>
              </w:rPr>
              <w:t>100</w:t>
            </w:r>
          </w:p>
        </w:tc>
        <w:tc>
          <w:tcPr>
            <w:tcW w:w="860" w:type="dxa"/>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98</w:t>
            </w:r>
          </w:p>
        </w:tc>
        <w:tc>
          <w:tcPr>
            <w:tcW w:w="1400" w:type="dxa"/>
          </w:tcPr>
          <w:p>
            <w:pPr>
              <w:autoSpaceDE w:val="0"/>
              <w:autoSpaceDN w:val="0"/>
              <w:spacing w:line="320" w:lineRule="exact"/>
              <w:jc w:val="center"/>
              <w:rPr>
                <w:rFonts w:eastAsia="宋体"/>
                <w:kern w:val="0"/>
                <w:sz w:val="21"/>
                <w:szCs w:val="21"/>
              </w:rPr>
            </w:pPr>
          </w:p>
        </w:tc>
      </w:tr>
    </w:tbl>
    <w:p>
      <w:pPr>
        <w:autoSpaceDE w:val="0"/>
        <w:autoSpaceDN w:val="0"/>
        <w:spacing w:line="320" w:lineRule="exact"/>
        <w:rPr>
          <w:rFonts w:eastAsia="宋体"/>
          <w:kern w:val="0"/>
          <w:sz w:val="21"/>
          <w:szCs w:val="21"/>
        </w:rPr>
      </w:pPr>
      <w:r>
        <w:rPr>
          <w:rFonts w:hAnsi="宋体" w:eastAsia="宋体"/>
          <w:kern w:val="0"/>
          <w:sz w:val="21"/>
          <w:szCs w:val="21"/>
        </w:rPr>
        <w:t>备注：每个项目支出一张表。</w:t>
      </w:r>
    </w:p>
    <w:p>
      <w:pPr>
        <w:spacing w:line="560" w:lineRule="exact"/>
        <w:jc w:val="left"/>
        <w:rPr>
          <w:rFonts w:eastAsia="黑体"/>
          <w:bCs/>
          <w:kern w:val="0"/>
          <w:szCs w:val="32"/>
        </w:rPr>
      </w:pPr>
      <w:r>
        <w:rPr>
          <w:rFonts w:hAnsi="宋体" w:eastAsia="宋体"/>
          <w:kern w:val="0"/>
          <w:sz w:val="21"/>
          <w:szCs w:val="21"/>
        </w:rPr>
        <w:t>填表人：</w:t>
      </w:r>
      <w:r>
        <w:rPr>
          <w:rFonts w:hint="eastAsia" w:hAnsi="宋体" w:eastAsia="宋体"/>
          <w:kern w:val="0"/>
          <w:sz w:val="21"/>
          <w:szCs w:val="21"/>
          <w:lang w:eastAsia="zh-CN"/>
        </w:rPr>
        <w:t>薛卫华</w:t>
      </w:r>
      <w:r>
        <w:rPr>
          <w:rFonts w:hint="eastAsia" w:hAnsi="宋体"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2024.4.18</w:t>
      </w:r>
      <w:r>
        <w:rPr>
          <w:rFonts w:hint="eastAsia" w:hAnsi="宋体" w:eastAsia="宋体"/>
          <w:kern w:val="0"/>
          <w:sz w:val="21"/>
          <w:szCs w:val="21"/>
        </w:rPr>
        <w:t xml:space="preserve">     </w:t>
      </w:r>
      <w:r>
        <w:rPr>
          <w:rFonts w:hAnsi="宋体" w:eastAsia="宋体"/>
          <w:kern w:val="0"/>
          <w:sz w:val="21"/>
          <w:szCs w:val="21"/>
        </w:rPr>
        <w:t>联系电话：</w:t>
      </w:r>
      <w:r>
        <w:rPr>
          <w:rFonts w:hint="eastAsia" w:hAnsi="宋体" w:eastAsia="宋体"/>
          <w:kern w:val="0"/>
          <w:sz w:val="21"/>
          <w:szCs w:val="21"/>
          <w:lang w:val="en-US" w:eastAsia="zh-CN"/>
        </w:rPr>
        <w:t>8822798</w:t>
      </w:r>
      <w:r>
        <w:rPr>
          <w:rFonts w:hint="eastAsia" w:hAnsi="宋体" w:eastAsia="宋体"/>
          <w:kern w:val="0"/>
          <w:sz w:val="21"/>
          <w:szCs w:val="21"/>
        </w:rPr>
        <w:t xml:space="preserve">  </w:t>
      </w:r>
      <w:r>
        <w:rPr>
          <w:rFonts w:hAnsi="宋体" w:eastAsia="宋体"/>
          <w:kern w:val="0"/>
          <w:sz w:val="21"/>
          <w:szCs w:val="21"/>
        </w:rPr>
        <w:t>单位负责人签字：</w:t>
      </w:r>
      <w:r>
        <w:rPr>
          <w:rFonts w:hint="eastAsia" w:hAnsi="宋体" w:eastAsia="宋体"/>
          <w:kern w:val="0"/>
          <w:sz w:val="21"/>
          <w:szCs w:val="21"/>
          <w:lang w:val="en-US" w:eastAsia="zh-CN"/>
        </w:rPr>
        <w:t xml:space="preserve">       </w:t>
      </w:r>
      <w:r>
        <w:rPr>
          <w:rFonts w:eastAsia="黑体"/>
          <w:bCs/>
          <w:kern w:val="0"/>
          <w:szCs w:val="32"/>
        </w:rPr>
        <w:t>附件4</w:t>
      </w:r>
    </w:p>
    <w:p>
      <w:pPr>
        <w:spacing w:line="560" w:lineRule="exact"/>
        <w:jc w:val="center"/>
        <w:rPr>
          <w:rFonts w:eastAsia="方正小标宋简体"/>
          <w:sz w:val="44"/>
          <w:szCs w:val="44"/>
        </w:rPr>
      </w:pPr>
      <w:r>
        <w:rPr>
          <w:rFonts w:eastAsia="方正小标宋简体"/>
          <w:bCs/>
          <w:kern w:val="0"/>
          <w:sz w:val="44"/>
          <w:szCs w:val="44"/>
        </w:rPr>
        <w:t>桃江县2023年度项目支出绩效自评表</w:t>
      </w:r>
    </w:p>
    <w:tbl>
      <w:tblPr>
        <w:tblStyle w:val="6"/>
        <w:tblpPr w:leftFromText="180" w:rightFromText="180" w:vertAnchor="text" w:horzAnchor="page" w:tblpX="1227" w:tblpY="172"/>
        <w:tblOverlap w:val="never"/>
        <w:tblW w:w="97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20"/>
        <w:gridCol w:w="1100"/>
        <w:gridCol w:w="940"/>
        <w:gridCol w:w="1220"/>
        <w:gridCol w:w="1260"/>
        <w:gridCol w:w="1260"/>
        <w:gridCol w:w="660"/>
        <w:gridCol w:w="860"/>
        <w:gridCol w:w="14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3060" w:type="dxa"/>
            <w:gridSpan w:val="3"/>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项目支出名称</w:t>
            </w:r>
          </w:p>
        </w:tc>
        <w:tc>
          <w:tcPr>
            <w:tcW w:w="6660" w:type="dxa"/>
            <w:gridSpan w:val="6"/>
            <w:vAlign w:val="center"/>
          </w:tcPr>
          <w:p>
            <w:pPr>
              <w:autoSpaceDE w:val="0"/>
              <w:autoSpaceDN w:val="0"/>
              <w:spacing w:line="320" w:lineRule="exact"/>
              <w:jc w:val="center"/>
              <w:rPr>
                <w:rFonts w:eastAsia="宋体"/>
                <w:kern w:val="0"/>
                <w:sz w:val="21"/>
                <w:szCs w:val="21"/>
              </w:rPr>
            </w:pPr>
            <w:r>
              <w:rPr>
                <w:rFonts w:hint="eastAsia" w:eastAsia="宋体"/>
                <w:kern w:val="0"/>
                <w:sz w:val="21"/>
                <w:szCs w:val="21"/>
                <w:lang w:eastAsia="zh-CN"/>
              </w:rPr>
              <w:t>绩效奖励、住房公积金、养老保险</w:t>
            </w:r>
            <w:r>
              <w:rPr>
                <w:rFonts w:hint="eastAsia" w:eastAsia="宋体"/>
                <w:kern w:val="0"/>
                <w:sz w:val="21"/>
                <w:szCs w:val="21"/>
              </w:rPr>
              <w:t>专项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主管部门</w:t>
            </w:r>
          </w:p>
        </w:tc>
        <w:tc>
          <w:tcPr>
            <w:tcW w:w="4520" w:type="dxa"/>
            <w:gridSpan w:val="4"/>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桃江县征地拆迁安置与房屋征收补偿事务中心</w:t>
            </w:r>
          </w:p>
        </w:tc>
        <w:tc>
          <w:tcPr>
            <w:tcW w:w="12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实施单位</w:t>
            </w:r>
          </w:p>
        </w:tc>
        <w:tc>
          <w:tcPr>
            <w:tcW w:w="2920" w:type="dxa"/>
            <w:gridSpan w:val="3"/>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桃江县征地拆迁安置与房屋征收补偿事务中心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restart"/>
            <w:vAlign w:val="center"/>
          </w:tcPr>
          <w:p>
            <w:pPr>
              <w:autoSpaceDE w:val="0"/>
              <w:autoSpaceDN w:val="0"/>
              <w:spacing w:line="320" w:lineRule="exact"/>
              <w:jc w:val="center"/>
              <w:rPr>
                <w:rFonts w:eastAsia="宋体"/>
                <w:kern w:val="0"/>
                <w:sz w:val="21"/>
                <w:szCs w:val="21"/>
              </w:rPr>
            </w:pPr>
          </w:p>
          <w:p>
            <w:pPr>
              <w:autoSpaceDE w:val="0"/>
              <w:autoSpaceDN w:val="0"/>
              <w:spacing w:line="320" w:lineRule="exact"/>
              <w:jc w:val="center"/>
              <w:rPr>
                <w:rFonts w:eastAsia="宋体"/>
                <w:kern w:val="0"/>
                <w:sz w:val="21"/>
                <w:szCs w:val="21"/>
              </w:rPr>
            </w:pPr>
          </w:p>
          <w:p>
            <w:pPr>
              <w:autoSpaceDE w:val="0"/>
              <w:autoSpaceDN w:val="0"/>
              <w:spacing w:line="320" w:lineRule="exact"/>
              <w:jc w:val="center"/>
              <w:rPr>
                <w:rFonts w:eastAsia="宋体"/>
                <w:kern w:val="0"/>
                <w:sz w:val="21"/>
                <w:szCs w:val="21"/>
              </w:rPr>
            </w:pPr>
            <w:r>
              <w:rPr>
                <w:rFonts w:hAnsi="宋体" w:eastAsia="宋体"/>
                <w:kern w:val="0"/>
                <w:sz w:val="21"/>
                <w:szCs w:val="21"/>
              </w:rPr>
              <w:t>项目资金</w:t>
            </w:r>
          </w:p>
          <w:p>
            <w:pPr>
              <w:autoSpaceDE w:val="0"/>
              <w:autoSpaceDN w:val="0"/>
              <w:spacing w:line="320" w:lineRule="exact"/>
              <w:jc w:val="center"/>
              <w:rPr>
                <w:rFonts w:eastAsia="宋体"/>
                <w:kern w:val="0"/>
                <w:sz w:val="21"/>
                <w:szCs w:val="21"/>
              </w:rPr>
            </w:pPr>
            <w:r>
              <w:rPr>
                <w:rFonts w:hAnsi="宋体" w:eastAsia="宋体"/>
                <w:kern w:val="0"/>
                <w:sz w:val="21"/>
                <w:szCs w:val="21"/>
              </w:rPr>
              <w:t>（万元）</w:t>
            </w:r>
          </w:p>
        </w:tc>
        <w:tc>
          <w:tcPr>
            <w:tcW w:w="2040" w:type="dxa"/>
            <w:gridSpan w:val="2"/>
            <w:vAlign w:val="center"/>
          </w:tcPr>
          <w:p>
            <w:pPr>
              <w:autoSpaceDE w:val="0"/>
              <w:autoSpaceDN w:val="0"/>
              <w:spacing w:line="320" w:lineRule="exact"/>
              <w:jc w:val="center"/>
              <w:rPr>
                <w:rFonts w:eastAsia="宋体"/>
                <w:kern w:val="0"/>
                <w:sz w:val="21"/>
                <w:szCs w:val="21"/>
              </w:rPr>
            </w:pPr>
          </w:p>
        </w:tc>
        <w:tc>
          <w:tcPr>
            <w:tcW w:w="122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年初预算数</w:t>
            </w:r>
          </w:p>
        </w:tc>
        <w:tc>
          <w:tcPr>
            <w:tcW w:w="12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全年预算数</w:t>
            </w:r>
          </w:p>
        </w:tc>
        <w:tc>
          <w:tcPr>
            <w:tcW w:w="12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全年执行数</w:t>
            </w:r>
          </w:p>
        </w:tc>
        <w:tc>
          <w:tcPr>
            <w:tcW w:w="6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分值</w:t>
            </w:r>
          </w:p>
        </w:tc>
        <w:tc>
          <w:tcPr>
            <w:tcW w:w="86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执行率</w:t>
            </w:r>
          </w:p>
        </w:tc>
        <w:tc>
          <w:tcPr>
            <w:tcW w:w="1400" w:type="dxa"/>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自评得分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rPr>
                <w:rFonts w:eastAsia="宋体"/>
                <w:kern w:val="0"/>
                <w:sz w:val="21"/>
                <w:szCs w:val="21"/>
              </w:rPr>
            </w:pPr>
            <w:r>
              <w:rPr>
                <w:rFonts w:hAnsi="宋体" w:eastAsia="宋体"/>
                <w:kern w:val="0"/>
                <w:sz w:val="21"/>
                <w:szCs w:val="21"/>
              </w:rPr>
              <w:t>年度资金总额</w:t>
            </w:r>
          </w:p>
        </w:tc>
        <w:tc>
          <w:tcPr>
            <w:tcW w:w="122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46.18</w:t>
            </w:r>
          </w:p>
        </w:tc>
        <w:tc>
          <w:tcPr>
            <w:tcW w:w="126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46.18</w:t>
            </w:r>
          </w:p>
        </w:tc>
        <w:tc>
          <w:tcPr>
            <w:tcW w:w="126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46.18</w:t>
            </w:r>
          </w:p>
        </w:tc>
        <w:tc>
          <w:tcPr>
            <w:tcW w:w="660" w:type="dxa"/>
            <w:vAlign w:val="center"/>
          </w:tcPr>
          <w:p>
            <w:pPr>
              <w:autoSpaceDE w:val="0"/>
              <w:autoSpaceDN w:val="0"/>
              <w:spacing w:line="320" w:lineRule="exact"/>
              <w:jc w:val="center"/>
              <w:rPr>
                <w:rFonts w:eastAsia="宋体"/>
                <w:kern w:val="0"/>
                <w:sz w:val="21"/>
                <w:szCs w:val="21"/>
              </w:rPr>
            </w:pPr>
            <w:r>
              <w:rPr>
                <w:rFonts w:eastAsia="宋体"/>
                <w:kern w:val="0"/>
                <w:sz w:val="21"/>
                <w:szCs w:val="21"/>
              </w:rPr>
              <w:t>10</w:t>
            </w:r>
          </w:p>
        </w:tc>
        <w:tc>
          <w:tcPr>
            <w:tcW w:w="8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100%</w:t>
            </w:r>
          </w:p>
        </w:tc>
        <w:tc>
          <w:tcPr>
            <w:tcW w:w="140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其中：当年财政拨款</w:t>
            </w:r>
          </w:p>
        </w:tc>
        <w:tc>
          <w:tcPr>
            <w:tcW w:w="122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46.18</w:t>
            </w:r>
          </w:p>
        </w:tc>
        <w:tc>
          <w:tcPr>
            <w:tcW w:w="126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46.18</w:t>
            </w:r>
          </w:p>
        </w:tc>
        <w:tc>
          <w:tcPr>
            <w:tcW w:w="1260" w:type="dxa"/>
            <w:vAlign w:val="center"/>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46.18</w:t>
            </w:r>
          </w:p>
        </w:tc>
        <w:tc>
          <w:tcPr>
            <w:tcW w:w="660" w:type="dxa"/>
            <w:vAlign w:val="center"/>
          </w:tcPr>
          <w:p>
            <w:pPr>
              <w:autoSpaceDE w:val="0"/>
              <w:autoSpaceDN w:val="0"/>
              <w:spacing w:line="320" w:lineRule="exact"/>
              <w:jc w:val="center"/>
              <w:rPr>
                <w:rFonts w:eastAsia="宋体"/>
                <w:kern w:val="0"/>
                <w:sz w:val="21"/>
                <w:szCs w:val="21"/>
              </w:rPr>
            </w:pPr>
            <w:r>
              <w:rPr>
                <w:rFonts w:eastAsia="宋体"/>
                <w:kern w:val="0"/>
                <w:sz w:val="21"/>
                <w:szCs w:val="21"/>
              </w:rPr>
              <w:t>10</w:t>
            </w:r>
          </w:p>
        </w:tc>
        <w:tc>
          <w:tcPr>
            <w:tcW w:w="8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100%</w:t>
            </w:r>
          </w:p>
        </w:tc>
        <w:tc>
          <w:tcPr>
            <w:tcW w:w="140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上年结转资金</w:t>
            </w:r>
          </w:p>
        </w:tc>
        <w:tc>
          <w:tcPr>
            <w:tcW w:w="122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0</w:t>
            </w:r>
          </w:p>
        </w:tc>
        <w:tc>
          <w:tcPr>
            <w:tcW w:w="12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0</w:t>
            </w:r>
          </w:p>
        </w:tc>
        <w:tc>
          <w:tcPr>
            <w:tcW w:w="1260" w:type="dxa"/>
            <w:vAlign w:val="center"/>
          </w:tcPr>
          <w:p>
            <w:pPr>
              <w:autoSpaceDE w:val="0"/>
              <w:autoSpaceDN w:val="0"/>
              <w:spacing w:line="320" w:lineRule="exact"/>
              <w:jc w:val="center"/>
              <w:rPr>
                <w:rFonts w:eastAsia="宋体"/>
                <w:kern w:val="0"/>
                <w:sz w:val="21"/>
                <w:szCs w:val="21"/>
              </w:rPr>
            </w:pPr>
            <w:r>
              <w:rPr>
                <w:rFonts w:hint="eastAsia" w:eastAsia="宋体"/>
                <w:kern w:val="0"/>
                <w:sz w:val="21"/>
                <w:szCs w:val="21"/>
              </w:rPr>
              <w:t>0</w:t>
            </w:r>
          </w:p>
        </w:tc>
        <w:tc>
          <w:tcPr>
            <w:tcW w:w="660" w:type="dxa"/>
            <w:vAlign w:val="center"/>
          </w:tcPr>
          <w:p>
            <w:pPr>
              <w:autoSpaceDE w:val="0"/>
              <w:autoSpaceDN w:val="0"/>
              <w:spacing w:line="320" w:lineRule="exact"/>
              <w:jc w:val="center"/>
              <w:rPr>
                <w:rFonts w:eastAsia="宋体"/>
                <w:kern w:val="0"/>
                <w:sz w:val="21"/>
                <w:szCs w:val="21"/>
              </w:rPr>
            </w:pPr>
          </w:p>
        </w:tc>
        <w:tc>
          <w:tcPr>
            <w:tcW w:w="860" w:type="dxa"/>
            <w:vAlign w:val="center"/>
          </w:tcPr>
          <w:p>
            <w:pPr>
              <w:autoSpaceDE w:val="0"/>
              <w:autoSpaceDN w:val="0"/>
              <w:spacing w:line="320" w:lineRule="exact"/>
              <w:jc w:val="center"/>
              <w:rPr>
                <w:rFonts w:eastAsia="宋体"/>
                <w:kern w:val="0"/>
                <w:sz w:val="21"/>
                <w:szCs w:val="21"/>
              </w:rPr>
            </w:pPr>
          </w:p>
        </w:tc>
        <w:tc>
          <w:tcPr>
            <w:tcW w:w="1400" w:type="dxa"/>
            <w:vAlign w:val="center"/>
          </w:tcPr>
          <w:p>
            <w:pPr>
              <w:autoSpaceDE w:val="0"/>
              <w:autoSpaceDN w:val="0"/>
              <w:spacing w:line="32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vAlign w:val="center"/>
          </w:tcPr>
          <w:p>
            <w:pPr>
              <w:autoSpaceDE w:val="0"/>
              <w:autoSpaceDN w:val="0"/>
              <w:spacing w:line="320" w:lineRule="exact"/>
              <w:jc w:val="center"/>
              <w:rPr>
                <w:rFonts w:eastAsia="宋体"/>
                <w:kern w:val="0"/>
                <w:sz w:val="21"/>
                <w:szCs w:val="21"/>
              </w:rPr>
            </w:pPr>
          </w:p>
        </w:tc>
        <w:tc>
          <w:tcPr>
            <w:tcW w:w="2040" w:type="dxa"/>
            <w:gridSpan w:val="2"/>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其他资金</w:t>
            </w:r>
          </w:p>
        </w:tc>
        <w:tc>
          <w:tcPr>
            <w:tcW w:w="1220" w:type="dxa"/>
            <w:vAlign w:val="center"/>
          </w:tcPr>
          <w:p>
            <w:pPr>
              <w:autoSpaceDE w:val="0"/>
              <w:autoSpaceDN w:val="0"/>
              <w:spacing w:line="320" w:lineRule="exact"/>
              <w:jc w:val="center"/>
              <w:rPr>
                <w:rFonts w:eastAsia="宋体"/>
                <w:kern w:val="0"/>
                <w:sz w:val="21"/>
                <w:szCs w:val="21"/>
              </w:rPr>
            </w:pPr>
          </w:p>
        </w:tc>
        <w:tc>
          <w:tcPr>
            <w:tcW w:w="1260" w:type="dxa"/>
            <w:vAlign w:val="center"/>
          </w:tcPr>
          <w:p>
            <w:pPr>
              <w:autoSpaceDE w:val="0"/>
              <w:autoSpaceDN w:val="0"/>
              <w:spacing w:line="320" w:lineRule="exact"/>
              <w:jc w:val="center"/>
              <w:rPr>
                <w:rFonts w:eastAsia="宋体"/>
                <w:kern w:val="0"/>
                <w:sz w:val="21"/>
                <w:szCs w:val="21"/>
              </w:rPr>
            </w:pPr>
          </w:p>
        </w:tc>
        <w:tc>
          <w:tcPr>
            <w:tcW w:w="1260" w:type="dxa"/>
            <w:vAlign w:val="center"/>
          </w:tcPr>
          <w:p>
            <w:pPr>
              <w:autoSpaceDE w:val="0"/>
              <w:autoSpaceDN w:val="0"/>
              <w:spacing w:line="320" w:lineRule="exact"/>
              <w:jc w:val="center"/>
              <w:rPr>
                <w:rFonts w:eastAsia="宋体"/>
                <w:kern w:val="0"/>
                <w:sz w:val="21"/>
                <w:szCs w:val="21"/>
              </w:rPr>
            </w:pPr>
          </w:p>
        </w:tc>
        <w:tc>
          <w:tcPr>
            <w:tcW w:w="660" w:type="dxa"/>
            <w:vAlign w:val="center"/>
          </w:tcPr>
          <w:p>
            <w:pPr>
              <w:autoSpaceDE w:val="0"/>
              <w:autoSpaceDN w:val="0"/>
              <w:spacing w:line="320" w:lineRule="exact"/>
              <w:jc w:val="center"/>
              <w:rPr>
                <w:rFonts w:eastAsia="宋体"/>
                <w:kern w:val="0"/>
                <w:sz w:val="21"/>
                <w:szCs w:val="21"/>
              </w:rPr>
            </w:pPr>
          </w:p>
        </w:tc>
        <w:tc>
          <w:tcPr>
            <w:tcW w:w="860" w:type="dxa"/>
            <w:vAlign w:val="center"/>
          </w:tcPr>
          <w:p>
            <w:pPr>
              <w:autoSpaceDE w:val="0"/>
              <w:autoSpaceDN w:val="0"/>
              <w:spacing w:line="320" w:lineRule="exact"/>
              <w:jc w:val="center"/>
              <w:rPr>
                <w:rFonts w:eastAsia="宋体"/>
                <w:kern w:val="0"/>
                <w:sz w:val="21"/>
                <w:szCs w:val="21"/>
              </w:rPr>
            </w:pPr>
          </w:p>
        </w:tc>
        <w:tc>
          <w:tcPr>
            <w:tcW w:w="1400" w:type="dxa"/>
            <w:vAlign w:val="center"/>
          </w:tcPr>
          <w:p>
            <w:pPr>
              <w:autoSpaceDE w:val="0"/>
              <w:autoSpaceDN w:val="0"/>
              <w:spacing w:line="32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restart"/>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年度总体</w:t>
            </w:r>
          </w:p>
          <w:p>
            <w:pPr>
              <w:autoSpaceDE w:val="0"/>
              <w:autoSpaceDN w:val="0"/>
              <w:spacing w:line="320" w:lineRule="exact"/>
              <w:jc w:val="center"/>
              <w:rPr>
                <w:rFonts w:eastAsia="宋体"/>
                <w:kern w:val="0"/>
                <w:sz w:val="21"/>
                <w:szCs w:val="21"/>
              </w:rPr>
            </w:pPr>
            <w:r>
              <w:rPr>
                <w:rFonts w:hAnsi="宋体" w:eastAsia="宋体"/>
                <w:kern w:val="0"/>
                <w:sz w:val="21"/>
                <w:szCs w:val="21"/>
              </w:rPr>
              <w:t>目标</w:t>
            </w:r>
          </w:p>
        </w:tc>
        <w:tc>
          <w:tcPr>
            <w:tcW w:w="4520" w:type="dxa"/>
            <w:gridSpan w:val="4"/>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预期目标</w:t>
            </w:r>
          </w:p>
        </w:tc>
        <w:tc>
          <w:tcPr>
            <w:tcW w:w="4180" w:type="dxa"/>
            <w:gridSpan w:val="4"/>
            <w:vAlign w:val="center"/>
          </w:tcPr>
          <w:p>
            <w:pPr>
              <w:autoSpaceDE w:val="0"/>
              <w:autoSpaceDN w:val="0"/>
              <w:spacing w:line="320" w:lineRule="exact"/>
              <w:jc w:val="center"/>
              <w:rPr>
                <w:rFonts w:eastAsia="宋体"/>
                <w:kern w:val="0"/>
                <w:sz w:val="21"/>
                <w:szCs w:val="21"/>
              </w:rPr>
            </w:pPr>
            <w:r>
              <w:rPr>
                <w:rFonts w:hAnsi="宋体" w:eastAsia="宋体"/>
                <w:kern w:val="0"/>
                <w:sz w:val="21"/>
                <w:szCs w:val="21"/>
              </w:rPr>
              <w:t>实际完成情况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trPr>
        <w:tc>
          <w:tcPr>
            <w:tcW w:w="1020" w:type="dxa"/>
            <w:vMerge w:val="continue"/>
          </w:tcPr>
          <w:p>
            <w:pPr>
              <w:autoSpaceDE w:val="0"/>
              <w:autoSpaceDN w:val="0"/>
              <w:spacing w:line="320" w:lineRule="exact"/>
              <w:jc w:val="center"/>
              <w:rPr>
                <w:rFonts w:eastAsia="宋体"/>
                <w:kern w:val="0"/>
                <w:sz w:val="21"/>
                <w:szCs w:val="21"/>
              </w:rPr>
            </w:pPr>
          </w:p>
        </w:tc>
        <w:tc>
          <w:tcPr>
            <w:tcW w:w="4520" w:type="dxa"/>
            <w:gridSpan w:val="4"/>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46.18</w:t>
            </w:r>
          </w:p>
        </w:tc>
        <w:tc>
          <w:tcPr>
            <w:tcW w:w="4180" w:type="dxa"/>
            <w:gridSpan w:val="4"/>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46.18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exact"/>
        </w:trPr>
        <w:tc>
          <w:tcPr>
            <w:tcW w:w="1020" w:type="dxa"/>
            <w:vMerge w:val="restart"/>
          </w:tcPr>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00" w:lineRule="atLeast"/>
              <w:jc w:val="center"/>
              <w:rPr>
                <w:rFonts w:eastAsia="宋体"/>
                <w:kern w:val="0"/>
                <w:sz w:val="21"/>
                <w:szCs w:val="21"/>
              </w:rPr>
            </w:pPr>
          </w:p>
          <w:p>
            <w:pPr>
              <w:autoSpaceDE w:val="0"/>
              <w:autoSpaceDN w:val="0"/>
              <w:spacing w:before="20" w:line="240" w:lineRule="exact"/>
              <w:jc w:val="center"/>
              <w:rPr>
                <w:rFonts w:eastAsia="宋体"/>
                <w:kern w:val="0"/>
                <w:sz w:val="21"/>
                <w:szCs w:val="21"/>
              </w:rPr>
            </w:pPr>
            <w:r>
              <w:rPr>
                <w:rFonts w:hAnsi="宋体" w:eastAsia="宋体"/>
                <w:kern w:val="0"/>
                <w:sz w:val="21"/>
                <w:szCs w:val="21"/>
              </w:rPr>
              <w:t>绩</w:t>
            </w:r>
          </w:p>
          <w:p>
            <w:pPr>
              <w:autoSpaceDE w:val="0"/>
              <w:autoSpaceDN w:val="0"/>
              <w:spacing w:before="20" w:line="240" w:lineRule="exact"/>
              <w:jc w:val="center"/>
              <w:rPr>
                <w:rFonts w:eastAsia="宋体"/>
                <w:kern w:val="0"/>
                <w:sz w:val="21"/>
                <w:szCs w:val="21"/>
              </w:rPr>
            </w:pPr>
            <w:r>
              <w:rPr>
                <w:rFonts w:hAnsi="宋体" w:eastAsia="宋体"/>
                <w:kern w:val="0"/>
                <w:sz w:val="21"/>
                <w:szCs w:val="21"/>
              </w:rPr>
              <w:t>效</w:t>
            </w:r>
          </w:p>
          <w:p>
            <w:pPr>
              <w:autoSpaceDE w:val="0"/>
              <w:autoSpaceDN w:val="0"/>
              <w:spacing w:before="20" w:line="240" w:lineRule="exact"/>
              <w:jc w:val="center"/>
              <w:rPr>
                <w:rFonts w:eastAsia="宋体"/>
                <w:kern w:val="0"/>
                <w:sz w:val="21"/>
                <w:szCs w:val="21"/>
              </w:rPr>
            </w:pPr>
            <w:r>
              <w:rPr>
                <w:rFonts w:hAnsi="宋体" w:eastAsia="宋体"/>
                <w:kern w:val="0"/>
                <w:sz w:val="21"/>
                <w:szCs w:val="21"/>
              </w:rPr>
              <w:t>指</w:t>
            </w:r>
          </w:p>
          <w:p>
            <w:pPr>
              <w:autoSpaceDE w:val="0"/>
              <w:autoSpaceDN w:val="0"/>
              <w:spacing w:before="20" w:line="240" w:lineRule="exact"/>
              <w:jc w:val="center"/>
              <w:rPr>
                <w:rFonts w:eastAsia="宋体"/>
                <w:kern w:val="0"/>
                <w:sz w:val="21"/>
                <w:szCs w:val="21"/>
              </w:rPr>
            </w:pPr>
            <w:r>
              <w:rPr>
                <w:rFonts w:hAnsi="宋体" w:eastAsia="宋体"/>
                <w:kern w:val="0"/>
                <w:sz w:val="21"/>
                <w:szCs w:val="21"/>
              </w:rPr>
              <w:t>标</w:t>
            </w:r>
          </w:p>
        </w:tc>
        <w:tc>
          <w:tcPr>
            <w:tcW w:w="110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一级指标</w:t>
            </w:r>
          </w:p>
        </w:tc>
        <w:tc>
          <w:tcPr>
            <w:tcW w:w="94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二级指标</w:t>
            </w:r>
          </w:p>
        </w:tc>
        <w:tc>
          <w:tcPr>
            <w:tcW w:w="122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三级指标</w:t>
            </w:r>
          </w:p>
        </w:tc>
        <w:tc>
          <w:tcPr>
            <w:tcW w:w="12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年度指标值</w:t>
            </w:r>
          </w:p>
        </w:tc>
        <w:tc>
          <w:tcPr>
            <w:tcW w:w="12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实际完成值</w:t>
            </w:r>
          </w:p>
        </w:tc>
        <w:tc>
          <w:tcPr>
            <w:tcW w:w="6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分值</w:t>
            </w:r>
          </w:p>
        </w:tc>
        <w:tc>
          <w:tcPr>
            <w:tcW w:w="860" w:type="dxa"/>
          </w:tcPr>
          <w:p>
            <w:pPr>
              <w:autoSpaceDE w:val="0"/>
              <w:autoSpaceDN w:val="0"/>
              <w:spacing w:before="20" w:line="340" w:lineRule="atLeast"/>
              <w:jc w:val="center"/>
              <w:rPr>
                <w:rFonts w:eastAsia="宋体"/>
                <w:kern w:val="0"/>
                <w:sz w:val="21"/>
                <w:szCs w:val="21"/>
              </w:rPr>
            </w:pPr>
            <w:r>
              <w:rPr>
                <w:rFonts w:hAnsi="宋体" w:eastAsia="宋体"/>
                <w:kern w:val="0"/>
                <w:sz w:val="21"/>
                <w:szCs w:val="21"/>
              </w:rPr>
              <w:t>自评得分</w:t>
            </w:r>
          </w:p>
        </w:tc>
        <w:tc>
          <w:tcPr>
            <w:tcW w:w="1400" w:type="dxa"/>
          </w:tcPr>
          <w:p>
            <w:pPr>
              <w:autoSpaceDE w:val="0"/>
              <w:autoSpaceDN w:val="0"/>
              <w:spacing w:before="20" w:line="240" w:lineRule="exact"/>
              <w:jc w:val="center"/>
              <w:rPr>
                <w:rFonts w:eastAsia="宋体"/>
                <w:kern w:val="0"/>
                <w:sz w:val="21"/>
                <w:szCs w:val="21"/>
              </w:rPr>
            </w:pPr>
            <w:r>
              <w:rPr>
                <w:rFonts w:hAnsi="宋体" w:eastAsia="宋体"/>
                <w:kern w:val="0"/>
                <w:sz w:val="21"/>
                <w:szCs w:val="21"/>
              </w:rPr>
              <w:t>偏差原因分析</w:t>
            </w:r>
          </w:p>
          <w:p>
            <w:pPr>
              <w:autoSpaceDE w:val="0"/>
              <w:autoSpaceDN w:val="0"/>
              <w:spacing w:before="20" w:line="240" w:lineRule="exact"/>
              <w:jc w:val="center"/>
              <w:rPr>
                <w:rFonts w:eastAsia="宋体"/>
                <w:kern w:val="0"/>
                <w:sz w:val="21"/>
                <w:szCs w:val="21"/>
              </w:rPr>
            </w:pPr>
            <w:r>
              <w:rPr>
                <w:rFonts w:hAnsi="宋体" w:eastAsia="宋体"/>
                <w:kern w:val="0"/>
                <w:sz w:val="21"/>
                <w:szCs w:val="21"/>
              </w:rPr>
              <w:t>及改进措施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restart"/>
          </w:tcPr>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r>
              <w:rPr>
                <w:rFonts w:hAnsi="宋体" w:eastAsia="宋体"/>
                <w:kern w:val="0"/>
                <w:sz w:val="21"/>
                <w:szCs w:val="21"/>
              </w:rPr>
              <w:t>产出指标</w:t>
            </w:r>
          </w:p>
          <w:p>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50</w:t>
            </w:r>
            <w:r>
              <w:rPr>
                <w:rFonts w:hAnsi="宋体" w:eastAsia="宋体"/>
                <w:kern w:val="0"/>
                <w:sz w:val="21"/>
                <w:szCs w:val="21"/>
              </w:rPr>
              <w:t>分）</w:t>
            </w: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数量</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vAlign w:val="center"/>
          </w:tcPr>
          <w:p>
            <w:pPr>
              <w:autoSpaceDE w:val="0"/>
              <w:autoSpaceDN w:val="0"/>
              <w:spacing w:line="300" w:lineRule="exact"/>
              <w:jc w:val="center"/>
              <w:rPr>
                <w:rFonts w:ascii="思源黑体" w:hAnsi="思源黑体" w:eastAsia="思源黑体" w:cs="思源黑体"/>
                <w:color w:val="000000"/>
                <w:sz w:val="15"/>
                <w:szCs w:val="15"/>
              </w:rPr>
            </w:pPr>
            <w:r>
              <w:rPr>
                <w:rFonts w:eastAsia="宋体"/>
                <w:kern w:val="0"/>
                <w:sz w:val="15"/>
                <w:szCs w:val="15"/>
              </w:rPr>
              <w:t>完成省市县重点工作任务</w:t>
            </w:r>
            <w:r>
              <w:rPr>
                <w:rFonts w:ascii="思源黑体" w:hAnsi="思源黑体" w:eastAsia="思源黑体" w:cs="思源黑体"/>
                <w:color w:val="000000"/>
                <w:kern w:val="0"/>
                <w:sz w:val="15"/>
                <w:szCs w:val="15"/>
              </w:rPr>
              <w:t>资金情况</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20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20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widowControl/>
              <w:jc w:val="left"/>
              <w:textAlignment w:val="center"/>
              <w:rPr>
                <w:rFonts w:eastAsia="宋体"/>
                <w:kern w:val="0"/>
                <w:sz w:val="15"/>
                <w:szCs w:val="15"/>
              </w:rPr>
            </w:pPr>
          </w:p>
        </w:tc>
        <w:tc>
          <w:tcPr>
            <w:tcW w:w="1260" w:type="dxa"/>
          </w:tcPr>
          <w:p>
            <w:pPr>
              <w:autoSpaceDE w:val="0"/>
              <w:autoSpaceDN w:val="0"/>
              <w:spacing w:line="300" w:lineRule="exact"/>
              <w:rPr>
                <w:rFonts w:eastAsia="宋体"/>
                <w:kern w:val="0"/>
                <w:sz w:val="15"/>
                <w:szCs w:val="15"/>
              </w:rPr>
            </w:pPr>
          </w:p>
        </w:tc>
        <w:tc>
          <w:tcPr>
            <w:tcW w:w="1260" w:type="dxa"/>
          </w:tcPr>
          <w:p>
            <w:pPr>
              <w:autoSpaceDE w:val="0"/>
              <w:autoSpaceDN w:val="0"/>
              <w:spacing w:line="300" w:lineRule="exact"/>
              <w:rPr>
                <w:rFonts w:eastAsia="宋体"/>
                <w:kern w:val="0"/>
                <w:sz w:val="15"/>
                <w:szCs w:val="15"/>
              </w:rPr>
            </w:pPr>
          </w:p>
        </w:tc>
        <w:tc>
          <w:tcPr>
            <w:tcW w:w="660" w:type="dxa"/>
          </w:tcPr>
          <w:p>
            <w:pPr>
              <w:autoSpaceDE w:val="0"/>
              <w:autoSpaceDN w:val="0"/>
              <w:spacing w:line="300" w:lineRule="exact"/>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质量</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高质量完成重点任务干部大学</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100%</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时效</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拆迁安置补偿及时率</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hint="eastAsia" w:eastAsia="宋体"/>
                <w:kern w:val="0"/>
                <w:sz w:val="15"/>
                <w:szCs w:val="15"/>
                <w:lang w:eastAsia="zh-CN"/>
              </w:rPr>
            </w:pPr>
            <w:r>
              <w:rPr>
                <w:rFonts w:hint="eastAsia" w:eastAsia="宋体"/>
                <w:kern w:val="0"/>
                <w:sz w:val="15"/>
                <w:szCs w:val="15"/>
                <w:lang w:val="en-US" w:eastAsia="zh-CN"/>
              </w:rPr>
              <w:t>9</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成本</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保证整体工作正常推进行</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restart"/>
          </w:tcPr>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p>
          <w:p>
            <w:pPr>
              <w:autoSpaceDE w:val="0"/>
              <w:autoSpaceDN w:val="0"/>
              <w:spacing w:before="20" w:line="340" w:lineRule="atLeast"/>
              <w:jc w:val="center"/>
              <w:rPr>
                <w:rFonts w:eastAsia="宋体"/>
                <w:kern w:val="0"/>
                <w:sz w:val="21"/>
                <w:szCs w:val="21"/>
              </w:rPr>
            </w:pPr>
            <w:r>
              <w:rPr>
                <w:rFonts w:hAnsi="宋体" w:eastAsia="宋体"/>
                <w:kern w:val="0"/>
                <w:sz w:val="21"/>
                <w:szCs w:val="21"/>
              </w:rPr>
              <w:t>效益指标</w:t>
            </w:r>
          </w:p>
          <w:p>
            <w:pPr>
              <w:autoSpaceDE w:val="0"/>
              <w:autoSpaceDN w:val="0"/>
              <w:spacing w:before="20" w:line="340" w:lineRule="atLeast"/>
              <w:jc w:val="center"/>
              <w:rPr>
                <w:rFonts w:eastAsia="宋体"/>
                <w:kern w:val="0"/>
                <w:sz w:val="21"/>
                <w:szCs w:val="21"/>
              </w:rPr>
            </w:pPr>
            <w:r>
              <w:rPr>
                <w:rFonts w:hAnsi="宋体" w:eastAsia="宋体"/>
                <w:kern w:val="0"/>
                <w:sz w:val="21"/>
                <w:szCs w:val="21"/>
              </w:rPr>
              <w:t>（</w:t>
            </w:r>
            <w:r>
              <w:rPr>
                <w:rFonts w:eastAsia="宋体"/>
                <w:kern w:val="0"/>
                <w:sz w:val="21"/>
                <w:szCs w:val="21"/>
              </w:rPr>
              <w:t>30</w:t>
            </w:r>
            <w:r>
              <w:rPr>
                <w:rFonts w:hAnsi="宋体" w:eastAsia="宋体"/>
                <w:kern w:val="0"/>
                <w:sz w:val="21"/>
                <w:szCs w:val="21"/>
              </w:rPr>
              <w:t>分）</w:t>
            </w: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经济效</w:t>
            </w:r>
          </w:p>
          <w:p>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vAlign w:val="center"/>
          </w:tcPr>
          <w:p>
            <w:pPr>
              <w:widowControl/>
              <w:jc w:val="left"/>
              <w:textAlignment w:val="center"/>
              <w:rPr>
                <w:rFonts w:ascii="思源黑体" w:hAnsi="思源黑体" w:eastAsia="思源黑体" w:cs="思源黑体"/>
                <w:color w:val="000000"/>
                <w:sz w:val="15"/>
                <w:szCs w:val="15"/>
              </w:rPr>
            </w:pPr>
            <w:r>
              <w:rPr>
                <w:rFonts w:eastAsia="宋体"/>
                <w:kern w:val="0"/>
                <w:sz w:val="15"/>
                <w:szCs w:val="15"/>
              </w:rPr>
              <w:t>各项补偿到位</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社会效</w:t>
            </w:r>
          </w:p>
          <w:p>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安置到位</w:t>
            </w:r>
          </w:p>
        </w:tc>
        <w:tc>
          <w:tcPr>
            <w:tcW w:w="1260" w:type="dxa"/>
            <w:vAlign w:val="center"/>
          </w:tcPr>
          <w:p>
            <w:pPr>
              <w:widowControl/>
              <w:jc w:val="center"/>
              <w:textAlignment w:val="center"/>
              <w:rPr>
                <w:rFonts w:ascii="思源黑体" w:hAnsi="思源黑体" w:eastAsia="思源黑体" w:cs="思源黑体"/>
                <w:color w:val="000000"/>
                <w:sz w:val="24"/>
              </w:rPr>
            </w:pPr>
            <w:r>
              <w:rPr>
                <w:rFonts w:eastAsia="宋体"/>
                <w:kern w:val="0"/>
                <w:sz w:val="15"/>
                <w:szCs w:val="15"/>
              </w:rPr>
              <w:t>持续向好</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合格</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hint="eastAsia" w:eastAsia="宋体"/>
                <w:kern w:val="0"/>
                <w:sz w:val="15"/>
                <w:szCs w:val="15"/>
                <w:lang w:eastAsia="zh-CN"/>
              </w:rPr>
            </w:pPr>
            <w:r>
              <w:rPr>
                <w:rFonts w:hint="eastAsia" w:eastAsia="宋体"/>
                <w:kern w:val="0"/>
                <w:sz w:val="15"/>
                <w:szCs w:val="15"/>
                <w:lang w:val="en-US" w:eastAsia="zh-CN"/>
              </w:rPr>
              <w:t>9</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生态效</w:t>
            </w:r>
          </w:p>
          <w:p>
            <w:pPr>
              <w:autoSpaceDE w:val="0"/>
              <w:autoSpaceDN w:val="0"/>
              <w:spacing w:before="20" w:line="240" w:lineRule="exact"/>
              <w:jc w:val="center"/>
              <w:rPr>
                <w:rFonts w:eastAsia="宋体"/>
                <w:kern w:val="0"/>
                <w:sz w:val="21"/>
                <w:szCs w:val="21"/>
              </w:rPr>
            </w:pPr>
            <w:r>
              <w:rPr>
                <w:rFonts w:hAnsi="宋体" w:eastAsia="宋体"/>
                <w:kern w:val="0"/>
                <w:sz w:val="21"/>
                <w:szCs w:val="21"/>
              </w:rPr>
              <w:t>益指标</w:t>
            </w:r>
          </w:p>
        </w:tc>
        <w:tc>
          <w:tcPr>
            <w:tcW w:w="1220" w:type="dxa"/>
            <w:vAlign w:val="center"/>
          </w:tcPr>
          <w:p>
            <w:pPr>
              <w:widowControl/>
              <w:jc w:val="left"/>
              <w:textAlignment w:val="center"/>
              <w:rPr>
                <w:rFonts w:ascii="思源黑体" w:hAnsi="思源黑体" w:eastAsia="思源黑体" w:cs="思源黑体"/>
                <w:color w:val="000000"/>
                <w:sz w:val="24"/>
              </w:rPr>
            </w:pPr>
            <w:r>
              <w:rPr>
                <w:rFonts w:eastAsia="宋体"/>
                <w:kern w:val="0"/>
                <w:sz w:val="15"/>
                <w:szCs w:val="15"/>
              </w:rPr>
              <w:t>节约工作中资源</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好</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优</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可持续</w:t>
            </w:r>
          </w:p>
          <w:p>
            <w:pPr>
              <w:autoSpaceDE w:val="0"/>
              <w:autoSpaceDN w:val="0"/>
              <w:spacing w:before="20" w:line="240" w:lineRule="exact"/>
              <w:jc w:val="center"/>
              <w:rPr>
                <w:rFonts w:eastAsia="宋体"/>
                <w:kern w:val="0"/>
                <w:sz w:val="21"/>
                <w:szCs w:val="21"/>
              </w:rPr>
            </w:pPr>
            <w:r>
              <w:rPr>
                <w:rFonts w:hAnsi="宋体" w:eastAsia="宋体"/>
                <w:kern w:val="0"/>
                <w:sz w:val="21"/>
                <w:szCs w:val="21"/>
              </w:rPr>
              <w:t>影响指</w:t>
            </w:r>
          </w:p>
          <w:p>
            <w:pPr>
              <w:autoSpaceDE w:val="0"/>
              <w:autoSpaceDN w:val="0"/>
              <w:spacing w:before="20" w:line="240" w:lineRule="exact"/>
              <w:jc w:val="center"/>
              <w:rPr>
                <w:rFonts w:eastAsia="宋体"/>
                <w:kern w:val="0"/>
                <w:sz w:val="21"/>
                <w:szCs w:val="21"/>
              </w:rPr>
            </w:pPr>
            <w:r>
              <w:rPr>
                <w:rFonts w:hAnsi="宋体" w:eastAsia="宋体"/>
                <w:kern w:val="0"/>
                <w:sz w:val="21"/>
                <w:szCs w:val="21"/>
              </w:rPr>
              <w:t>标</w:t>
            </w:r>
          </w:p>
        </w:tc>
        <w:tc>
          <w:tcPr>
            <w:tcW w:w="1220" w:type="dxa"/>
          </w:tcPr>
          <w:p>
            <w:pPr>
              <w:autoSpaceDE w:val="0"/>
              <w:autoSpaceDN w:val="0"/>
              <w:spacing w:line="300" w:lineRule="exact"/>
              <w:rPr>
                <w:rFonts w:eastAsia="宋体"/>
                <w:kern w:val="0"/>
                <w:sz w:val="15"/>
                <w:szCs w:val="15"/>
              </w:rPr>
            </w:pPr>
            <w:r>
              <w:rPr>
                <w:rFonts w:hint="eastAsia" w:eastAsia="宋体"/>
                <w:kern w:val="0"/>
                <w:sz w:val="15"/>
                <w:szCs w:val="15"/>
              </w:rPr>
              <w:t>单位运行情况正常</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稳定</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5</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vAlign w:val="center"/>
          </w:tcPr>
          <w:p>
            <w:pPr>
              <w:autoSpaceDE w:val="0"/>
              <w:autoSpaceDN w:val="0"/>
              <w:spacing w:before="20" w:line="240" w:lineRule="exact"/>
              <w:jc w:val="center"/>
              <w:rPr>
                <w:rFonts w:eastAsia="宋体"/>
                <w:kern w:val="0"/>
                <w:sz w:val="21"/>
                <w:szCs w:val="21"/>
              </w:rPr>
            </w:pPr>
          </w:p>
        </w:tc>
        <w:tc>
          <w:tcPr>
            <w:tcW w:w="122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1260" w:type="dxa"/>
          </w:tcPr>
          <w:p>
            <w:pPr>
              <w:autoSpaceDE w:val="0"/>
              <w:autoSpaceDN w:val="0"/>
              <w:spacing w:line="300" w:lineRule="exact"/>
              <w:jc w:val="center"/>
              <w:rPr>
                <w:rFonts w:eastAsia="宋体"/>
                <w:kern w:val="0"/>
                <w:sz w:val="15"/>
                <w:szCs w:val="15"/>
              </w:rPr>
            </w:pPr>
          </w:p>
        </w:tc>
        <w:tc>
          <w:tcPr>
            <w:tcW w:w="660" w:type="dxa"/>
          </w:tcPr>
          <w:p>
            <w:pPr>
              <w:autoSpaceDE w:val="0"/>
              <w:autoSpaceDN w:val="0"/>
              <w:spacing w:line="300" w:lineRule="exact"/>
              <w:jc w:val="center"/>
              <w:rPr>
                <w:rFonts w:eastAsia="宋体"/>
                <w:kern w:val="0"/>
                <w:sz w:val="15"/>
                <w:szCs w:val="15"/>
              </w:rPr>
            </w:pPr>
          </w:p>
        </w:tc>
        <w:tc>
          <w:tcPr>
            <w:tcW w:w="860" w:type="dxa"/>
          </w:tcPr>
          <w:p>
            <w:pPr>
              <w:autoSpaceDE w:val="0"/>
              <w:autoSpaceDN w:val="0"/>
              <w:spacing w:line="300" w:lineRule="exact"/>
              <w:jc w:val="center"/>
              <w:rPr>
                <w:rFonts w:eastAsia="宋体"/>
                <w:kern w:val="0"/>
                <w:sz w:val="15"/>
                <w:szCs w:val="15"/>
              </w:rPr>
            </w:pP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restart"/>
          </w:tcPr>
          <w:p>
            <w:pPr>
              <w:autoSpaceDE w:val="0"/>
              <w:autoSpaceDN w:val="0"/>
              <w:spacing w:before="20" w:line="240" w:lineRule="exact"/>
              <w:jc w:val="center"/>
              <w:rPr>
                <w:rFonts w:eastAsia="宋体"/>
                <w:kern w:val="0"/>
                <w:sz w:val="21"/>
                <w:szCs w:val="21"/>
              </w:rPr>
            </w:pPr>
            <w:r>
              <w:rPr>
                <w:rFonts w:hAnsi="宋体" w:eastAsia="宋体"/>
                <w:kern w:val="0"/>
                <w:sz w:val="21"/>
                <w:szCs w:val="21"/>
              </w:rPr>
              <w:t>满意度</w:t>
            </w:r>
          </w:p>
          <w:p>
            <w:pPr>
              <w:autoSpaceDE w:val="0"/>
              <w:autoSpaceDN w:val="0"/>
              <w:spacing w:before="20" w:line="240" w:lineRule="exact"/>
              <w:jc w:val="center"/>
              <w:rPr>
                <w:rFonts w:eastAsia="宋体"/>
                <w:kern w:val="0"/>
                <w:sz w:val="21"/>
                <w:szCs w:val="21"/>
              </w:rPr>
            </w:pPr>
            <w:r>
              <w:rPr>
                <w:rFonts w:hAnsi="宋体" w:eastAsia="宋体"/>
                <w:kern w:val="0"/>
                <w:sz w:val="21"/>
                <w:szCs w:val="21"/>
              </w:rPr>
              <w:t>指标</w:t>
            </w:r>
          </w:p>
          <w:p>
            <w:pPr>
              <w:autoSpaceDE w:val="0"/>
              <w:autoSpaceDN w:val="0"/>
              <w:spacing w:before="20" w:line="240" w:lineRule="exact"/>
              <w:jc w:val="center"/>
              <w:rPr>
                <w:rFonts w:eastAsia="宋体"/>
                <w:kern w:val="0"/>
                <w:sz w:val="21"/>
                <w:szCs w:val="21"/>
              </w:rPr>
            </w:pPr>
            <w:r>
              <w:rPr>
                <w:rFonts w:hAnsi="宋体" w:eastAsia="宋体"/>
                <w:kern w:val="0"/>
                <w:sz w:val="21"/>
                <w:szCs w:val="21"/>
              </w:rPr>
              <w:t>（</w:t>
            </w:r>
            <w:r>
              <w:rPr>
                <w:rFonts w:eastAsia="宋体"/>
                <w:kern w:val="0"/>
                <w:sz w:val="21"/>
                <w:szCs w:val="21"/>
              </w:rPr>
              <w:t>10</w:t>
            </w:r>
            <w:r>
              <w:rPr>
                <w:rFonts w:hAnsi="宋体" w:eastAsia="宋体"/>
                <w:kern w:val="0"/>
                <w:sz w:val="21"/>
                <w:szCs w:val="21"/>
              </w:rPr>
              <w:t>分）</w:t>
            </w:r>
          </w:p>
        </w:tc>
        <w:tc>
          <w:tcPr>
            <w:tcW w:w="940" w:type="dxa"/>
            <w:vMerge w:val="restart"/>
            <w:vAlign w:val="center"/>
          </w:tcPr>
          <w:p>
            <w:pPr>
              <w:autoSpaceDE w:val="0"/>
              <w:autoSpaceDN w:val="0"/>
              <w:spacing w:before="20" w:line="240" w:lineRule="exact"/>
              <w:jc w:val="center"/>
              <w:rPr>
                <w:rFonts w:eastAsia="宋体"/>
                <w:kern w:val="0"/>
                <w:sz w:val="21"/>
                <w:szCs w:val="21"/>
              </w:rPr>
            </w:pPr>
            <w:r>
              <w:rPr>
                <w:rFonts w:hAnsi="宋体" w:eastAsia="宋体"/>
                <w:kern w:val="0"/>
                <w:sz w:val="21"/>
                <w:szCs w:val="21"/>
              </w:rPr>
              <w:t>服务对</w:t>
            </w:r>
          </w:p>
          <w:p>
            <w:pPr>
              <w:autoSpaceDE w:val="0"/>
              <w:autoSpaceDN w:val="0"/>
              <w:spacing w:before="20" w:line="240" w:lineRule="exact"/>
              <w:jc w:val="center"/>
              <w:rPr>
                <w:rFonts w:eastAsia="宋体"/>
                <w:kern w:val="0"/>
                <w:sz w:val="21"/>
                <w:szCs w:val="21"/>
              </w:rPr>
            </w:pPr>
            <w:r>
              <w:rPr>
                <w:rFonts w:hAnsi="宋体" w:eastAsia="宋体"/>
                <w:kern w:val="0"/>
                <w:sz w:val="21"/>
                <w:szCs w:val="21"/>
              </w:rPr>
              <w:t>象满意</w:t>
            </w:r>
          </w:p>
          <w:p>
            <w:pPr>
              <w:autoSpaceDE w:val="0"/>
              <w:autoSpaceDN w:val="0"/>
              <w:spacing w:before="20" w:line="240" w:lineRule="exact"/>
              <w:jc w:val="center"/>
              <w:rPr>
                <w:rFonts w:eastAsia="宋体"/>
                <w:kern w:val="0"/>
                <w:sz w:val="21"/>
                <w:szCs w:val="21"/>
              </w:rPr>
            </w:pPr>
            <w:r>
              <w:rPr>
                <w:rFonts w:hAnsi="宋体" w:eastAsia="宋体"/>
                <w:kern w:val="0"/>
                <w:sz w:val="21"/>
                <w:szCs w:val="21"/>
              </w:rPr>
              <w:t>度指标</w:t>
            </w:r>
          </w:p>
        </w:tc>
        <w:tc>
          <w:tcPr>
            <w:tcW w:w="1220" w:type="dxa"/>
          </w:tcPr>
          <w:p>
            <w:pPr>
              <w:autoSpaceDE w:val="0"/>
              <w:autoSpaceDN w:val="0"/>
              <w:spacing w:line="300" w:lineRule="exact"/>
              <w:jc w:val="center"/>
              <w:rPr>
                <w:rFonts w:eastAsia="宋体"/>
                <w:kern w:val="0"/>
                <w:sz w:val="15"/>
                <w:szCs w:val="15"/>
              </w:rPr>
            </w:pPr>
            <w:r>
              <w:rPr>
                <w:rFonts w:hint="eastAsia" w:eastAsia="宋体"/>
                <w:kern w:val="0"/>
                <w:sz w:val="15"/>
                <w:szCs w:val="15"/>
              </w:rPr>
              <w:t>各项工作满意</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90%以上</w:t>
            </w:r>
          </w:p>
        </w:tc>
        <w:tc>
          <w:tcPr>
            <w:tcW w:w="1260" w:type="dxa"/>
          </w:tcPr>
          <w:p>
            <w:pPr>
              <w:autoSpaceDE w:val="0"/>
              <w:autoSpaceDN w:val="0"/>
              <w:spacing w:line="300" w:lineRule="exact"/>
              <w:jc w:val="center"/>
              <w:rPr>
                <w:rFonts w:eastAsia="宋体"/>
                <w:kern w:val="0"/>
                <w:sz w:val="15"/>
                <w:szCs w:val="15"/>
              </w:rPr>
            </w:pPr>
            <w:r>
              <w:rPr>
                <w:rFonts w:hint="eastAsia" w:eastAsia="宋体"/>
                <w:kern w:val="0"/>
                <w:sz w:val="15"/>
                <w:szCs w:val="15"/>
              </w:rPr>
              <w:t>95%</w:t>
            </w:r>
          </w:p>
        </w:tc>
        <w:tc>
          <w:tcPr>
            <w:tcW w:w="6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860" w:type="dxa"/>
          </w:tcPr>
          <w:p>
            <w:pPr>
              <w:autoSpaceDE w:val="0"/>
              <w:autoSpaceDN w:val="0"/>
              <w:spacing w:line="300" w:lineRule="exact"/>
              <w:jc w:val="center"/>
              <w:rPr>
                <w:rFonts w:eastAsia="宋体"/>
                <w:kern w:val="0"/>
                <w:sz w:val="15"/>
                <w:szCs w:val="15"/>
              </w:rPr>
            </w:pPr>
            <w:r>
              <w:rPr>
                <w:rFonts w:hint="eastAsia" w:eastAsia="宋体"/>
                <w:kern w:val="0"/>
                <w:sz w:val="15"/>
                <w:szCs w:val="15"/>
              </w:rPr>
              <w:t>10</w:t>
            </w:r>
          </w:p>
        </w:tc>
        <w:tc>
          <w:tcPr>
            <w:tcW w:w="1400" w:type="dxa"/>
          </w:tcPr>
          <w:p>
            <w:pPr>
              <w:autoSpaceDE w:val="0"/>
              <w:autoSpaceDN w:val="0"/>
              <w:spacing w:line="300" w:lineRule="exact"/>
              <w:jc w:val="center"/>
              <w:rPr>
                <w:rFonts w:eastAsia="宋体"/>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660" w:type="dxa"/>
          </w:tcPr>
          <w:p>
            <w:pPr>
              <w:autoSpaceDE w:val="0"/>
              <w:autoSpaceDN w:val="0"/>
              <w:spacing w:before="20" w:line="340" w:lineRule="atLeast"/>
              <w:jc w:val="center"/>
              <w:rPr>
                <w:rFonts w:eastAsia="宋体"/>
                <w:kern w:val="0"/>
                <w:sz w:val="21"/>
                <w:szCs w:val="21"/>
              </w:rPr>
            </w:pPr>
          </w:p>
        </w:tc>
        <w:tc>
          <w:tcPr>
            <w:tcW w:w="860" w:type="dxa"/>
          </w:tcPr>
          <w:p>
            <w:pPr>
              <w:autoSpaceDE w:val="0"/>
              <w:autoSpaceDN w:val="0"/>
              <w:spacing w:before="20" w:line="340" w:lineRule="atLeast"/>
              <w:jc w:val="center"/>
              <w:rPr>
                <w:rFonts w:eastAsia="宋体"/>
                <w:kern w:val="0"/>
                <w:sz w:val="21"/>
                <w:szCs w:val="21"/>
              </w:rPr>
            </w:pPr>
          </w:p>
        </w:tc>
        <w:tc>
          <w:tcPr>
            <w:tcW w:w="1400" w:type="dxa"/>
          </w:tcPr>
          <w:p>
            <w:pPr>
              <w:autoSpaceDE w:val="0"/>
              <w:autoSpaceDN w:val="0"/>
              <w:spacing w:before="20" w:line="340" w:lineRule="atLeas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2" w:hRule="exact"/>
        </w:trPr>
        <w:tc>
          <w:tcPr>
            <w:tcW w:w="1020" w:type="dxa"/>
            <w:vMerge w:val="continue"/>
          </w:tcPr>
          <w:p>
            <w:pPr>
              <w:autoSpaceDE w:val="0"/>
              <w:autoSpaceDN w:val="0"/>
              <w:spacing w:before="20" w:line="340" w:lineRule="atLeast"/>
              <w:jc w:val="center"/>
              <w:rPr>
                <w:rFonts w:eastAsia="宋体"/>
                <w:kern w:val="0"/>
                <w:sz w:val="21"/>
                <w:szCs w:val="21"/>
              </w:rPr>
            </w:pPr>
          </w:p>
        </w:tc>
        <w:tc>
          <w:tcPr>
            <w:tcW w:w="1100" w:type="dxa"/>
            <w:vMerge w:val="continue"/>
          </w:tcPr>
          <w:p>
            <w:pPr>
              <w:autoSpaceDE w:val="0"/>
              <w:autoSpaceDN w:val="0"/>
              <w:spacing w:before="20" w:line="340" w:lineRule="atLeast"/>
              <w:jc w:val="center"/>
              <w:rPr>
                <w:rFonts w:eastAsia="宋体"/>
                <w:kern w:val="0"/>
                <w:sz w:val="21"/>
                <w:szCs w:val="21"/>
              </w:rPr>
            </w:pPr>
          </w:p>
        </w:tc>
        <w:tc>
          <w:tcPr>
            <w:tcW w:w="940" w:type="dxa"/>
            <w:vMerge w:val="continue"/>
          </w:tcPr>
          <w:p>
            <w:pPr>
              <w:autoSpaceDE w:val="0"/>
              <w:autoSpaceDN w:val="0"/>
              <w:spacing w:before="20" w:line="340" w:lineRule="atLeast"/>
              <w:jc w:val="center"/>
              <w:rPr>
                <w:rFonts w:eastAsia="宋体"/>
                <w:kern w:val="0"/>
                <w:sz w:val="21"/>
                <w:szCs w:val="21"/>
              </w:rPr>
            </w:pPr>
          </w:p>
        </w:tc>
        <w:tc>
          <w:tcPr>
            <w:tcW w:w="122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1260" w:type="dxa"/>
          </w:tcPr>
          <w:p>
            <w:pPr>
              <w:autoSpaceDE w:val="0"/>
              <w:autoSpaceDN w:val="0"/>
              <w:spacing w:before="20" w:line="340" w:lineRule="atLeast"/>
              <w:jc w:val="center"/>
              <w:rPr>
                <w:rFonts w:eastAsia="宋体"/>
                <w:kern w:val="0"/>
                <w:sz w:val="21"/>
                <w:szCs w:val="21"/>
              </w:rPr>
            </w:pPr>
          </w:p>
        </w:tc>
        <w:tc>
          <w:tcPr>
            <w:tcW w:w="660" w:type="dxa"/>
          </w:tcPr>
          <w:p>
            <w:pPr>
              <w:autoSpaceDE w:val="0"/>
              <w:autoSpaceDN w:val="0"/>
              <w:spacing w:before="20" w:line="340" w:lineRule="atLeast"/>
              <w:jc w:val="center"/>
              <w:rPr>
                <w:rFonts w:eastAsia="宋体"/>
                <w:kern w:val="0"/>
                <w:sz w:val="21"/>
                <w:szCs w:val="21"/>
              </w:rPr>
            </w:pPr>
          </w:p>
        </w:tc>
        <w:tc>
          <w:tcPr>
            <w:tcW w:w="860" w:type="dxa"/>
          </w:tcPr>
          <w:p>
            <w:pPr>
              <w:autoSpaceDE w:val="0"/>
              <w:autoSpaceDN w:val="0"/>
              <w:spacing w:before="20" w:line="340" w:lineRule="atLeast"/>
              <w:jc w:val="center"/>
              <w:rPr>
                <w:rFonts w:eastAsia="宋体"/>
                <w:kern w:val="0"/>
                <w:sz w:val="21"/>
                <w:szCs w:val="21"/>
              </w:rPr>
            </w:pPr>
          </w:p>
        </w:tc>
        <w:tc>
          <w:tcPr>
            <w:tcW w:w="1400" w:type="dxa"/>
          </w:tcPr>
          <w:p>
            <w:pPr>
              <w:autoSpaceDE w:val="0"/>
              <w:autoSpaceDN w:val="0"/>
              <w:spacing w:before="20" w:line="340" w:lineRule="atLeas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exact"/>
        </w:trPr>
        <w:tc>
          <w:tcPr>
            <w:tcW w:w="6800" w:type="dxa"/>
            <w:gridSpan w:val="6"/>
          </w:tcPr>
          <w:p>
            <w:pPr>
              <w:autoSpaceDE w:val="0"/>
              <w:autoSpaceDN w:val="0"/>
              <w:spacing w:line="320" w:lineRule="exact"/>
              <w:jc w:val="center"/>
              <w:rPr>
                <w:rFonts w:eastAsia="宋体"/>
                <w:kern w:val="0"/>
                <w:sz w:val="21"/>
                <w:szCs w:val="21"/>
              </w:rPr>
            </w:pPr>
            <w:r>
              <w:rPr>
                <w:rFonts w:hAnsi="宋体" w:eastAsia="宋体"/>
                <w:kern w:val="0"/>
                <w:sz w:val="21"/>
                <w:szCs w:val="21"/>
              </w:rPr>
              <w:t>总分</w:t>
            </w:r>
          </w:p>
        </w:tc>
        <w:tc>
          <w:tcPr>
            <w:tcW w:w="660" w:type="dxa"/>
          </w:tcPr>
          <w:p>
            <w:pPr>
              <w:autoSpaceDE w:val="0"/>
              <w:autoSpaceDN w:val="0"/>
              <w:spacing w:line="320" w:lineRule="exact"/>
              <w:jc w:val="center"/>
              <w:rPr>
                <w:rFonts w:eastAsia="宋体"/>
                <w:kern w:val="0"/>
                <w:sz w:val="21"/>
                <w:szCs w:val="21"/>
              </w:rPr>
            </w:pPr>
            <w:r>
              <w:rPr>
                <w:rFonts w:eastAsia="宋体"/>
                <w:kern w:val="0"/>
                <w:sz w:val="21"/>
                <w:szCs w:val="21"/>
              </w:rPr>
              <w:t>100</w:t>
            </w:r>
          </w:p>
        </w:tc>
        <w:tc>
          <w:tcPr>
            <w:tcW w:w="860" w:type="dxa"/>
          </w:tcPr>
          <w:p>
            <w:pPr>
              <w:autoSpaceDE w:val="0"/>
              <w:autoSpaceDN w:val="0"/>
              <w:spacing w:line="320" w:lineRule="exact"/>
              <w:jc w:val="center"/>
              <w:rPr>
                <w:rFonts w:hint="default" w:eastAsia="宋体"/>
                <w:kern w:val="0"/>
                <w:sz w:val="21"/>
                <w:szCs w:val="21"/>
                <w:lang w:val="en-US" w:eastAsia="zh-CN"/>
              </w:rPr>
            </w:pPr>
            <w:r>
              <w:rPr>
                <w:rFonts w:hint="eastAsia" w:eastAsia="宋体"/>
                <w:kern w:val="0"/>
                <w:sz w:val="21"/>
                <w:szCs w:val="21"/>
                <w:lang w:val="en-US" w:eastAsia="zh-CN"/>
              </w:rPr>
              <w:t>98</w:t>
            </w:r>
          </w:p>
        </w:tc>
        <w:tc>
          <w:tcPr>
            <w:tcW w:w="1400" w:type="dxa"/>
          </w:tcPr>
          <w:p>
            <w:pPr>
              <w:autoSpaceDE w:val="0"/>
              <w:autoSpaceDN w:val="0"/>
              <w:spacing w:line="320" w:lineRule="exact"/>
              <w:jc w:val="center"/>
              <w:rPr>
                <w:rFonts w:eastAsia="宋体"/>
                <w:kern w:val="0"/>
                <w:sz w:val="21"/>
                <w:szCs w:val="21"/>
              </w:rPr>
            </w:pPr>
          </w:p>
        </w:tc>
      </w:tr>
    </w:tbl>
    <w:p>
      <w:pPr>
        <w:autoSpaceDE w:val="0"/>
        <w:autoSpaceDN w:val="0"/>
        <w:spacing w:line="320" w:lineRule="exact"/>
        <w:rPr>
          <w:rFonts w:eastAsia="宋体"/>
          <w:kern w:val="0"/>
          <w:sz w:val="21"/>
          <w:szCs w:val="21"/>
        </w:rPr>
      </w:pPr>
      <w:r>
        <w:rPr>
          <w:rFonts w:hAnsi="宋体" w:eastAsia="宋体"/>
          <w:kern w:val="0"/>
          <w:sz w:val="21"/>
          <w:szCs w:val="21"/>
        </w:rPr>
        <w:t>备注：每个项目支出一张表。</w:t>
      </w:r>
    </w:p>
    <w:p>
      <w:pPr>
        <w:autoSpaceDE w:val="0"/>
        <w:autoSpaceDN w:val="0"/>
        <w:spacing w:line="320" w:lineRule="exact"/>
        <w:rPr>
          <w:rFonts w:hint="eastAsia" w:eastAsia="宋体"/>
          <w:kern w:val="0"/>
          <w:sz w:val="21"/>
          <w:szCs w:val="21"/>
          <w:lang w:eastAsia="zh-CN"/>
        </w:rPr>
      </w:pPr>
      <w:r>
        <w:rPr>
          <w:rFonts w:hAnsi="宋体" w:eastAsia="宋体"/>
          <w:kern w:val="0"/>
          <w:sz w:val="21"/>
          <w:szCs w:val="21"/>
        </w:rPr>
        <w:t>填表人：</w:t>
      </w:r>
      <w:r>
        <w:rPr>
          <w:rFonts w:hint="eastAsia" w:hAnsi="宋体" w:eastAsia="宋体"/>
          <w:kern w:val="0"/>
          <w:sz w:val="21"/>
          <w:szCs w:val="21"/>
          <w:lang w:eastAsia="zh-CN"/>
        </w:rPr>
        <w:t>薛卫华</w:t>
      </w:r>
      <w:r>
        <w:rPr>
          <w:rFonts w:hint="eastAsia" w:hAnsi="宋体" w:eastAsia="宋体"/>
          <w:kern w:val="0"/>
          <w:sz w:val="21"/>
          <w:szCs w:val="21"/>
        </w:rPr>
        <w:t xml:space="preserve">    </w:t>
      </w:r>
      <w:r>
        <w:rPr>
          <w:rFonts w:hAnsi="宋体" w:eastAsia="宋体"/>
          <w:kern w:val="0"/>
          <w:sz w:val="21"/>
          <w:szCs w:val="21"/>
        </w:rPr>
        <w:t>填报日期：</w:t>
      </w:r>
      <w:r>
        <w:rPr>
          <w:rFonts w:hint="eastAsia" w:hAnsi="宋体" w:eastAsia="宋体"/>
          <w:kern w:val="0"/>
          <w:sz w:val="21"/>
          <w:szCs w:val="21"/>
          <w:lang w:val="en-US" w:eastAsia="zh-CN"/>
        </w:rPr>
        <w:t>2024.4.18</w:t>
      </w:r>
      <w:r>
        <w:rPr>
          <w:rFonts w:hint="eastAsia" w:hAnsi="宋体" w:eastAsia="宋体"/>
          <w:kern w:val="0"/>
          <w:sz w:val="21"/>
          <w:szCs w:val="21"/>
        </w:rPr>
        <w:t xml:space="preserve">     </w:t>
      </w:r>
      <w:r>
        <w:rPr>
          <w:rFonts w:hAnsi="宋体" w:eastAsia="宋体"/>
          <w:kern w:val="0"/>
          <w:sz w:val="21"/>
          <w:szCs w:val="21"/>
        </w:rPr>
        <w:t>联系电话：</w:t>
      </w:r>
      <w:r>
        <w:rPr>
          <w:rFonts w:hint="eastAsia" w:hAnsi="宋体" w:eastAsia="宋体"/>
          <w:kern w:val="0"/>
          <w:sz w:val="21"/>
          <w:szCs w:val="21"/>
          <w:lang w:val="en-US" w:eastAsia="zh-CN"/>
        </w:rPr>
        <w:t>8822798</w:t>
      </w:r>
      <w:r>
        <w:rPr>
          <w:rFonts w:hint="eastAsia" w:hAnsi="宋体" w:eastAsia="宋体"/>
          <w:kern w:val="0"/>
          <w:sz w:val="21"/>
          <w:szCs w:val="21"/>
        </w:rPr>
        <w:t xml:space="preserve">  </w:t>
      </w:r>
      <w:r>
        <w:rPr>
          <w:rFonts w:hAnsi="宋体" w:eastAsia="宋体"/>
          <w:kern w:val="0"/>
          <w:sz w:val="21"/>
          <w:szCs w:val="21"/>
        </w:rPr>
        <w:t>单位负责人签字：</w:t>
      </w:r>
    </w:p>
    <w:p>
      <w:pPr>
        <w:autoSpaceDE w:val="0"/>
        <w:autoSpaceDN w:val="0"/>
        <w:spacing w:line="320" w:lineRule="exact"/>
        <w:rPr>
          <w:rFonts w:eastAsia="宋体"/>
          <w:kern w:val="0"/>
          <w:sz w:val="21"/>
          <w:szCs w:val="21"/>
        </w:rPr>
      </w:pPr>
    </w:p>
    <w:p>
      <w:pPr>
        <w:spacing w:line="594" w:lineRule="exact"/>
        <w:rPr>
          <w:rFonts w:eastAsia="黑体"/>
          <w:bCs/>
          <w:kern w:val="0"/>
          <w:szCs w:val="32"/>
        </w:rPr>
      </w:pPr>
    </w:p>
    <w:p>
      <w:pPr>
        <w:autoSpaceDE w:val="0"/>
        <w:autoSpaceDN w:val="0"/>
        <w:spacing w:line="320" w:lineRule="exact"/>
        <w:rPr>
          <w:rFonts w:eastAsia="宋体"/>
          <w:kern w:val="0"/>
          <w:sz w:val="21"/>
          <w:szCs w:val="21"/>
        </w:rPr>
      </w:pPr>
    </w:p>
    <w:p>
      <w:pPr>
        <w:spacing w:line="594" w:lineRule="exact"/>
        <w:rPr>
          <w:rFonts w:eastAsia="黑体"/>
          <w:bCs/>
          <w:kern w:val="0"/>
          <w:szCs w:val="32"/>
        </w:rPr>
      </w:pPr>
    </w:p>
    <w:p>
      <w:pPr>
        <w:spacing w:line="594" w:lineRule="exact"/>
        <w:rPr>
          <w:rFonts w:eastAsia="黑体"/>
          <w:bCs/>
          <w:color w:val="0000FF"/>
          <w:kern w:val="0"/>
          <w:szCs w:val="32"/>
        </w:rPr>
      </w:pPr>
      <w:r>
        <w:rPr>
          <w:rFonts w:eastAsia="黑体"/>
          <w:bCs/>
          <w:color w:val="0000FF"/>
          <w:kern w:val="0"/>
          <w:szCs w:val="32"/>
        </w:rPr>
        <w:t>附件5</w:t>
      </w:r>
    </w:p>
    <w:p>
      <w:pPr>
        <w:spacing w:line="594" w:lineRule="exact"/>
        <w:jc w:val="center"/>
        <w:rPr>
          <w:rFonts w:eastAsia="方正小标宋简体"/>
          <w:bCs/>
          <w:kern w:val="0"/>
          <w:sz w:val="44"/>
          <w:szCs w:val="44"/>
        </w:rPr>
      </w:pPr>
      <w:r>
        <w:rPr>
          <w:rFonts w:eastAsia="方正小标宋简体"/>
          <w:bCs/>
          <w:kern w:val="0"/>
          <w:sz w:val="44"/>
          <w:szCs w:val="44"/>
        </w:rPr>
        <w:t>2023年度</w:t>
      </w:r>
      <w:r>
        <w:rPr>
          <w:rFonts w:hint="eastAsia" w:eastAsia="方正小标宋简体"/>
          <w:bCs/>
          <w:kern w:val="0"/>
          <w:sz w:val="44"/>
          <w:szCs w:val="44"/>
        </w:rPr>
        <w:t>县拆地拆迁安置与房屋征收补偿事务中心专项</w:t>
      </w:r>
      <w:r>
        <w:rPr>
          <w:rFonts w:eastAsia="方正小标宋简体"/>
          <w:bCs/>
          <w:kern w:val="0"/>
          <w:sz w:val="44"/>
          <w:szCs w:val="44"/>
        </w:rPr>
        <w:t>支出绩效报告</w:t>
      </w:r>
    </w:p>
    <w:p>
      <w:pPr>
        <w:spacing w:line="594" w:lineRule="exact"/>
        <w:rPr>
          <w:b/>
          <w:bCs/>
          <w:kern w:val="0"/>
          <w:szCs w:val="32"/>
        </w:rPr>
      </w:pPr>
    </w:p>
    <w:p>
      <w:pPr>
        <w:spacing w:line="594" w:lineRule="exact"/>
        <w:ind w:firstLine="640" w:firstLineChars="200"/>
        <w:rPr>
          <w:rFonts w:eastAsia="黑体"/>
          <w:kern w:val="0"/>
          <w:szCs w:val="32"/>
        </w:rPr>
      </w:pPr>
      <w:r>
        <w:rPr>
          <w:rFonts w:eastAsia="黑体"/>
          <w:bCs/>
          <w:kern w:val="0"/>
          <w:szCs w:val="32"/>
        </w:rPr>
        <w:t>一、项目概况</w:t>
      </w:r>
    </w:p>
    <w:p>
      <w:pPr>
        <w:spacing w:line="594" w:lineRule="exact"/>
        <w:ind w:firstLine="640" w:firstLineChars="200"/>
        <w:rPr>
          <w:kern w:val="0"/>
          <w:szCs w:val="32"/>
        </w:rPr>
      </w:pPr>
      <w:r>
        <w:rPr>
          <w:kern w:val="0"/>
          <w:szCs w:val="32"/>
        </w:rPr>
        <w:t>（一）项目单位基本情况。</w:t>
      </w:r>
    </w:p>
    <w:p>
      <w:pPr>
        <w:spacing w:line="580" w:lineRule="exact"/>
        <w:ind w:firstLine="640"/>
        <w:rPr>
          <w:b/>
          <w:color w:val="000000" w:themeColor="text1"/>
          <w:szCs w:val="32"/>
        </w:rPr>
      </w:pPr>
      <w:r>
        <w:rPr>
          <w:b/>
          <w:color w:val="000000" w:themeColor="text1"/>
          <w:szCs w:val="32"/>
        </w:rPr>
        <w:t>1.</w:t>
      </w:r>
      <w:r>
        <w:rPr>
          <w:rFonts w:hAnsi="仿宋_GB2312"/>
          <w:b/>
          <w:color w:val="000000" w:themeColor="text1"/>
          <w:szCs w:val="32"/>
        </w:rPr>
        <w:t>部门在职人员情况</w:t>
      </w:r>
    </w:p>
    <w:p>
      <w:pPr>
        <w:spacing w:line="580" w:lineRule="exact"/>
        <w:ind w:firstLine="640"/>
        <w:rPr>
          <w:color w:val="000000" w:themeColor="text1"/>
          <w:szCs w:val="32"/>
        </w:rPr>
      </w:pPr>
      <w:r>
        <w:rPr>
          <w:color w:val="000000" w:themeColor="text1"/>
          <w:szCs w:val="32"/>
        </w:rPr>
        <w:t>桃江县</w:t>
      </w:r>
      <w:r>
        <w:rPr>
          <w:rFonts w:hint="eastAsia"/>
          <w:color w:val="000000" w:themeColor="text1"/>
          <w:szCs w:val="32"/>
        </w:rPr>
        <w:t>征地拆迁安置与房屋征收补偿事务</w:t>
      </w:r>
      <w:r>
        <w:rPr>
          <w:color w:val="000000" w:themeColor="text1"/>
          <w:szCs w:val="32"/>
        </w:rPr>
        <w:t>中心为</w:t>
      </w:r>
      <w:r>
        <w:rPr>
          <w:rFonts w:hint="eastAsia"/>
          <w:color w:val="000000" w:themeColor="text1"/>
          <w:szCs w:val="32"/>
        </w:rPr>
        <w:t>正</w:t>
      </w:r>
      <w:r>
        <w:rPr>
          <w:color w:val="000000" w:themeColor="text1"/>
          <w:szCs w:val="32"/>
        </w:rPr>
        <w:t>科级公益一类事业单位。内设</w:t>
      </w:r>
      <w:r>
        <w:rPr>
          <w:rFonts w:hint="eastAsia"/>
          <w:color w:val="000000" w:themeColor="text1"/>
          <w:szCs w:val="32"/>
        </w:rPr>
        <w:t>12个股室</w:t>
      </w:r>
      <w:r>
        <w:rPr>
          <w:color w:val="000000" w:themeColor="text1"/>
          <w:szCs w:val="32"/>
        </w:rPr>
        <w:t>，单位核定事业编制人员</w:t>
      </w:r>
      <w:r>
        <w:rPr>
          <w:rFonts w:hint="eastAsia"/>
          <w:color w:val="000000" w:themeColor="text1"/>
          <w:szCs w:val="32"/>
        </w:rPr>
        <w:t>40</w:t>
      </w:r>
      <w:r>
        <w:rPr>
          <w:color w:val="000000" w:themeColor="text1"/>
          <w:szCs w:val="32"/>
        </w:rPr>
        <w:t>人，在岗</w:t>
      </w:r>
      <w:r>
        <w:rPr>
          <w:rFonts w:hint="eastAsia"/>
          <w:color w:val="000000" w:themeColor="text1"/>
          <w:szCs w:val="32"/>
        </w:rPr>
        <w:t>37</w:t>
      </w:r>
      <w:r>
        <w:rPr>
          <w:color w:val="000000" w:themeColor="text1"/>
          <w:szCs w:val="32"/>
        </w:rPr>
        <w:t>人，退休人员</w:t>
      </w:r>
      <w:r>
        <w:rPr>
          <w:rFonts w:hint="eastAsia"/>
          <w:color w:val="000000" w:themeColor="text1"/>
          <w:szCs w:val="32"/>
        </w:rPr>
        <w:t>4</w:t>
      </w:r>
      <w:r>
        <w:rPr>
          <w:color w:val="000000" w:themeColor="text1"/>
          <w:szCs w:val="32"/>
        </w:rPr>
        <w:t>人。</w:t>
      </w:r>
    </w:p>
    <w:p>
      <w:pPr>
        <w:spacing w:line="580" w:lineRule="exact"/>
        <w:ind w:firstLine="640"/>
        <w:rPr>
          <w:b/>
          <w:color w:val="000000" w:themeColor="text1"/>
          <w:szCs w:val="32"/>
        </w:rPr>
      </w:pPr>
      <w:r>
        <w:rPr>
          <w:b/>
          <w:color w:val="000000" w:themeColor="text1"/>
          <w:szCs w:val="32"/>
        </w:rPr>
        <w:t>2.主要职能</w:t>
      </w:r>
    </w:p>
    <w:p>
      <w:pPr>
        <w:snapToGrid w:val="0"/>
        <w:spacing w:line="520" w:lineRule="exact"/>
        <w:ind w:firstLine="640" w:firstLineChars="200"/>
        <w:rPr>
          <w:rFonts w:ascii="仿宋_GB2312" w:hAnsi="仿宋"/>
          <w:szCs w:val="32"/>
        </w:rPr>
      </w:pPr>
      <w:r>
        <w:rPr>
          <w:rFonts w:hint="eastAsia" w:ascii="仿宋_GB2312" w:hAnsi="仿宋"/>
          <w:szCs w:val="32"/>
        </w:rPr>
        <w:t>负责执行土地与房屋征收补偿安置制度的制定、宣传、解释；编制、汇总全县土地与房屋征收补偿的数据；负责开展拟征收土地现状调查、社会稳定风险评估、集体土地征收补偿登记；对征收范围内的房屋组织调查登记，拟定征收决定和补偿方案；负责起草归口项目资金结算调度方案；负责组织实施县城规划区和县人民政府总承包大型工程项目的集体土地与房屋征收补偿安置事务；承办县委、县人民政府交办的其他事项等。</w:t>
      </w:r>
    </w:p>
    <w:p>
      <w:pPr>
        <w:spacing w:line="594" w:lineRule="exact"/>
        <w:ind w:firstLine="640" w:firstLineChars="200"/>
        <w:rPr>
          <w:kern w:val="0"/>
          <w:szCs w:val="32"/>
        </w:rPr>
      </w:pPr>
      <w:r>
        <w:rPr>
          <w:kern w:val="0"/>
          <w:szCs w:val="32"/>
        </w:rPr>
        <w:t>（二）项目基本情况简介。</w:t>
      </w:r>
    </w:p>
    <w:p>
      <w:pPr>
        <w:spacing w:line="580" w:lineRule="exact"/>
        <w:ind w:firstLine="640"/>
        <w:rPr>
          <w:rFonts w:ascii="仿宋_GB2312" w:hAnsi="仿宋_GB2312" w:cs="仿宋_GB2312"/>
          <w:szCs w:val="40"/>
        </w:rPr>
      </w:pPr>
      <w:r>
        <w:rPr>
          <w:rFonts w:hint="eastAsia" w:ascii="仿宋_GB2312" w:hAnsi="仿宋_GB2312" w:cs="仿宋_GB2312"/>
          <w:szCs w:val="40"/>
        </w:rPr>
        <w:t>县委、县政府高度重视征地拆迁工作，县财政2023年度安排77万元征地拆迁工作经费用于保障</w:t>
      </w:r>
      <w:r>
        <w:rPr>
          <w:rFonts w:hint="eastAsia"/>
          <w:color w:val="000000" w:themeColor="text1"/>
          <w:szCs w:val="32"/>
        </w:rPr>
        <w:t>征地拆迁安置与房屋征收补偿事务</w:t>
      </w:r>
      <w:r>
        <w:rPr>
          <w:color w:val="000000" w:themeColor="text1"/>
          <w:szCs w:val="32"/>
        </w:rPr>
        <w:t>中心</w:t>
      </w:r>
      <w:r>
        <w:rPr>
          <w:rFonts w:hint="eastAsia" w:ascii="仿宋_GB2312" w:hAnsi="仿宋_GB2312" w:cs="仿宋_GB2312"/>
          <w:szCs w:val="40"/>
        </w:rPr>
        <w:t>日常运转，</w:t>
      </w:r>
      <w:r>
        <w:rPr>
          <w:rFonts w:hint="eastAsia" w:ascii="仿宋_GB2312" w:hAnsi="仿宋_GB2312" w:cs="仿宋_GB2312"/>
          <w:szCs w:val="40"/>
          <w:lang w:eastAsia="zh-CN"/>
        </w:rPr>
        <w:t>安排</w:t>
      </w:r>
      <w:r>
        <w:rPr>
          <w:rFonts w:hint="eastAsia" w:ascii="仿宋_GB2312" w:hAnsi="仿宋_GB2312" w:cs="仿宋_GB2312"/>
          <w:szCs w:val="40"/>
          <w:lang w:val="en-US" w:eastAsia="zh-CN"/>
        </w:rPr>
        <w:t>40万元安置攻坚、</w:t>
      </w:r>
      <w:r>
        <w:rPr>
          <w:rFonts w:hint="eastAsia" w:hAnsi="仿宋_GB2312"/>
          <w:color w:val="000000" w:themeColor="text1"/>
          <w:szCs w:val="32"/>
        </w:rPr>
        <w:t>乡村振兴、法规宣传经费</w:t>
      </w:r>
      <w:r>
        <w:rPr>
          <w:rFonts w:hint="eastAsia" w:hAnsi="仿宋_GB2312"/>
          <w:color w:val="000000" w:themeColor="text1"/>
          <w:szCs w:val="32"/>
          <w:lang w:eastAsia="zh-CN"/>
        </w:rPr>
        <w:t>用于</w:t>
      </w:r>
      <w:r>
        <w:rPr>
          <w:rFonts w:hint="eastAsia" w:hAnsi="仿宋_GB2312"/>
          <w:color w:val="000000" w:themeColor="text1"/>
          <w:szCs w:val="32"/>
        </w:rPr>
        <w:t>安置攻坚、乡村振兴、法规宣传</w:t>
      </w:r>
      <w:r>
        <w:rPr>
          <w:rFonts w:hint="eastAsia" w:hAnsi="仿宋_GB2312"/>
          <w:color w:val="000000" w:themeColor="text1"/>
          <w:szCs w:val="32"/>
          <w:lang w:eastAsia="zh-CN"/>
        </w:rPr>
        <w:t>专项</w:t>
      </w:r>
      <w:r>
        <w:rPr>
          <w:rFonts w:hint="eastAsia" w:hAnsi="仿宋_GB2312"/>
          <w:color w:val="000000" w:themeColor="text1"/>
          <w:szCs w:val="32"/>
        </w:rPr>
        <w:t>支出，46.18万元</w:t>
      </w:r>
      <w:r>
        <w:rPr>
          <w:rFonts w:hint="eastAsia" w:hAnsi="仿宋_GB2312"/>
          <w:color w:val="000000" w:themeColor="text1"/>
          <w:szCs w:val="32"/>
          <w:lang w:eastAsia="zh-CN"/>
        </w:rPr>
        <w:t>专项用于发放</w:t>
      </w:r>
      <w:r>
        <w:rPr>
          <w:rFonts w:hint="eastAsia" w:hAnsi="仿宋_GB2312"/>
          <w:color w:val="000000" w:themeColor="text1"/>
          <w:szCs w:val="32"/>
        </w:rPr>
        <w:t>绩效奖励、住房公积金、养老保险</w:t>
      </w:r>
      <w:r>
        <w:rPr>
          <w:rFonts w:hint="eastAsia" w:hAnsi="仿宋_GB2312"/>
          <w:color w:val="000000" w:themeColor="text1"/>
          <w:szCs w:val="32"/>
          <w:lang w:eastAsia="zh-CN"/>
        </w:rPr>
        <w:t>支出。</w:t>
      </w:r>
    </w:p>
    <w:p>
      <w:pPr>
        <w:spacing w:line="594" w:lineRule="exact"/>
        <w:ind w:firstLine="640" w:firstLineChars="200"/>
        <w:rPr>
          <w:rFonts w:eastAsia="黑体"/>
          <w:bCs/>
          <w:kern w:val="0"/>
          <w:szCs w:val="32"/>
        </w:rPr>
      </w:pPr>
      <w:r>
        <w:rPr>
          <w:rFonts w:eastAsia="黑体"/>
          <w:bCs/>
          <w:kern w:val="0"/>
          <w:szCs w:val="32"/>
        </w:rPr>
        <w:t>二、项目资金使用及管理情况分析</w:t>
      </w:r>
    </w:p>
    <w:p>
      <w:pPr>
        <w:spacing w:line="594" w:lineRule="exact"/>
        <w:ind w:firstLine="640" w:firstLineChars="200"/>
        <w:rPr>
          <w:kern w:val="0"/>
          <w:szCs w:val="32"/>
        </w:rPr>
      </w:pPr>
      <w:r>
        <w:rPr>
          <w:kern w:val="0"/>
          <w:szCs w:val="32"/>
        </w:rPr>
        <w:t>（一）</w:t>
      </w:r>
      <w:r>
        <w:rPr>
          <w:rFonts w:hint="eastAsia"/>
          <w:kern w:val="0"/>
          <w:szCs w:val="32"/>
        </w:rPr>
        <w:t>专项</w:t>
      </w:r>
      <w:r>
        <w:rPr>
          <w:kern w:val="0"/>
          <w:szCs w:val="32"/>
        </w:rPr>
        <w:t>资金</w:t>
      </w:r>
      <w:r>
        <w:rPr>
          <w:rFonts w:hint="eastAsia"/>
          <w:kern w:val="0"/>
          <w:szCs w:val="32"/>
        </w:rPr>
        <w:t>年初纳入财政预算</w:t>
      </w:r>
      <w:r>
        <w:rPr>
          <w:rFonts w:hint="eastAsia"/>
          <w:kern w:val="0"/>
          <w:szCs w:val="32"/>
          <w:lang w:eastAsia="zh-CN"/>
        </w:rPr>
        <w:t>，</w:t>
      </w:r>
      <w:r>
        <w:rPr>
          <w:rFonts w:hint="eastAsia" w:hAnsi="仿宋_GB2312"/>
          <w:color w:val="000000" w:themeColor="text1"/>
          <w:szCs w:val="32"/>
        </w:rPr>
        <w:t>主要用于征地拆迁工作费用支出、安置攻坚、乡村振兴、法规宣传支出、绩效奖励、住房公积金、养老保险等支出</w:t>
      </w:r>
      <w:r>
        <w:rPr>
          <w:rFonts w:hAnsi="仿宋_GB2312"/>
          <w:color w:val="000000" w:themeColor="text1"/>
          <w:szCs w:val="32"/>
        </w:rPr>
        <w:t>。</w:t>
      </w:r>
    </w:p>
    <w:p>
      <w:pPr>
        <w:spacing w:line="590" w:lineRule="exact"/>
        <w:ind w:firstLine="640" w:firstLineChars="200"/>
        <w:rPr>
          <w:kern w:val="0"/>
          <w:szCs w:val="32"/>
        </w:rPr>
      </w:pPr>
      <w:r>
        <w:rPr>
          <w:kern w:val="0"/>
          <w:szCs w:val="32"/>
        </w:rPr>
        <w:t>（</w:t>
      </w:r>
      <w:r>
        <w:rPr>
          <w:rFonts w:hint="eastAsia"/>
          <w:kern w:val="0"/>
          <w:szCs w:val="32"/>
          <w:lang w:eastAsia="zh-CN"/>
        </w:rPr>
        <w:t>二</w:t>
      </w:r>
      <w:r>
        <w:rPr>
          <w:kern w:val="0"/>
          <w:szCs w:val="32"/>
        </w:rPr>
        <w:t>）项目资金管理情况分析</w:t>
      </w:r>
    </w:p>
    <w:p>
      <w:pPr>
        <w:spacing w:line="580" w:lineRule="exact"/>
        <w:ind w:firstLine="640"/>
        <w:rPr>
          <w:color w:val="000000" w:themeColor="text1"/>
          <w:szCs w:val="32"/>
        </w:rPr>
      </w:pPr>
      <w:r>
        <w:rPr>
          <w:rFonts w:hint="eastAsia"/>
          <w:color w:val="000000" w:themeColor="text1"/>
          <w:szCs w:val="32"/>
        </w:rPr>
        <w:t>征地拆迁安置与房屋征收补偿事务</w:t>
      </w:r>
      <w:r>
        <w:rPr>
          <w:color w:val="000000" w:themeColor="text1"/>
          <w:szCs w:val="32"/>
        </w:rPr>
        <w:t>中心</w:t>
      </w:r>
      <w:r>
        <w:rPr>
          <w:rFonts w:hint="eastAsia"/>
          <w:kern w:val="0"/>
          <w:szCs w:val="32"/>
        </w:rPr>
        <w:t>制定了</w:t>
      </w:r>
      <w:r>
        <w:rPr>
          <w:rFonts w:hAnsi="仿宋_GB2312"/>
          <w:color w:val="000000" w:themeColor="text1"/>
          <w:szCs w:val="32"/>
        </w:rPr>
        <w:t>《桃江县</w:t>
      </w:r>
      <w:r>
        <w:rPr>
          <w:rFonts w:hint="eastAsia" w:hAnsi="仿宋_GB2312"/>
          <w:color w:val="000000" w:themeColor="text1"/>
          <w:szCs w:val="32"/>
        </w:rPr>
        <w:t>征地拆迁安置与房屋征收补偿事务</w:t>
      </w:r>
      <w:r>
        <w:rPr>
          <w:rFonts w:hAnsi="仿宋_GB2312"/>
          <w:color w:val="000000" w:themeColor="text1"/>
          <w:szCs w:val="32"/>
        </w:rPr>
        <w:t>中心财务管理制度》等内部制度。</w:t>
      </w:r>
      <w:r>
        <w:rPr>
          <w:rFonts w:hint="eastAsia"/>
          <w:color w:val="000000" w:themeColor="text1"/>
          <w:szCs w:val="32"/>
        </w:rPr>
        <w:t>严格按计划和预算的执行和决算、做到财务收支平衡。</w:t>
      </w:r>
    </w:p>
    <w:p>
      <w:pPr>
        <w:spacing w:line="594" w:lineRule="exact"/>
        <w:ind w:firstLine="640" w:firstLineChars="200"/>
        <w:rPr>
          <w:rFonts w:eastAsia="黑体"/>
          <w:bCs/>
          <w:kern w:val="0"/>
          <w:szCs w:val="32"/>
        </w:rPr>
      </w:pPr>
      <w:r>
        <w:rPr>
          <w:rFonts w:hint="eastAsia" w:eastAsia="黑体"/>
          <w:bCs/>
          <w:kern w:val="0"/>
          <w:szCs w:val="32"/>
        </w:rPr>
        <w:t>三</w:t>
      </w:r>
      <w:r>
        <w:rPr>
          <w:rFonts w:eastAsia="黑体"/>
          <w:bCs/>
          <w:kern w:val="0"/>
          <w:szCs w:val="32"/>
        </w:rPr>
        <w:t>、项目绩效情况分析</w:t>
      </w:r>
    </w:p>
    <w:p>
      <w:pPr>
        <w:spacing w:line="594" w:lineRule="exact"/>
        <w:ind w:firstLine="640" w:firstLineChars="200"/>
        <w:rPr>
          <w:rFonts w:ascii="仿宋_GB2312" w:hAnsi="仿宋_GB2312" w:cs="仿宋_GB2312"/>
          <w:szCs w:val="32"/>
        </w:rPr>
      </w:pPr>
      <w:r>
        <w:rPr>
          <w:rFonts w:hint="eastAsia" w:ascii="楷体" w:hAnsi="楷体" w:eastAsia="楷体" w:cs="楷体"/>
          <w:color w:val="000000" w:themeColor="text1"/>
          <w:szCs w:val="32"/>
        </w:rPr>
        <w:t>（一）</w:t>
      </w:r>
      <w:r>
        <w:rPr>
          <w:rFonts w:hint="eastAsia" w:ascii="楷体_GB2312" w:hAnsi="楷体_GB2312" w:eastAsia="楷体_GB2312" w:cs="楷体_GB2312"/>
          <w:bCs/>
          <w:szCs w:val="32"/>
        </w:rPr>
        <w:t>加强人才队伍建设。</w:t>
      </w:r>
      <w:r>
        <w:rPr>
          <w:rFonts w:ascii="仿宋_GB2312" w:hAnsi="仿宋_GB2312" w:cs="仿宋_GB2312"/>
          <w:szCs w:val="32"/>
        </w:rPr>
        <w:t xml:space="preserve"> </w:t>
      </w:r>
      <w:r>
        <w:rPr>
          <w:rFonts w:hint="eastAsia" w:ascii="仿宋_GB2312" w:hAnsi="仿宋_GB2312" w:cs="仿宋_GB2312"/>
          <w:szCs w:val="32"/>
        </w:rPr>
        <w:t xml:space="preserve">始终坚持党对征拆工作的全面领导，探索创新“党建+履职”模式，切实把党的领导贯穿征拆安置履职各方面和全过程。强化班子和干部队伍的管理，充分发挥班子和干部队伍的凝聚力、战斗力。 </w:t>
      </w:r>
    </w:p>
    <w:p>
      <w:pPr>
        <w:kinsoku w:val="0"/>
        <w:overflowPunct w:val="0"/>
        <w:autoSpaceDE w:val="0"/>
        <w:autoSpaceDN w:val="0"/>
        <w:adjustRightInd w:val="0"/>
        <w:snapToGrid w:val="0"/>
        <w:spacing w:line="594" w:lineRule="exact"/>
        <w:ind w:firstLine="640" w:firstLineChars="200"/>
        <w:rPr>
          <w:rFonts w:ascii="仿宋_GB2312" w:hAnsi="仿宋_GB2312" w:cs="仿宋_GB2312"/>
          <w:color w:val="000000" w:themeColor="text1"/>
          <w:szCs w:val="32"/>
        </w:rPr>
      </w:pPr>
      <w:r>
        <w:rPr>
          <w:rFonts w:hint="eastAsia" w:ascii="楷体" w:hAnsi="楷体" w:eastAsia="楷体" w:cs="楷体"/>
          <w:color w:val="000000" w:themeColor="text1"/>
          <w:szCs w:val="32"/>
        </w:rPr>
        <w:t>（二）优化工作机制。</w:t>
      </w:r>
      <w:r>
        <w:rPr>
          <w:rFonts w:hint="eastAsia" w:ascii="仿宋_GB2312" w:hAnsi="仿宋_GB2312" w:cs="仿宋_GB2312"/>
          <w:color w:val="000000" w:themeColor="text1"/>
          <w:szCs w:val="32"/>
        </w:rPr>
        <w:t>我中心作为县人民政府履行征拆工作的法律主体，要按照“政策把关、资金监管、业务指导、工作统筹”工作方针，全面理清同各乡镇（项目指挥部）、桃江高新区、县自然资源局、县城投集团及项目业主的关系，尽快出台理顺和规范体制机制相关文件，进一步明确各</w:t>
      </w:r>
      <w:bookmarkStart w:id="2" w:name="_GoBack"/>
      <w:bookmarkEnd w:id="2"/>
      <w:r>
        <w:rPr>
          <w:rFonts w:hint="eastAsia" w:ascii="仿宋_GB2312" w:hAnsi="仿宋_GB2312" w:cs="仿宋_GB2312"/>
          <w:color w:val="000000" w:themeColor="text1"/>
          <w:szCs w:val="32"/>
        </w:rPr>
        <w:t>方职责，确保全县征地拆迁安置工作健康有序发展。</w:t>
      </w:r>
    </w:p>
    <w:p>
      <w:pPr>
        <w:spacing w:line="594" w:lineRule="exact"/>
        <w:ind w:firstLine="640" w:firstLineChars="200"/>
        <w:rPr>
          <w:rFonts w:ascii="仿宋_GB2312" w:hAnsi="仿宋_GB2312" w:cs="仿宋_GB2312"/>
          <w:color w:val="000000" w:themeColor="text1"/>
          <w:szCs w:val="32"/>
        </w:rPr>
      </w:pPr>
      <w:r>
        <w:rPr>
          <w:rFonts w:hint="eastAsia" w:ascii="楷体" w:hAnsi="楷体" w:eastAsia="楷体" w:cs="楷体"/>
          <w:color w:val="000000" w:themeColor="text1"/>
          <w:szCs w:val="32"/>
        </w:rPr>
        <w:t>（三）解决遗留问题。</w:t>
      </w:r>
      <w:r>
        <w:rPr>
          <w:rFonts w:hint="eastAsia" w:ascii="仿宋_GB2312" w:hAnsi="仿宋_GB2312" w:cs="仿宋_GB2312"/>
          <w:color w:val="000000" w:themeColor="text1"/>
          <w:szCs w:val="32"/>
        </w:rPr>
        <w:t>全面梳理征地拆迁和安置工作中的各类遗留问题，并逐一解决，逐步减小过渡费发放基数。</w:t>
      </w:r>
    </w:p>
    <w:p>
      <w:pPr>
        <w:spacing w:line="594" w:lineRule="exact"/>
        <w:ind w:firstLine="640" w:firstLineChars="200"/>
        <w:rPr>
          <w:color w:val="000000" w:themeColor="text1"/>
          <w:szCs w:val="32"/>
        </w:rPr>
      </w:pPr>
      <w:r>
        <w:rPr>
          <w:rFonts w:hint="eastAsia" w:ascii="楷体" w:hAnsi="楷体" w:eastAsia="楷体" w:cs="楷体"/>
          <w:color w:val="000000" w:themeColor="text1"/>
          <w:szCs w:val="32"/>
        </w:rPr>
        <w:t>（四）实行安置转型。</w:t>
      </w:r>
      <w:r>
        <w:rPr>
          <w:rFonts w:hint="eastAsia"/>
          <w:color w:val="000000" w:themeColor="text1"/>
          <w:szCs w:val="32"/>
        </w:rPr>
        <w:t>县城规划区范围内的居民住宅原则上采用住房货币化安置，取消宅基地安置。要对照《益阳市集体土地征收与房屋拆迁补偿安置办法》尽快出台适用我县的文件。</w:t>
      </w:r>
    </w:p>
    <w:p>
      <w:pPr>
        <w:spacing w:line="594" w:lineRule="exact"/>
        <w:ind w:firstLine="640" w:firstLineChars="200"/>
        <w:rPr>
          <w:rFonts w:eastAsia="黑体"/>
          <w:bCs/>
          <w:kern w:val="0"/>
          <w:szCs w:val="32"/>
        </w:rPr>
      </w:pPr>
      <w:r>
        <w:rPr>
          <w:rFonts w:hint="eastAsia" w:eastAsia="黑体"/>
          <w:bCs/>
          <w:kern w:val="0"/>
          <w:szCs w:val="32"/>
        </w:rPr>
        <w:t>四</w:t>
      </w:r>
      <w:r>
        <w:rPr>
          <w:rFonts w:eastAsia="黑体"/>
          <w:bCs/>
          <w:kern w:val="0"/>
          <w:szCs w:val="32"/>
        </w:rPr>
        <w:t>、绩效评价工作开展情况</w:t>
      </w:r>
    </w:p>
    <w:p>
      <w:pPr>
        <w:spacing w:line="580" w:lineRule="exact"/>
        <w:ind w:firstLine="640" w:firstLineChars="200"/>
        <w:rPr>
          <w:rFonts w:eastAsia="楷体_GB2312"/>
          <w:bCs/>
          <w:color w:val="000000" w:themeColor="text1"/>
          <w:szCs w:val="32"/>
        </w:rPr>
      </w:pPr>
      <w:r>
        <w:rPr>
          <w:rFonts w:hAnsi="楷体_GB2312" w:eastAsia="楷体_GB2312"/>
          <w:color w:val="000000" w:themeColor="text1"/>
          <w:szCs w:val="32"/>
        </w:rPr>
        <w:t>（一）</w:t>
      </w:r>
      <w:r>
        <w:rPr>
          <w:rFonts w:hint="eastAsia" w:hAnsi="楷体_GB2312" w:eastAsia="楷体_GB2312"/>
          <w:color w:val="000000" w:themeColor="text1"/>
          <w:szCs w:val="32"/>
        </w:rPr>
        <w:t>项目</w:t>
      </w:r>
      <w:r>
        <w:rPr>
          <w:rFonts w:hAnsi="楷体_GB2312" w:eastAsia="楷体_GB2312"/>
          <w:bCs/>
          <w:color w:val="000000" w:themeColor="text1"/>
          <w:szCs w:val="32"/>
        </w:rPr>
        <w:t>绩效评价目的</w:t>
      </w:r>
    </w:p>
    <w:p>
      <w:pPr>
        <w:spacing w:line="580" w:lineRule="exact"/>
        <w:ind w:firstLine="640"/>
        <w:rPr>
          <w:color w:val="000000" w:themeColor="text1"/>
          <w:szCs w:val="32"/>
        </w:rPr>
      </w:pPr>
      <w:r>
        <w:rPr>
          <w:rFonts w:hAnsi="仿宋_GB2312"/>
          <w:color w:val="000000" w:themeColor="text1"/>
          <w:szCs w:val="32"/>
        </w:rPr>
        <w:t>本次绩效评价的目的是为了全面分析和综合评价</w:t>
      </w:r>
      <w:r>
        <w:rPr>
          <w:rFonts w:hint="eastAsia"/>
          <w:color w:val="000000" w:themeColor="text1"/>
          <w:szCs w:val="32"/>
        </w:rPr>
        <w:t>征地拆迁安置与房屋征收补偿事务</w:t>
      </w:r>
      <w:r>
        <w:rPr>
          <w:color w:val="000000" w:themeColor="text1"/>
          <w:szCs w:val="32"/>
        </w:rPr>
        <w:t>中心</w:t>
      </w:r>
      <w:r>
        <w:rPr>
          <w:rFonts w:hint="eastAsia"/>
          <w:color w:val="000000" w:themeColor="text1"/>
          <w:szCs w:val="32"/>
        </w:rPr>
        <w:t>征地拆迁工作经费</w:t>
      </w:r>
      <w:r>
        <w:rPr>
          <w:rFonts w:hint="eastAsia" w:hAnsi="仿宋_GB2312"/>
          <w:color w:val="000000" w:themeColor="text1"/>
          <w:szCs w:val="32"/>
        </w:rPr>
        <w:t>专项预算资金</w:t>
      </w:r>
      <w:r>
        <w:rPr>
          <w:rFonts w:hAnsi="仿宋_GB2312"/>
          <w:color w:val="000000" w:themeColor="text1"/>
          <w:szCs w:val="32"/>
        </w:rPr>
        <w:t>的使用管理情况，为切实提高财政资金使用效益，强化预算支出的责任和效率提供参考依据。</w:t>
      </w:r>
    </w:p>
    <w:p>
      <w:pPr>
        <w:spacing w:line="580" w:lineRule="exact"/>
        <w:ind w:firstLine="643"/>
        <w:rPr>
          <w:rFonts w:eastAsia="楷体_GB2312"/>
          <w:bCs/>
          <w:color w:val="000000" w:themeColor="text1"/>
          <w:szCs w:val="32"/>
        </w:rPr>
      </w:pPr>
      <w:r>
        <w:rPr>
          <w:rFonts w:hAnsi="楷体_GB2312" w:eastAsia="楷体_GB2312"/>
          <w:bCs/>
          <w:color w:val="000000" w:themeColor="text1"/>
          <w:szCs w:val="32"/>
        </w:rPr>
        <w:t>（二）</w:t>
      </w:r>
      <w:r>
        <w:rPr>
          <w:rFonts w:hint="eastAsia" w:hAnsi="楷体_GB2312" w:eastAsia="楷体_GB2312"/>
          <w:bCs/>
          <w:color w:val="000000" w:themeColor="text1"/>
          <w:szCs w:val="32"/>
        </w:rPr>
        <w:t>项目</w:t>
      </w:r>
      <w:r>
        <w:rPr>
          <w:rFonts w:hAnsi="楷体_GB2312" w:eastAsia="楷体_GB2312"/>
          <w:bCs/>
          <w:color w:val="000000" w:themeColor="text1"/>
          <w:szCs w:val="32"/>
        </w:rPr>
        <w:t>支出绩效目标</w:t>
      </w:r>
    </w:p>
    <w:p>
      <w:pPr>
        <w:spacing w:line="580" w:lineRule="exact"/>
        <w:ind w:firstLine="640" w:firstLineChars="200"/>
        <w:rPr>
          <w:color w:val="000000" w:themeColor="text1"/>
          <w:szCs w:val="32"/>
        </w:rPr>
      </w:pPr>
      <w:r>
        <w:rPr>
          <w:rFonts w:eastAsia="Times New Roman"/>
          <w:color w:val="000000" w:themeColor="text1"/>
          <w:szCs w:val="32"/>
        </w:rPr>
        <w:t>1</w:t>
      </w:r>
      <w:r>
        <w:rPr>
          <w:color w:val="000000" w:themeColor="text1"/>
          <w:szCs w:val="32"/>
        </w:rPr>
        <w:t>.</w:t>
      </w:r>
      <w:r>
        <w:rPr>
          <w:rFonts w:hAnsi="仿宋_GB2312"/>
          <w:color w:val="000000" w:themeColor="text1"/>
          <w:szCs w:val="32"/>
        </w:rPr>
        <w:t>预决算公开：</w:t>
      </w:r>
      <w:r>
        <w:rPr>
          <w:rFonts w:hint="eastAsia"/>
          <w:color w:val="000000" w:themeColor="text1"/>
          <w:szCs w:val="32"/>
        </w:rPr>
        <w:t>2023</w:t>
      </w:r>
      <w:r>
        <w:rPr>
          <w:rFonts w:hAnsi="仿宋_GB2312"/>
          <w:color w:val="000000" w:themeColor="text1"/>
          <w:szCs w:val="32"/>
        </w:rPr>
        <w:t>年，按照上级的要求，我</w:t>
      </w:r>
      <w:r>
        <w:rPr>
          <w:rFonts w:hint="eastAsia" w:hAnsi="仿宋_GB2312"/>
          <w:color w:val="000000" w:themeColor="text1"/>
          <w:szCs w:val="32"/>
        </w:rPr>
        <w:t>主管</w:t>
      </w:r>
      <w:r>
        <w:rPr>
          <w:rFonts w:hAnsi="仿宋_GB2312"/>
          <w:color w:val="000000" w:themeColor="text1"/>
          <w:szCs w:val="32"/>
        </w:rPr>
        <w:t>单位在桃江公众信息网上进行了预决算公开。</w:t>
      </w:r>
    </w:p>
    <w:p>
      <w:pPr>
        <w:spacing w:line="580" w:lineRule="exact"/>
        <w:ind w:firstLine="640"/>
        <w:rPr>
          <w:color w:val="000000" w:themeColor="text1"/>
          <w:szCs w:val="32"/>
        </w:rPr>
      </w:pPr>
      <w:r>
        <w:rPr>
          <w:rFonts w:hAnsi="仿宋_GB2312"/>
          <w:color w:val="000000" w:themeColor="text1"/>
          <w:szCs w:val="32"/>
        </w:rPr>
        <w:t>资产管理：我们进一步加强资产的管理，制定了《桃江县</w:t>
      </w:r>
      <w:r>
        <w:rPr>
          <w:rFonts w:hint="eastAsia"/>
          <w:color w:val="000000" w:themeColor="text1"/>
          <w:szCs w:val="32"/>
        </w:rPr>
        <w:t>征地拆迁安置与房屋征收补偿事务</w:t>
      </w:r>
      <w:r>
        <w:rPr>
          <w:color w:val="000000" w:themeColor="text1"/>
          <w:szCs w:val="32"/>
        </w:rPr>
        <w:t>中心</w:t>
      </w:r>
      <w:r>
        <w:rPr>
          <w:rFonts w:hAnsi="仿宋_GB2312"/>
          <w:color w:val="000000" w:themeColor="text1"/>
          <w:szCs w:val="32"/>
        </w:rPr>
        <w:t>财务管理制度》等，明确了具体责任人，完善了固定资产档案，严格报批、销审等手续，做好资产统计工作，</w:t>
      </w:r>
      <w:r>
        <w:rPr>
          <w:rFonts w:hint="eastAsia" w:hAnsi="仿宋_GB2312"/>
          <w:color w:val="000000" w:themeColor="text1"/>
          <w:szCs w:val="32"/>
        </w:rPr>
        <w:t>按时上报资产报表，及时完成资产增加、处置申报等工作</w:t>
      </w:r>
      <w:r>
        <w:rPr>
          <w:rFonts w:hAnsi="仿宋_GB2312"/>
          <w:color w:val="000000" w:themeColor="text1"/>
          <w:szCs w:val="32"/>
        </w:rPr>
        <w:t>。</w:t>
      </w:r>
    </w:p>
    <w:p>
      <w:pPr>
        <w:spacing w:line="580" w:lineRule="exact"/>
        <w:ind w:firstLine="640" w:firstLineChars="200"/>
        <w:rPr>
          <w:rFonts w:hAnsi="仿宋_GB2312"/>
          <w:color w:val="000000" w:themeColor="text1"/>
          <w:szCs w:val="32"/>
        </w:rPr>
      </w:pPr>
      <w:r>
        <w:rPr>
          <w:rFonts w:eastAsia="Times New Roman"/>
          <w:color w:val="000000" w:themeColor="text1"/>
          <w:szCs w:val="32"/>
        </w:rPr>
        <w:t>2</w:t>
      </w:r>
      <w:r>
        <w:rPr>
          <w:color w:val="000000" w:themeColor="text1"/>
          <w:szCs w:val="32"/>
        </w:rPr>
        <w:t>.“</w:t>
      </w:r>
      <w:r>
        <w:rPr>
          <w:rFonts w:hAnsi="仿宋_GB2312"/>
          <w:color w:val="000000" w:themeColor="text1"/>
          <w:szCs w:val="32"/>
        </w:rPr>
        <w:t>三公经费</w:t>
      </w:r>
      <w:r>
        <w:rPr>
          <w:color w:val="000000" w:themeColor="text1"/>
          <w:szCs w:val="32"/>
        </w:rPr>
        <w:t>”</w:t>
      </w:r>
      <w:r>
        <w:rPr>
          <w:rFonts w:hAnsi="仿宋_GB2312"/>
          <w:color w:val="000000" w:themeColor="text1"/>
          <w:szCs w:val="32"/>
        </w:rPr>
        <w:t>控制情况：贯彻落实上级有关精神，严格控制</w:t>
      </w:r>
      <w:r>
        <w:rPr>
          <w:color w:val="000000" w:themeColor="text1"/>
          <w:szCs w:val="32"/>
        </w:rPr>
        <w:t>“</w:t>
      </w:r>
      <w:r>
        <w:rPr>
          <w:rFonts w:hAnsi="仿宋_GB2312"/>
          <w:color w:val="000000" w:themeColor="text1"/>
          <w:szCs w:val="32"/>
        </w:rPr>
        <w:t>三公经费</w:t>
      </w:r>
      <w:r>
        <w:rPr>
          <w:color w:val="000000" w:themeColor="text1"/>
          <w:szCs w:val="32"/>
        </w:rPr>
        <w:t>”</w:t>
      </w:r>
      <w:r>
        <w:rPr>
          <w:rFonts w:hAnsi="仿宋_GB2312"/>
          <w:color w:val="000000" w:themeColor="text1"/>
          <w:szCs w:val="32"/>
        </w:rPr>
        <w:t>支出，取得了良好效果</w:t>
      </w:r>
      <w:r>
        <w:rPr>
          <w:rFonts w:hint="eastAsia" w:hAnsi="仿宋_GB2312"/>
          <w:color w:val="000000" w:themeColor="text1"/>
          <w:szCs w:val="32"/>
        </w:rPr>
        <w:t>。</w:t>
      </w:r>
      <w:r>
        <w:rPr>
          <w:rFonts w:hint="eastAsia"/>
          <w:color w:val="000000" w:themeColor="text1"/>
          <w:szCs w:val="32"/>
        </w:rPr>
        <w:t>2023</w:t>
      </w:r>
      <w:r>
        <w:rPr>
          <w:rFonts w:hAnsi="仿宋_GB2312"/>
          <w:color w:val="000000" w:themeColor="text1"/>
          <w:szCs w:val="32"/>
        </w:rPr>
        <w:t>年度</w:t>
      </w:r>
      <w:r>
        <w:rPr>
          <w:color w:val="000000" w:themeColor="text1"/>
          <w:szCs w:val="32"/>
        </w:rPr>
        <w:t>“</w:t>
      </w:r>
      <w:r>
        <w:rPr>
          <w:rFonts w:hAnsi="仿宋_GB2312"/>
          <w:color w:val="000000" w:themeColor="text1"/>
          <w:szCs w:val="32"/>
        </w:rPr>
        <w:t>三公</w:t>
      </w:r>
      <w:r>
        <w:rPr>
          <w:color w:val="000000" w:themeColor="text1"/>
          <w:szCs w:val="32"/>
        </w:rPr>
        <w:t>”</w:t>
      </w:r>
      <w:r>
        <w:rPr>
          <w:rFonts w:hAnsi="仿宋_GB2312"/>
          <w:color w:val="000000" w:themeColor="text1"/>
          <w:szCs w:val="32"/>
        </w:rPr>
        <w:t>经费支出</w:t>
      </w:r>
      <w:r>
        <w:rPr>
          <w:rFonts w:hint="eastAsia" w:hAnsi="仿宋_GB2312"/>
          <w:color w:val="000000" w:themeColor="text1"/>
          <w:szCs w:val="32"/>
        </w:rPr>
        <w:t>7.95</w:t>
      </w:r>
      <w:r>
        <w:rPr>
          <w:rFonts w:hAnsi="仿宋_GB2312"/>
          <w:color w:val="000000" w:themeColor="text1"/>
          <w:szCs w:val="32"/>
        </w:rPr>
        <w:t>万元，比20</w:t>
      </w:r>
      <w:r>
        <w:rPr>
          <w:rFonts w:hint="eastAsia" w:hAnsi="仿宋_GB2312"/>
          <w:color w:val="000000" w:themeColor="text1"/>
          <w:szCs w:val="32"/>
        </w:rPr>
        <w:t>22</w:t>
      </w:r>
      <w:r>
        <w:rPr>
          <w:rFonts w:hAnsi="仿宋_GB2312"/>
          <w:color w:val="000000" w:themeColor="text1"/>
          <w:szCs w:val="32"/>
        </w:rPr>
        <w:t>年度“三公经费”支出减少</w:t>
      </w:r>
      <w:r>
        <w:rPr>
          <w:rFonts w:hint="eastAsia" w:hAnsi="仿宋_GB2312"/>
          <w:color w:val="000000" w:themeColor="text1"/>
          <w:szCs w:val="32"/>
        </w:rPr>
        <w:t>1.50</w:t>
      </w:r>
      <w:r>
        <w:rPr>
          <w:rFonts w:hAnsi="仿宋_GB2312"/>
          <w:color w:val="000000" w:themeColor="text1"/>
          <w:szCs w:val="32"/>
        </w:rPr>
        <w:t>万元</w:t>
      </w:r>
      <w:r>
        <w:rPr>
          <w:rFonts w:hint="eastAsia" w:hAnsi="仿宋_GB2312"/>
          <w:color w:val="000000" w:themeColor="text1"/>
          <w:szCs w:val="32"/>
        </w:rPr>
        <w:t>，</w:t>
      </w:r>
      <w:r>
        <w:rPr>
          <w:rFonts w:hAnsi="仿宋_GB2312"/>
          <w:color w:val="000000" w:themeColor="text1"/>
          <w:szCs w:val="32"/>
        </w:rPr>
        <w:t>下降</w:t>
      </w:r>
      <w:r>
        <w:rPr>
          <w:rFonts w:hint="eastAsia" w:hAnsi="仿宋_GB2312"/>
          <w:color w:val="000000" w:themeColor="text1"/>
          <w:szCs w:val="32"/>
        </w:rPr>
        <w:t>15.8</w:t>
      </w:r>
      <w:r>
        <w:rPr>
          <w:rFonts w:hAnsi="仿宋_GB2312"/>
          <w:color w:val="000000" w:themeColor="text1"/>
          <w:szCs w:val="32"/>
        </w:rPr>
        <w:t>%。</w:t>
      </w:r>
    </w:p>
    <w:p>
      <w:pPr>
        <w:spacing w:line="580" w:lineRule="exact"/>
        <w:ind w:firstLine="640"/>
        <w:rPr>
          <w:color w:val="000000" w:themeColor="text1"/>
          <w:szCs w:val="32"/>
        </w:rPr>
      </w:pPr>
      <w:r>
        <w:rPr>
          <w:rFonts w:eastAsia="Times New Roman"/>
          <w:color w:val="000000" w:themeColor="text1"/>
          <w:szCs w:val="32"/>
        </w:rPr>
        <w:t>3</w:t>
      </w:r>
      <w:r>
        <w:rPr>
          <w:color w:val="000000" w:themeColor="text1"/>
          <w:szCs w:val="32"/>
        </w:rPr>
        <w:t>.</w:t>
      </w:r>
      <w:r>
        <w:rPr>
          <w:rFonts w:hAnsi="仿宋_GB2312"/>
          <w:color w:val="000000" w:themeColor="text1"/>
          <w:szCs w:val="32"/>
        </w:rPr>
        <w:t>内部管理制度建设情况：我单位</w:t>
      </w:r>
      <w:r>
        <w:rPr>
          <w:rFonts w:hint="eastAsia" w:hAnsi="仿宋_GB2312"/>
          <w:color w:val="000000" w:themeColor="text1"/>
          <w:szCs w:val="32"/>
        </w:rPr>
        <w:t>2023年度</w:t>
      </w:r>
      <w:r>
        <w:rPr>
          <w:rFonts w:hAnsi="仿宋_GB2312"/>
          <w:color w:val="000000" w:themeColor="text1"/>
          <w:szCs w:val="32"/>
        </w:rPr>
        <w:t>制定了《桃江县</w:t>
      </w:r>
      <w:r>
        <w:rPr>
          <w:rFonts w:hint="eastAsia"/>
          <w:color w:val="000000" w:themeColor="text1"/>
          <w:szCs w:val="32"/>
        </w:rPr>
        <w:t>征地拆迁安置与房屋征收补偿事务</w:t>
      </w:r>
      <w:r>
        <w:rPr>
          <w:color w:val="000000" w:themeColor="text1"/>
          <w:szCs w:val="32"/>
        </w:rPr>
        <w:t>中心</w:t>
      </w:r>
      <w:r>
        <w:rPr>
          <w:rFonts w:hAnsi="仿宋_GB2312"/>
          <w:color w:val="000000" w:themeColor="text1"/>
          <w:szCs w:val="32"/>
        </w:rPr>
        <w:t>财务管理制度》等内部制度。</w:t>
      </w:r>
    </w:p>
    <w:p>
      <w:pPr>
        <w:spacing w:line="580" w:lineRule="exact"/>
        <w:ind w:firstLine="627"/>
        <w:rPr>
          <w:color w:val="000000" w:themeColor="text1"/>
          <w:szCs w:val="32"/>
        </w:rPr>
      </w:pPr>
      <w:r>
        <w:rPr>
          <w:rFonts w:eastAsia="Times New Roman"/>
          <w:color w:val="000000" w:themeColor="text1"/>
          <w:szCs w:val="32"/>
        </w:rPr>
        <w:t>4</w:t>
      </w:r>
      <w:r>
        <w:rPr>
          <w:color w:val="000000" w:themeColor="text1"/>
          <w:szCs w:val="32"/>
        </w:rPr>
        <w:t>.</w:t>
      </w:r>
      <w:r>
        <w:rPr>
          <w:rFonts w:hAnsi="仿宋_GB2312"/>
          <w:color w:val="000000" w:themeColor="text1"/>
          <w:szCs w:val="32"/>
        </w:rPr>
        <w:t>项目绩效总目标完成情况：</w:t>
      </w:r>
      <w:r>
        <w:rPr>
          <w:rFonts w:hint="eastAsia"/>
          <w:color w:val="000000" w:themeColor="text1"/>
          <w:szCs w:val="32"/>
        </w:rPr>
        <w:t>2023</w:t>
      </w:r>
      <w:r>
        <w:rPr>
          <w:rFonts w:hAnsi="仿宋_GB2312"/>
          <w:color w:val="000000" w:themeColor="text1"/>
          <w:szCs w:val="32"/>
        </w:rPr>
        <w:t>年，圆满完成了</w:t>
      </w:r>
      <w:r>
        <w:rPr>
          <w:rFonts w:hint="eastAsia" w:hAnsi="仿宋_GB2312"/>
          <w:color w:val="000000" w:themeColor="text1"/>
          <w:szCs w:val="32"/>
        </w:rPr>
        <w:t>征地、拆迁、安置等</w:t>
      </w:r>
      <w:r>
        <w:rPr>
          <w:rFonts w:hAnsi="仿宋_GB2312"/>
          <w:color w:val="000000" w:themeColor="text1"/>
          <w:szCs w:val="32"/>
        </w:rPr>
        <w:t>各项工作任务。</w:t>
      </w:r>
    </w:p>
    <w:p>
      <w:pPr>
        <w:spacing w:line="580" w:lineRule="exact"/>
        <w:ind w:firstLine="643"/>
        <w:rPr>
          <w:rFonts w:eastAsia="楷体_GB2312"/>
          <w:bCs/>
          <w:color w:val="000000" w:themeColor="text1"/>
          <w:szCs w:val="32"/>
        </w:rPr>
      </w:pPr>
      <w:r>
        <w:rPr>
          <w:rFonts w:hAnsi="楷体_GB2312" w:eastAsia="楷体_GB2312"/>
          <w:bCs/>
          <w:color w:val="000000" w:themeColor="text1"/>
          <w:szCs w:val="32"/>
        </w:rPr>
        <w:t>（三）</w:t>
      </w:r>
      <w:r>
        <w:rPr>
          <w:rFonts w:hint="eastAsia" w:hAnsi="楷体_GB2312" w:eastAsia="楷体_GB2312"/>
          <w:bCs/>
          <w:color w:val="000000" w:themeColor="text1"/>
          <w:szCs w:val="32"/>
        </w:rPr>
        <w:t>项目</w:t>
      </w:r>
      <w:r>
        <w:rPr>
          <w:rFonts w:hAnsi="楷体_GB2312" w:eastAsia="楷体_GB2312"/>
          <w:bCs/>
          <w:color w:val="000000" w:themeColor="text1"/>
          <w:szCs w:val="32"/>
        </w:rPr>
        <w:t>支出情况分析</w:t>
      </w:r>
    </w:p>
    <w:p>
      <w:pPr>
        <w:spacing w:line="580" w:lineRule="exact"/>
        <w:ind w:firstLine="640"/>
        <w:rPr>
          <w:color w:val="000000" w:themeColor="text1"/>
          <w:szCs w:val="32"/>
        </w:rPr>
      </w:pPr>
      <w:r>
        <w:rPr>
          <w:rFonts w:hint="eastAsia" w:hAnsi="仿宋_GB2312"/>
          <w:color w:val="000000" w:themeColor="text1"/>
          <w:szCs w:val="32"/>
        </w:rPr>
        <w:t>我们</w:t>
      </w:r>
      <w:r>
        <w:rPr>
          <w:rFonts w:hAnsi="仿宋_GB2312"/>
          <w:color w:val="000000" w:themeColor="text1"/>
          <w:szCs w:val="32"/>
        </w:rPr>
        <w:t>在支出过程中，能严格遵守各项规章制度，</w:t>
      </w:r>
      <w:r>
        <w:rPr>
          <w:color w:val="000000" w:themeColor="text1"/>
          <w:szCs w:val="32"/>
        </w:rPr>
        <w:t>“</w:t>
      </w:r>
      <w:r>
        <w:rPr>
          <w:rFonts w:hAnsi="仿宋_GB2312"/>
          <w:color w:val="000000" w:themeColor="text1"/>
          <w:szCs w:val="32"/>
        </w:rPr>
        <w:t>三公经费</w:t>
      </w:r>
      <w:r>
        <w:rPr>
          <w:color w:val="000000" w:themeColor="text1"/>
          <w:szCs w:val="32"/>
        </w:rPr>
        <w:t>”</w:t>
      </w:r>
      <w:r>
        <w:rPr>
          <w:rFonts w:hAnsi="仿宋_GB2312"/>
          <w:color w:val="000000" w:themeColor="text1"/>
          <w:szCs w:val="32"/>
        </w:rPr>
        <w:t>中的公务接待费明显下降。在专项经费支出上，我们能专款专用，按项目实施计划的进度情况进行资金拨付，无截留、无挪用等现象。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思源黑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yM2EwMWJiOWY3ODYwZjQ0YmVmOTcxYzUzMTNhOGYifQ=="/>
  </w:docVars>
  <w:rsids>
    <w:rsidRoot w:val="1E686D9A"/>
    <w:rsid w:val="00012416"/>
    <w:rsid w:val="00054E9A"/>
    <w:rsid w:val="00070CFF"/>
    <w:rsid w:val="000810DF"/>
    <w:rsid w:val="00090EED"/>
    <w:rsid w:val="00126971"/>
    <w:rsid w:val="00135E15"/>
    <w:rsid w:val="00145D05"/>
    <w:rsid w:val="00184260"/>
    <w:rsid w:val="001D276A"/>
    <w:rsid w:val="00226EBE"/>
    <w:rsid w:val="00237ED9"/>
    <w:rsid w:val="003A572F"/>
    <w:rsid w:val="003A5894"/>
    <w:rsid w:val="004634CC"/>
    <w:rsid w:val="004C3461"/>
    <w:rsid w:val="004C6846"/>
    <w:rsid w:val="00502FEC"/>
    <w:rsid w:val="005365E9"/>
    <w:rsid w:val="0056142C"/>
    <w:rsid w:val="005B5844"/>
    <w:rsid w:val="00605BB8"/>
    <w:rsid w:val="006919EA"/>
    <w:rsid w:val="00711C04"/>
    <w:rsid w:val="00750619"/>
    <w:rsid w:val="00795D99"/>
    <w:rsid w:val="007A0158"/>
    <w:rsid w:val="007A04B1"/>
    <w:rsid w:val="0084249C"/>
    <w:rsid w:val="00856A3C"/>
    <w:rsid w:val="0086057A"/>
    <w:rsid w:val="00864B28"/>
    <w:rsid w:val="008715A5"/>
    <w:rsid w:val="00896356"/>
    <w:rsid w:val="008A0E69"/>
    <w:rsid w:val="008B3846"/>
    <w:rsid w:val="008B4586"/>
    <w:rsid w:val="00904FC3"/>
    <w:rsid w:val="00945398"/>
    <w:rsid w:val="0095681A"/>
    <w:rsid w:val="00A40EEA"/>
    <w:rsid w:val="00A508E7"/>
    <w:rsid w:val="00A755A6"/>
    <w:rsid w:val="00B67E72"/>
    <w:rsid w:val="00B80F12"/>
    <w:rsid w:val="00B8484F"/>
    <w:rsid w:val="00B960E4"/>
    <w:rsid w:val="00BB786F"/>
    <w:rsid w:val="00BE1FFE"/>
    <w:rsid w:val="00BE2155"/>
    <w:rsid w:val="00BF0CB5"/>
    <w:rsid w:val="00C12C26"/>
    <w:rsid w:val="00C4199B"/>
    <w:rsid w:val="00CF548C"/>
    <w:rsid w:val="00D02C65"/>
    <w:rsid w:val="00D515AF"/>
    <w:rsid w:val="00D702C8"/>
    <w:rsid w:val="00D86FC6"/>
    <w:rsid w:val="00DD5136"/>
    <w:rsid w:val="00DF77C9"/>
    <w:rsid w:val="00E10BC1"/>
    <w:rsid w:val="00E42BC0"/>
    <w:rsid w:val="00E44E37"/>
    <w:rsid w:val="00E559DD"/>
    <w:rsid w:val="00F31E68"/>
    <w:rsid w:val="00F50D6D"/>
    <w:rsid w:val="00F53CE6"/>
    <w:rsid w:val="00F83E43"/>
    <w:rsid w:val="00FA7AA7"/>
    <w:rsid w:val="12447E36"/>
    <w:rsid w:val="1E686D9A"/>
    <w:rsid w:val="1EBE51B6"/>
    <w:rsid w:val="20686CFB"/>
    <w:rsid w:val="28001C76"/>
    <w:rsid w:val="2CE00DF9"/>
    <w:rsid w:val="584274DB"/>
    <w:rsid w:val="5D202797"/>
    <w:rsid w:val="5E435D5B"/>
    <w:rsid w:val="6CA420BB"/>
    <w:rsid w:val="6EFB746F"/>
    <w:rsid w:val="75DC179C"/>
    <w:rsid w:val="7ED84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spacing w:after="120"/>
    </w:pPr>
    <w:rPr>
      <w:rFonts w:asciiTheme="minorHAnsi" w:hAnsiTheme="minorHAnsi" w:cstheme="minorBidi"/>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autoSpaceDE w:val="0"/>
      <w:autoSpaceDN w:val="0"/>
      <w:spacing w:beforeAutospacing="1" w:afterAutospacing="1"/>
      <w:jc w:val="left"/>
    </w:pPr>
    <w:rPr>
      <w:rFonts w:ascii="Calibri" w:hAnsi="宋体" w:eastAsia="宋体"/>
      <w:kern w:val="0"/>
      <w:sz w:val="24"/>
      <w:szCs w:val="21"/>
    </w:rPr>
  </w:style>
  <w:style w:type="character" w:styleId="8">
    <w:name w:val="page number"/>
    <w:basedOn w:val="7"/>
    <w:qFormat/>
    <w:uiPriority w:val="0"/>
  </w:style>
  <w:style w:type="character" w:customStyle="1" w:styleId="9">
    <w:name w:val="页眉 Char"/>
    <w:basedOn w:val="7"/>
    <w:link w:val="4"/>
    <w:qFormat/>
    <w:uiPriority w:val="0"/>
    <w:rPr>
      <w:rFonts w:eastAsia="仿宋_GB2312"/>
      <w:kern w:val="2"/>
      <w:sz w:val="18"/>
      <w:szCs w:val="18"/>
    </w:rPr>
  </w:style>
  <w:style w:type="character" w:customStyle="1" w:styleId="10">
    <w:name w:val="正文文本 Char"/>
    <w:basedOn w:val="7"/>
    <w:link w:val="2"/>
    <w:qFormat/>
    <w:uiPriority w:val="0"/>
    <w:rPr>
      <w:rFonts w:eastAsia="仿宋_GB2312" w:asciiTheme="minorHAnsi" w:hAnsiTheme="minorHAnsi" w:cstheme="minorBidi"/>
      <w:kern w:val="2"/>
      <w:sz w:val="32"/>
      <w:szCs w:val="24"/>
    </w:rPr>
  </w:style>
  <w:style w:type="character" w:customStyle="1" w:styleId="11">
    <w:name w:val="UserStyle_2"/>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1416</Words>
  <Characters>8077</Characters>
  <Lines>67</Lines>
  <Paragraphs>18</Paragraphs>
  <TotalTime>8</TotalTime>
  <ScaleCrop>false</ScaleCrop>
  <LinksUpToDate>false</LinksUpToDate>
  <CharactersWithSpaces>9475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2024-03-25T02:55:00Z</dcterms:created>
  <dc:creator>Administrator</dc:creator>
  <cp:lastModifiedBy>Administrator</cp:lastModifiedBy>
  <cp:lastPrinted>2024-04-22T00:22:06Z</cp:lastPrinted>
  <dcterms:modified xsi:type="dcterms:W3CDTF">2024-04-22T00:26:25Z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ICV">
    <vt:lpwstr>B4547C0BB67C49699FDCC50339A0332C_11</vt:lpwstr>
  </property>
</Properties>
</file>