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简体"/>
          <w:color w:val="000000"/>
          <w:sz w:val="44"/>
          <w:szCs w:val="44"/>
        </w:rPr>
      </w:pPr>
      <w:r>
        <w:rPr>
          <w:rFonts w:eastAsia="黑体"/>
          <w:bCs/>
          <w:kern w:val="0"/>
          <w:szCs w:val="32"/>
        </w:rPr>
        <w:t xml:space="preserve"> </w:t>
      </w:r>
      <w:r>
        <w:rPr>
          <w:rFonts w:eastAsia="方正小标宋简体"/>
          <w:color w:val="000000"/>
          <w:sz w:val="44"/>
          <w:szCs w:val="44"/>
        </w:rPr>
        <w:t>桃江县老干部休养活动中心部门整体支出</w:t>
      </w:r>
    </w:p>
    <w:p>
      <w:pPr>
        <w:spacing w:line="594" w:lineRule="exact"/>
        <w:jc w:val="center"/>
        <w:rPr>
          <w:rFonts w:eastAsia="方正小标宋简体"/>
          <w:color w:val="000000"/>
          <w:sz w:val="44"/>
          <w:szCs w:val="44"/>
        </w:rPr>
      </w:pPr>
      <w:r>
        <w:rPr>
          <w:rFonts w:eastAsia="方正小标宋简体"/>
          <w:color w:val="000000"/>
          <w:sz w:val="44"/>
          <w:szCs w:val="44"/>
        </w:rPr>
        <w:t>绩效报告</w:t>
      </w:r>
      <w:r>
        <w:rPr>
          <w:rFonts w:eastAsia="方正小标宋简体"/>
          <w:color w:val="000000"/>
          <w:sz w:val="44"/>
          <w:szCs w:val="44"/>
        </w:rPr>
        <w:br w:type="textWrapping"/>
      </w:r>
    </w:p>
    <w:p>
      <w:pPr>
        <w:spacing w:line="594" w:lineRule="exact"/>
        <w:ind w:firstLine="640" w:firstLineChars="200"/>
        <w:rPr>
          <w:rFonts w:eastAsia="黑体"/>
          <w:color w:val="000000"/>
          <w:szCs w:val="32"/>
        </w:rPr>
      </w:pPr>
      <w:r>
        <w:rPr>
          <w:rFonts w:eastAsia="黑体"/>
          <w:color w:val="000000"/>
          <w:szCs w:val="32"/>
        </w:rPr>
        <w:t>一、部门概况</w:t>
      </w:r>
    </w:p>
    <w:p>
      <w:pPr>
        <w:spacing w:line="580" w:lineRule="exact"/>
        <w:ind w:firstLine="640"/>
        <w:rPr>
          <w:rFonts w:eastAsia="楷体_GB2312"/>
          <w:color w:val="000000"/>
          <w:szCs w:val="32"/>
        </w:rPr>
      </w:pPr>
      <w:r>
        <w:rPr>
          <w:rFonts w:eastAsia="楷体_GB2312"/>
          <w:color w:val="000000"/>
          <w:szCs w:val="32"/>
        </w:rPr>
        <w:t>（一）部门基本情况</w:t>
      </w:r>
    </w:p>
    <w:p>
      <w:pPr>
        <w:spacing w:line="580" w:lineRule="exact"/>
        <w:ind w:firstLine="640"/>
        <w:rPr>
          <w:b/>
          <w:color w:val="000000"/>
          <w:szCs w:val="32"/>
        </w:rPr>
      </w:pPr>
      <w:r>
        <w:rPr>
          <w:b/>
          <w:color w:val="000000"/>
          <w:szCs w:val="32"/>
        </w:rPr>
        <w:t>1.部门在职人员情况</w:t>
      </w:r>
    </w:p>
    <w:p>
      <w:pPr>
        <w:spacing w:line="580" w:lineRule="exact"/>
        <w:ind w:firstLine="640"/>
        <w:rPr>
          <w:color w:val="000000"/>
          <w:szCs w:val="32"/>
        </w:rPr>
      </w:pPr>
      <w:r>
        <w:rPr>
          <w:color w:val="000000"/>
          <w:szCs w:val="32"/>
        </w:rPr>
        <w:t>桃江县老干部休养活动中心为县委组织部所属副科级公益一类事业单位。无内设机构，单位核定事业编制人员</w:t>
      </w:r>
      <w:r>
        <w:rPr>
          <w:rFonts w:hint="eastAsia"/>
          <w:color w:val="000000"/>
          <w:szCs w:val="32"/>
        </w:rPr>
        <w:t>11</w:t>
      </w:r>
      <w:r>
        <w:rPr>
          <w:color w:val="000000"/>
          <w:szCs w:val="32"/>
        </w:rPr>
        <w:t>人，在岗</w:t>
      </w:r>
      <w:r>
        <w:rPr>
          <w:rFonts w:hint="eastAsia"/>
          <w:color w:val="000000"/>
          <w:szCs w:val="32"/>
        </w:rPr>
        <w:t>10</w:t>
      </w:r>
      <w:r>
        <w:rPr>
          <w:color w:val="000000"/>
          <w:szCs w:val="32"/>
        </w:rPr>
        <w:t>人，离休人员</w:t>
      </w:r>
      <w:r>
        <w:rPr>
          <w:rFonts w:hint="eastAsia"/>
          <w:color w:val="000000"/>
          <w:szCs w:val="32"/>
        </w:rPr>
        <w:t>2</w:t>
      </w:r>
      <w:r>
        <w:rPr>
          <w:color w:val="000000"/>
          <w:szCs w:val="32"/>
        </w:rPr>
        <w:t>人，退休人员2人。</w:t>
      </w:r>
    </w:p>
    <w:p>
      <w:pPr>
        <w:spacing w:line="580" w:lineRule="exact"/>
        <w:ind w:firstLine="640"/>
        <w:rPr>
          <w:b/>
          <w:color w:val="000000"/>
          <w:szCs w:val="32"/>
        </w:rPr>
      </w:pPr>
      <w:r>
        <w:rPr>
          <w:b/>
          <w:color w:val="000000"/>
          <w:szCs w:val="32"/>
        </w:rPr>
        <w:t>2.主要职能</w:t>
      </w:r>
    </w:p>
    <w:p>
      <w:pPr>
        <w:spacing w:line="580" w:lineRule="exact"/>
        <w:ind w:firstLine="640"/>
        <w:rPr>
          <w:color w:val="000000"/>
          <w:szCs w:val="32"/>
        </w:rPr>
      </w:pPr>
      <w:r>
        <w:rPr>
          <w:color w:val="000000"/>
          <w:szCs w:val="32"/>
        </w:rPr>
        <w:t>（1）为全县离退休干部学习活动提供场地和相关服务；</w:t>
      </w:r>
    </w:p>
    <w:p>
      <w:pPr>
        <w:spacing w:line="580" w:lineRule="exact"/>
        <w:ind w:firstLine="640"/>
        <w:rPr>
          <w:color w:val="000000"/>
          <w:szCs w:val="32"/>
        </w:rPr>
      </w:pPr>
      <w:r>
        <w:rPr>
          <w:color w:val="000000"/>
          <w:szCs w:val="32"/>
        </w:rPr>
        <w:t>（2）负责县老干部（老年）大学的教学管理工作；</w:t>
      </w:r>
    </w:p>
    <w:p>
      <w:pPr>
        <w:spacing w:line="580" w:lineRule="exact"/>
        <w:ind w:firstLine="640"/>
        <w:rPr>
          <w:color w:val="000000"/>
          <w:szCs w:val="32"/>
        </w:rPr>
      </w:pPr>
      <w:r>
        <w:rPr>
          <w:color w:val="000000"/>
          <w:szCs w:val="32"/>
        </w:rPr>
        <w:t>（3）负责县老年人体育协会、县老科学技术工作者协会、县老年书画协会、县老干部诗词协会等涉老社团管理工作；</w:t>
      </w:r>
    </w:p>
    <w:p>
      <w:pPr>
        <w:spacing w:line="580" w:lineRule="exact"/>
        <w:ind w:firstLine="640"/>
        <w:rPr>
          <w:color w:val="000000"/>
          <w:szCs w:val="32"/>
        </w:rPr>
      </w:pPr>
      <w:r>
        <w:rPr>
          <w:color w:val="000000"/>
          <w:szCs w:val="32"/>
        </w:rPr>
        <w:t>（4）负责特困企业离休干部及遗孀的待遇落实。</w:t>
      </w:r>
    </w:p>
    <w:p>
      <w:pPr>
        <w:spacing w:line="580" w:lineRule="exact"/>
        <w:ind w:firstLine="640"/>
        <w:rPr>
          <w:b/>
          <w:color w:val="000000"/>
          <w:szCs w:val="32"/>
        </w:rPr>
      </w:pPr>
      <w:r>
        <w:rPr>
          <w:b/>
          <w:color w:val="000000"/>
          <w:szCs w:val="32"/>
        </w:rPr>
        <w:t>3.重点工作计划</w:t>
      </w:r>
    </w:p>
    <w:p>
      <w:pPr>
        <w:spacing w:line="578" w:lineRule="exact"/>
        <w:ind w:firstLine="640" w:firstLineChars="200"/>
        <w:rPr>
          <w:szCs w:val="32"/>
        </w:rPr>
      </w:pPr>
      <w:r>
        <w:rPr>
          <w:szCs w:val="32"/>
        </w:rPr>
        <w:t>坚持以学习贯彻习近平新时代中国特色社会主义思想和党的</w:t>
      </w:r>
      <w:r>
        <w:rPr>
          <w:rFonts w:hint="eastAsia"/>
          <w:szCs w:val="32"/>
        </w:rPr>
        <w:t>二十</w:t>
      </w:r>
      <w:r>
        <w:rPr>
          <w:szCs w:val="32"/>
        </w:rPr>
        <w:t>大精神为引领，巩固和拓展</w:t>
      </w:r>
      <w:r>
        <w:rPr>
          <w:rFonts w:hint="eastAsia"/>
          <w:szCs w:val="32"/>
        </w:rPr>
        <w:t>党史学习教育</w:t>
      </w:r>
      <w:r>
        <w:rPr>
          <w:szCs w:val="32"/>
        </w:rPr>
        <w:t>成果，牢固树立以人民为中心的发展理念，创新新形势下老干部、老年教育工作，精准服务，全面提升老干部</w:t>
      </w:r>
      <w:r>
        <w:rPr>
          <w:rFonts w:hint="eastAsia"/>
          <w:szCs w:val="32"/>
        </w:rPr>
        <w:t>、老年</w:t>
      </w:r>
      <w:r>
        <w:rPr>
          <w:szCs w:val="32"/>
        </w:rPr>
        <w:t>群体幸福感、获得感，确保大局持续稳定</w:t>
      </w:r>
      <w:r>
        <w:rPr>
          <w:rFonts w:hint="eastAsia"/>
          <w:szCs w:val="32"/>
        </w:rPr>
        <w:t>。</w:t>
      </w:r>
    </w:p>
    <w:p>
      <w:pPr>
        <w:spacing w:line="578" w:lineRule="exact"/>
        <w:ind w:firstLine="643" w:firstLineChars="200"/>
        <w:rPr>
          <w:szCs w:val="32"/>
        </w:rPr>
      </w:pPr>
      <w:r>
        <w:rPr>
          <w:rFonts w:ascii="楷体_GB2312" w:eastAsia="楷体_GB2312"/>
          <w:b/>
          <w:color w:val="000000"/>
          <w:szCs w:val="32"/>
        </w:rPr>
        <w:t>（一）抓好党员干部队伍建设。</w:t>
      </w:r>
      <w:r>
        <w:rPr>
          <w:szCs w:val="32"/>
        </w:rPr>
        <w:t>坚持按照党建工作要求和“五化”党支部工作标准，认真落实好“三会一课”制度，组织全体党员认真学习贯彻习近平新时代中国特色社会主义思想</w:t>
      </w:r>
      <w:r>
        <w:rPr>
          <w:rFonts w:hint="eastAsia"/>
          <w:szCs w:val="32"/>
        </w:rPr>
        <w:t>和党的二十大精神</w:t>
      </w:r>
      <w:r>
        <w:rPr>
          <w:szCs w:val="32"/>
        </w:rPr>
        <w:t>，坚定党员干部理想信念，提升履职本领。</w:t>
      </w:r>
    </w:p>
    <w:p>
      <w:pPr>
        <w:spacing w:line="578" w:lineRule="exact"/>
        <w:ind w:firstLine="643" w:firstLineChars="200"/>
        <w:rPr>
          <w:szCs w:val="32"/>
        </w:rPr>
      </w:pPr>
      <w:r>
        <w:rPr>
          <w:rFonts w:ascii="楷体_GB2312" w:eastAsia="楷体_GB2312"/>
          <w:b/>
          <w:color w:val="000000"/>
          <w:szCs w:val="32"/>
        </w:rPr>
        <w:t>（二）加强县老</w:t>
      </w:r>
      <w:r>
        <w:rPr>
          <w:rFonts w:hint="eastAsia" w:ascii="楷体_GB2312" w:eastAsia="楷体_GB2312"/>
          <w:b/>
          <w:color w:val="000000"/>
          <w:szCs w:val="32"/>
        </w:rPr>
        <w:t>干部</w:t>
      </w:r>
      <w:r>
        <w:rPr>
          <w:rFonts w:ascii="楷体_GB2312" w:eastAsia="楷体_GB2312"/>
          <w:b/>
          <w:color w:val="000000"/>
          <w:szCs w:val="32"/>
        </w:rPr>
        <w:t>大学教学管理。</w:t>
      </w:r>
      <w:r>
        <w:rPr>
          <w:szCs w:val="32"/>
        </w:rPr>
        <w:t>重点做好教师聘请、开学报名、专业设置和班级管理等工作，提升全县老年教育水平，</w:t>
      </w:r>
      <w:r>
        <w:rPr>
          <w:rFonts w:hint="eastAsia"/>
          <w:szCs w:val="32"/>
        </w:rPr>
        <w:t>努力争创</w:t>
      </w:r>
      <w:r>
        <w:rPr>
          <w:szCs w:val="32"/>
        </w:rPr>
        <w:t>省级示范老</w:t>
      </w:r>
      <w:r>
        <w:rPr>
          <w:rFonts w:hint="eastAsia"/>
          <w:szCs w:val="32"/>
        </w:rPr>
        <w:t>干部</w:t>
      </w:r>
      <w:r>
        <w:rPr>
          <w:szCs w:val="32"/>
        </w:rPr>
        <w:t>大学。</w:t>
      </w:r>
    </w:p>
    <w:p>
      <w:pPr>
        <w:spacing w:line="578" w:lineRule="exact"/>
        <w:ind w:firstLine="643" w:firstLineChars="200"/>
        <w:rPr>
          <w:spacing w:val="-2"/>
          <w:szCs w:val="32"/>
        </w:rPr>
      </w:pPr>
      <w:r>
        <w:rPr>
          <w:rFonts w:ascii="楷体_GB2312" w:eastAsia="楷体_GB2312"/>
          <w:b/>
          <w:color w:val="000000"/>
          <w:szCs w:val="32"/>
        </w:rPr>
        <w:t>（三）发挥涉老社团正能量作用。</w:t>
      </w:r>
      <w:r>
        <w:rPr>
          <w:szCs w:val="32"/>
        </w:rPr>
        <w:t>进一步组织县</w:t>
      </w:r>
      <w:r>
        <w:rPr>
          <w:rFonts w:hint="eastAsia"/>
          <w:szCs w:val="32"/>
        </w:rPr>
        <w:t>老干部</w:t>
      </w:r>
      <w:r>
        <w:rPr>
          <w:szCs w:val="32"/>
        </w:rPr>
        <w:t>大学、县老科协、县老年体协</w:t>
      </w:r>
      <w:r>
        <w:rPr>
          <w:spacing w:val="-2"/>
          <w:szCs w:val="32"/>
        </w:rPr>
        <w:t>、县老年书协、县老干诗协等涉老社团开展“送温暖、送文化、送卫生、送科技”下乡、助力乡村振兴、弘扬和传承中华传统文化、增强中老年体质、丰富群众文化生活等形式多样的正能量活动。</w:t>
      </w:r>
    </w:p>
    <w:p>
      <w:pPr>
        <w:spacing w:line="578" w:lineRule="exact"/>
        <w:ind w:firstLine="643" w:firstLineChars="200"/>
        <w:rPr>
          <w:szCs w:val="32"/>
        </w:rPr>
      </w:pPr>
      <w:r>
        <w:rPr>
          <w:rFonts w:ascii="楷体_GB2312" w:eastAsia="楷体_GB2312"/>
          <w:b/>
          <w:color w:val="000000"/>
          <w:szCs w:val="32"/>
        </w:rPr>
        <w:t>（四）做好老干部服务工作。</w:t>
      </w:r>
      <w:r>
        <w:rPr>
          <w:color w:val="000000"/>
          <w:szCs w:val="32"/>
        </w:rPr>
        <w:t>协助县离退休</w:t>
      </w:r>
      <w:r>
        <w:rPr>
          <w:rFonts w:hint="eastAsia"/>
          <w:color w:val="000000"/>
          <w:szCs w:val="32"/>
        </w:rPr>
        <w:t>干部</w:t>
      </w:r>
      <w:r>
        <w:rPr>
          <w:color w:val="000000"/>
          <w:szCs w:val="32"/>
        </w:rPr>
        <w:t>党工委</w:t>
      </w:r>
      <w:r>
        <w:rPr>
          <w:rFonts w:hint="eastAsia"/>
          <w:color w:val="000000"/>
          <w:szCs w:val="32"/>
        </w:rPr>
        <w:t>进一步完善</w:t>
      </w:r>
      <w:r>
        <w:rPr>
          <w:color w:val="000000"/>
          <w:szCs w:val="32"/>
        </w:rPr>
        <w:t>“美在金秋”老干部党员之家品牌建设，</w:t>
      </w:r>
      <w:r>
        <w:rPr>
          <w:szCs w:val="32"/>
        </w:rPr>
        <w:t>优化管理机制，提升服务水平，积极为老干部开展文体活动等提供优质服务。</w:t>
      </w:r>
    </w:p>
    <w:p>
      <w:pPr>
        <w:spacing w:line="580" w:lineRule="exact"/>
        <w:ind w:firstLine="643" w:firstLineChars="200"/>
        <w:rPr>
          <w:rFonts w:eastAsia="楷体_GB2312"/>
          <w:b/>
          <w:color w:val="000000"/>
          <w:szCs w:val="32"/>
        </w:rPr>
      </w:pPr>
      <w:r>
        <w:rPr>
          <w:rFonts w:eastAsia="楷体_GB2312"/>
          <w:b/>
          <w:color w:val="000000"/>
          <w:szCs w:val="32"/>
        </w:rPr>
        <w:t>（二）部门整体支出规模</w:t>
      </w:r>
    </w:p>
    <w:p>
      <w:pPr>
        <w:spacing w:line="580" w:lineRule="exact"/>
        <w:ind w:firstLine="640"/>
        <w:rPr>
          <w:color w:val="000000"/>
          <w:szCs w:val="32"/>
        </w:rPr>
      </w:pPr>
      <w:r>
        <w:rPr>
          <w:rFonts w:hint="eastAsia"/>
          <w:color w:val="000000"/>
          <w:szCs w:val="32"/>
        </w:rPr>
        <w:t>2023</w:t>
      </w:r>
      <w:r>
        <w:rPr>
          <w:color w:val="000000"/>
          <w:szCs w:val="32"/>
        </w:rPr>
        <w:t>年收入实际完成为</w:t>
      </w:r>
      <w:r>
        <w:rPr>
          <w:rFonts w:hint="eastAsia"/>
          <w:szCs w:val="32"/>
        </w:rPr>
        <w:t>293.31</w:t>
      </w:r>
      <w:r>
        <w:rPr>
          <w:color w:val="000000"/>
          <w:szCs w:val="32"/>
        </w:rPr>
        <w:t>万元，其中一般公共预算财政拨款收入</w:t>
      </w:r>
      <w:r>
        <w:rPr>
          <w:rFonts w:hint="eastAsia"/>
          <w:szCs w:val="32"/>
        </w:rPr>
        <w:t>293.31</w:t>
      </w:r>
      <w:r>
        <w:rPr>
          <w:color w:val="000000"/>
          <w:szCs w:val="32"/>
        </w:rPr>
        <w:t xml:space="preserve">万元，政府性基金财政拨款收入0万元。 </w:t>
      </w:r>
    </w:p>
    <w:p>
      <w:pPr>
        <w:spacing w:line="580" w:lineRule="exact"/>
        <w:ind w:firstLine="630"/>
        <w:rPr>
          <w:rFonts w:eastAsia="楷体_GB2312"/>
          <w:b/>
          <w:color w:val="000000"/>
          <w:szCs w:val="32"/>
        </w:rPr>
      </w:pPr>
      <w:r>
        <w:rPr>
          <w:rFonts w:eastAsia="楷体_GB2312"/>
          <w:b/>
          <w:color w:val="000000"/>
          <w:szCs w:val="32"/>
        </w:rPr>
        <w:t>（三）绩效目标设立情况</w:t>
      </w:r>
    </w:p>
    <w:p>
      <w:pPr>
        <w:spacing w:line="580" w:lineRule="exact"/>
        <w:ind w:firstLine="640"/>
        <w:rPr>
          <w:color w:val="000000"/>
          <w:szCs w:val="32"/>
        </w:rPr>
      </w:pPr>
      <w:r>
        <w:rPr>
          <w:color w:val="000000"/>
          <w:szCs w:val="32"/>
        </w:rPr>
        <w:t>县老干部休养活动中心建立了专项资金管理办法，严格遵循专款专用、独立核算的管理原则。专项项目的申报严格按照财政资金管理的要求进行，专项资金财政拨款到位后及时进行了项目开展和资金投入。</w:t>
      </w:r>
    </w:p>
    <w:p>
      <w:pPr>
        <w:spacing w:line="580" w:lineRule="exact"/>
        <w:ind w:firstLine="627"/>
        <w:rPr>
          <w:rFonts w:eastAsia="黑体"/>
          <w:color w:val="000000"/>
          <w:szCs w:val="32"/>
        </w:rPr>
      </w:pPr>
      <w:r>
        <w:rPr>
          <w:rFonts w:eastAsia="黑体"/>
          <w:color w:val="000000"/>
          <w:szCs w:val="32"/>
        </w:rPr>
        <w:t>二、部门整体支出管理</w:t>
      </w:r>
      <w:r>
        <w:rPr>
          <w:rFonts w:hint="eastAsia" w:eastAsia="黑体"/>
          <w:color w:val="000000"/>
          <w:szCs w:val="32"/>
        </w:rPr>
        <w:t>及</w:t>
      </w:r>
      <w:r>
        <w:rPr>
          <w:rFonts w:eastAsia="黑体"/>
          <w:color w:val="000000"/>
          <w:szCs w:val="32"/>
        </w:rPr>
        <w:t>使用情况分析</w:t>
      </w:r>
    </w:p>
    <w:p>
      <w:pPr>
        <w:spacing w:line="580" w:lineRule="exact"/>
        <w:ind w:firstLine="640" w:firstLineChars="200"/>
        <w:rPr>
          <w:rFonts w:eastAsia="楷体_GB2312"/>
          <w:color w:val="000000"/>
          <w:szCs w:val="32"/>
        </w:rPr>
      </w:pPr>
      <w:r>
        <w:rPr>
          <w:rFonts w:eastAsia="楷体_GB2312"/>
          <w:color w:val="000000"/>
          <w:szCs w:val="32"/>
        </w:rPr>
        <w:t>（一）基本支出</w:t>
      </w:r>
    </w:p>
    <w:p>
      <w:pPr>
        <w:spacing w:line="580" w:lineRule="exact"/>
        <w:ind w:firstLine="640"/>
        <w:rPr>
          <w:color w:val="000000"/>
          <w:szCs w:val="32"/>
        </w:rPr>
      </w:pPr>
      <w:r>
        <w:rPr>
          <w:rFonts w:hint="eastAsia"/>
          <w:color w:val="000000"/>
          <w:szCs w:val="32"/>
        </w:rPr>
        <w:t>2023</w:t>
      </w:r>
      <w:r>
        <w:rPr>
          <w:color w:val="000000"/>
          <w:szCs w:val="32"/>
        </w:rPr>
        <w:t>年实际支出</w:t>
      </w:r>
      <w:r>
        <w:rPr>
          <w:rFonts w:hint="eastAsia"/>
          <w:szCs w:val="32"/>
        </w:rPr>
        <w:t>293.31</w:t>
      </w:r>
      <w:r>
        <w:rPr>
          <w:color w:val="000000"/>
          <w:szCs w:val="32"/>
        </w:rPr>
        <w:t>万元，其中基本支出</w:t>
      </w:r>
      <w:r>
        <w:rPr>
          <w:rFonts w:hint="eastAsia"/>
          <w:szCs w:val="32"/>
        </w:rPr>
        <w:t>163.98</w:t>
      </w:r>
      <w:r>
        <w:rPr>
          <w:color w:val="000000"/>
          <w:szCs w:val="32"/>
        </w:rPr>
        <w:t>万元，占</w:t>
      </w:r>
      <w:r>
        <w:rPr>
          <w:rFonts w:hint="eastAsia"/>
          <w:szCs w:val="32"/>
        </w:rPr>
        <w:t>55.91%</w:t>
      </w:r>
      <w:r>
        <w:rPr>
          <w:color w:val="000000"/>
          <w:szCs w:val="32"/>
        </w:rPr>
        <w:t>。其中：人员经费</w:t>
      </w:r>
      <w:r>
        <w:rPr>
          <w:rFonts w:hint="eastAsia"/>
          <w:szCs w:val="32"/>
        </w:rPr>
        <w:t>151.05</w:t>
      </w:r>
      <w:r>
        <w:rPr>
          <w:color w:val="000000"/>
          <w:szCs w:val="32"/>
        </w:rPr>
        <w:t>万元，占基本支出的</w:t>
      </w:r>
      <w:r>
        <w:rPr>
          <w:rFonts w:hint="eastAsia"/>
          <w:szCs w:val="32"/>
        </w:rPr>
        <w:t>92.11%</w:t>
      </w:r>
      <w:r>
        <w:rPr>
          <w:color w:val="000000"/>
          <w:szCs w:val="32"/>
        </w:rPr>
        <w:t>，主要包括：基本工资、津贴补贴、奖金、伙食补助费、机关事业单位基本养老保险缴费、职业年金缴费、职工基本医疗保险缴费、其他社会保障缴费、住房公积金、其他工资福利支出、抚恤金、生活补助、其他对个人和家庭的补助。公用经</w:t>
      </w:r>
      <w:r>
        <w:rPr>
          <w:szCs w:val="32"/>
        </w:rPr>
        <w:t>费</w:t>
      </w:r>
      <w:r>
        <w:rPr>
          <w:rFonts w:hint="eastAsia"/>
          <w:szCs w:val="32"/>
        </w:rPr>
        <w:t>12.93</w:t>
      </w:r>
      <w:r>
        <w:rPr>
          <w:szCs w:val="32"/>
        </w:rPr>
        <w:t>万元，占基本支出的</w:t>
      </w:r>
      <w:r>
        <w:rPr>
          <w:rFonts w:hint="eastAsia"/>
          <w:szCs w:val="32"/>
        </w:rPr>
        <w:t>7.89%</w:t>
      </w:r>
      <w:r>
        <w:rPr>
          <w:szCs w:val="32"/>
        </w:rPr>
        <w:t>，主要包括：办公费、印刷费</w:t>
      </w:r>
      <w:r>
        <w:rPr>
          <w:color w:val="000000"/>
          <w:szCs w:val="32"/>
        </w:rPr>
        <w:t xml:space="preserve">、差旅费、公务接待费、工会经费、其他商品和服务支出。 </w:t>
      </w:r>
    </w:p>
    <w:p>
      <w:pPr>
        <w:spacing w:line="580" w:lineRule="exact"/>
        <w:ind w:firstLine="640"/>
        <w:rPr>
          <w:rFonts w:eastAsia="楷体_GB2312"/>
          <w:color w:val="000000"/>
          <w:szCs w:val="32"/>
        </w:rPr>
      </w:pPr>
      <w:r>
        <w:rPr>
          <w:rFonts w:eastAsia="楷体_GB2312"/>
          <w:color w:val="000000"/>
          <w:szCs w:val="32"/>
        </w:rPr>
        <w:t>（二）项目支出</w:t>
      </w:r>
    </w:p>
    <w:p>
      <w:pPr>
        <w:pStyle w:val="6"/>
        <w:spacing w:beforeAutospacing="0" w:after="2" w:afterAutospacing="0" w:line="58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项目支出</w:t>
      </w:r>
      <w:r>
        <w:rPr>
          <w:rFonts w:hint="eastAsia" w:ascii="Times New Roman" w:hAnsi="Times New Roman" w:eastAsia="仿宋_GB2312"/>
          <w:sz w:val="32"/>
          <w:szCs w:val="32"/>
        </w:rPr>
        <w:t>129.33</w:t>
      </w:r>
      <w:r>
        <w:rPr>
          <w:rFonts w:ascii="Times New Roman" w:hAnsi="Times New Roman" w:eastAsia="仿宋_GB2312"/>
          <w:sz w:val="32"/>
          <w:szCs w:val="32"/>
        </w:rPr>
        <w:t>万元，占</w:t>
      </w:r>
      <w:r>
        <w:rPr>
          <w:rFonts w:hint="eastAsia" w:ascii="Times New Roman" w:hAnsi="Times New Roman" w:eastAsia="仿宋_GB2312"/>
          <w:sz w:val="32"/>
          <w:szCs w:val="32"/>
        </w:rPr>
        <w:t>44.09</w:t>
      </w:r>
      <w:r>
        <w:rPr>
          <w:rFonts w:ascii="Times New Roman" w:hAnsi="Times New Roman" w:eastAsia="仿宋_GB2312"/>
          <w:sz w:val="32"/>
          <w:szCs w:val="32"/>
        </w:rPr>
        <w:t>%；</w:t>
      </w:r>
      <w:r>
        <w:rPr>
          <w:rFonts w:ascii="Times New Roman" w:hAnsi="Times New Roman" w:eastAsia="仿宋_GB2312"/>
          <w:color w:val="000000"/>
          <w:sz w:val="32"/>
          <w:szCs w:val="32"/>
        </w:rPr>
        <w:t>上缴上级支出0万元，占0%；经营支出0万元，占0%；对附属单位补助支出0万元，占0%。项目资金管理情况分析：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rPr>
          <w:rFonts w:eastAsia="黑体"/>
          <w:color w:val="000000"/>
          <w:szCs w:val="32"/>
        </w:rPr>
      </w:pPr>
      <w:r>
        <w:rPr>
          <w:rFonts w:eastAsia="黑体"/>
          <w:color w:val="000000"/>
          <w:szCs w:val="32"/>
        </w:rPr>
        <w:t>三、项目组织实施情况分析</w:t>
      </w:r>
    </w:p>
    <w:p>
      <w:pPr>
        <w:spacing w:line="580" w:lineRule="exact"/>
        <w:ind w:left="640"/>
        <w:rPr>
          <w:rFonts w:eastAsia="黑体"/>
          <w:color w:val="000000"/>
          <w:szCs w:val="32"/>
        </w:rPr>
      </w:pPr>
      <w:r>
        <w:rPr>
          <w:rFonts w:eastAsia="黑体"/>
          <w:color w:val="000000"/>
          <w:szCs w:val="32"/>
        </w:rPr>
        <w:t>1.项目资金安排落实、总投入等情况分析</w:t>
      </w:r>
    </w:p>
    <w:p>
      <w:pPr>
        <w:spacing w:line="580" w:lineRule="exact"/>
        <w:ind w:firstLine="640"/>
        <w:rPr>
          <w:color w:val="000000"/>
          <w:szCs w:val="32"/>
        </w:rPr>
      </w:pPr>
      <w:r>
        <w:rPr>
          <w:rFonts w:hint="eastAsia"/>
          <w:color w:val="000000"/>
          <w:szCs w:val="32"/>
        </w:rPr>
        <w:t>2023</w:t>
      </w:r>
      <w:r>
        <w:rPr>
          <w:color w:val="000000"/>
          <w:szCs w:val="32"/>
        </w:rPr>
        <w:t>年度项目支出</w:t>
      </w:r>
      <w:r>
        <w:rPr>
          <w:rFonts w:hint="eastAsia"/>
          <w:szCs w:val="32"/>
        </w:rPr>
        <w:t>129.33</w:t>
      </w:r>
      <w:r>
        <w:rPr>
          <w:szCs w:val="32"/>
        </w:rPr>
        <w:t>万</w:t>
      </w:r>
      <w:r>
        <w:rPr>
          <w:color w:val="000000"/>
          <w:szCs w:val="32"/>
        </w:rPr>
        <w:t>元，</w:t>
      </w:r>
      <w:r>
        <w:rPr>
          <w:rFonts w:hint="eastAsia"/>
          <w:color w:val="000000"/>
          <w:szCs w:val="32"/>
        </w:rPr>
        <w:t>其中20万元以上需要参与绩效考评的有县老科学技术协会工作经费24.5万元共1个项目。</w:t>
      </w:r>
      <w:r>
        <w:rPr>
          <w:color w:val="000000"/>
          <w:szCs w:val="32"/>
        </w:rPr>
        <w:t>专项资金主要用途为</w:t>
      </w:r>
      <w:r>
        <w:rPr>
          <w:rFonts w:hint="eastAsia"/>
          <w:color w:val="000000"/>
          <w:szCs w:val="32"/>
        </w:rPr>
        <w:t>老干部活动中心（老年大学）专项、中心维护费；老干活动中心围墙维修改造工程、中心门球场修缮和市第23届大众运动会女子门球赛；老科协、老年书画协会、老年体协、老干诗协工作及老科协百岁健康示范县创建表彰大会等</w:t>
      </w:r>
      <w:r>
        <w:rPr>
          <w:color w:val="000000"/>
          <w:szCs w:val="32"/>
        </w:rPr>
        <w:t>等。</w:t>
      </w:r>
    </w:p>
    <w:p>
      <w:pPr>
        <w:spacing w:line="580" w:lineRule="exact"/>
        <w:ind w:left="640"/>
        <w:rPr>
          <w:rFonts w:eastAsia="黑体"/>
          <w:color w:val="000000"/>
          <w:szCs w:val="32"/>
        </w:rPr>
      </w:pPr>
      <w:r>
        <w:rPr>
          <w:rFonts w:eastAsia="黑体"/>
          <w:color w:val="000000"/>
          <w:szCs w:val="32"/>
        </w:rPr>
        <w:t>2.项目资金实际使用情况分析</w:t>
      </w:r>
    </w:p>
    <w:p>
      <w:pPr>
        <w:spacing w:line="580" w:lineRule="exact"/>
        <w:ind w:firstLine="640"/>
        <w:rPr>
          <w:color w:val="000000"/>
          <w:szCs w:val="32"/>
        </w:rPr>
      </w:pPr>
      <w:r>
        <w:rPr>
          <w:rFonts w:hint="eastAsia"/>
          <w:color w:val="000000"/>
          <w:szCs w:val="32"/>
        </w:rPr>
        <w:t>其中老干部活动中心(老年大学)专项15万元，活动中心维修维护费15万元，老干活动中心围墙维修改造工程费12.57万元、中心门球场修缮和市第23届大众运动会女子门球赛经费9.53万元；老科协百岁健康示范县创建表彰大会费10万元，老科协工作经费24.5万元，老年体协工作经费8万元，老年书画协会工作经费4万元，老干诗协工作经费2万元</w:t>
      </w:r>
      <w:r>
        <w:rPr>
          <w:color w:val="000000"/>
          <w:szCs w:val="32"/>
        </w:rPr>
        <w:t>。</w:t>
      </w:r>
    </w:p>
    <w:p>
      <w:pPr>
        <w:spacing w:line="580" w:lineRule="exact"/>
        <w:ind w:left="640"/>
        <w:rPr>
          <w:rFonts w:eastAsia="黑体"/>
          <w:color w:val="000000"/>
          <w:szCs w:val="32"/>
        </w:rPr>
      </w:pPr>
      <w:r>
        <w:rPr>
          <w:rFonts w:eastAsia="黑体"/>
          <w:color w:val="000000"/>
          <w:szCs w:val="32"/>
        </w:rPr>
        <w:t>3.项目资金管理情况分析</w:t>
      </w:r>
    </w:p>
    <w:p>
      <w:pPr>
        <w:spacing w:line="580" w:lineRule="exact"/>
        <w:ind w:firstLine="640"/>
        <w:rPr>
          <w:color w:val="000000"/>
          <w:szCs w:val="32"/>
        </w:rPr>
      </w:pPr>
      <w:r>
        <w:rPr>
          <w:color w:val="000000"/>
          <w:szCs w:val="32"/>
        </w:rPr>
        <w:t>严格按照国家政策法规规定和本部门实际，建立健全财务基础制度和约束机制，依法、有效地使用财政资金，提高财政资金使用效率，在完成部门职能目标中合理分配人、财、物，使之达到了较高的工作效率和水平。</w:t>
      </w:r>
    </w:p>
    <w:p>
      <w:pPr>
        <w:spacing w:line="580" w:lineRule="exact"/>
        <w:ind w:firstLine="640" w:firstLineChars="200"/>
        <w:rPr>
          <w:rFonts w:eastAsia="黑体"/>
          <w:color w:val="000000"/>
          <w:szCs w:val="32"/>
        </w:rPr>
      </w:pPr>
      <w:r>
        <w:rPr>
          <w:rFonts w:eastAsia="黑体"/>
          <w:color w:val="000000"/>
          <w:szCs w:val="32"/>
        </w:rPr>
        <w:t>四、部门整体支出绩效情况分析</w:t>
      </w:r>
    </w:p>
    <w:p>
      <w:pPr>
        <w:spacing w:line="580" w:lineRule="exact"/>
        <w:ind w:firstLine="640"/>
        <w:rPr>
          <w:color w:val="000000"/>
          <w:szCs w:val="32"/>
        </w:rPr>
      </w:pPr>
      <w:r>
        <w:rPr>
          <w:color w:val="000000"/>
          <w:szCs w:val="32"/>
        </w:rPr>
        <w:t>202</w:t>
      </w:r>
      <w:r>
        <w:rPr>
          <w:rFonts w:hint="eastAsia"/>
          <w:color w:val="000000"/>
          <w:szCs w:val="32"/>
        </w:rPr>
        <w:t>3</w:t>
      </w:r>
      <w:r>
        <w:rPr>
          <w:color w:val="000000"/>
          <w:szCs w:val="32"/>
        </w:rPr>
        <w:t>年，县老干部休养活动中心在</w:t>
      </w:r>
      <w:r>
        <w:rPr>
          <w:rFonts w:hint="eastAsia"/>
          <w:color w:val="000000"/>
          <w:szCs w:val="32"/>
        </w:rPr>
        <w:t>部机关</w:t>
      </w:r>
      <w:r>
        <w:rPr>
          <w:color w:val="000000"/>
          <w:szCs w:val="32"/>
        </w:rPr>
        <w:t>的正确领导下，</w:t>
      </w:r>
      <w:r>
        <w:rPr>
          <w:rFonts w:hint="eastAsia"/>
          <w:color w:val="000000"/>
          <w:szCs w:val="32"/>
        </w:rPr>
        <w:t>认真学习贯彻</w:t>
      </w:r>
      <w:r>
        <w:rPr>
          <w:color w:val="000000"/>
          <w:szCs w:val="32"/>
        </w:rPr>
        <w:t>习近平新时代中国特色社会主义思想</w:t>
      </w:r>
      <w:r>
        <w:rPr>
          <w:rFonts w:hint="eastAsia"/>
          <w:color w:val="000000"/>
          <w:szCs w:val="32"/>
        </w:rPr>
        <w:t>和党的二十大精神</w:t>
      </w:r>
      <w:r>
        <w:rPr>
          <w:color w:val="000000"/>
          <w:szCs w:val="32"/>
        </w:rPr>
        <w:t>，坚持以人为本，务实担当，</w:t>
      </w:r>
      <w:r>
        <w:rPr>
          <w:rFonts w:hint="eastAsia"/>
          <w:color w:val="000000"/>
          <w:szCs w:val="32"/>
        </w:rPr>
        <w:t>悉心服务，</w:t>
      </w:r>
      <w:r>
        <w:rPr>
          <w:color w:val="000000"/>
          <w:szCs w:val="32"/>
        </w:rPr>
        <w:t>较好地完成了各项工作，主要情况如下：</w:t>
      </w:r>
    </w:p>
    <w:p>
      <w:pPr>
        <w:spacing w:line="578" w:lineRule="exact"/>
        <w:ind w:firstLine="643" w:firstLineChars="200"/>
        <w:rPr>
          <w:rFonts w:ascii="楷体_GB2312" w:eastAsia="楷体_GB2312"/>
          <w:b/>
          <w:color w:val="000000"/>
          <w:szCs w:val="32"/>
        </w:rPr>
      </w:pPr>
      <w:r>
        <w:rPr>
          <w:rFonts w:hint="eastAsia" w:ascii="楷体_GB2312" w:eastAsia="楷体_GB2312"/>
          <w:b/>
          <w:color w:val="000000"/>
          <w:szCs w:val="32"/>
        </w:rPr>
        <w:t>（一）强化政治引领，提升履职能力。</w:t>
      </w:r>
    </w:p>
    <w:p>
      <w:pPr>
        <w:spacing w:line="578" w:lineRule="exact"/>
        <w:ind w:firstLine="643" w:firstLineChars="200"/>
        <w:rPr>
          <w:color w:val="000000"/>
          <w:szCs w:val="32"/>
        </w:rPr>
      </w:pPr>
      <w:r>
        <w:rPr>
          <w:rFonts w:hint="eastAsia" w:ascii="楷体_GB2312" w:eastAsia="楷体_GB2312"/>
          <w:b/>
          <w:color w:val="000000"/>
          <w:szCs w:val="32"/>
        </w:rPr>
        <w:t>1.旗帜鲜明讲政治，加强政治建设。</w:t>
      </w:r>
      <w:r>
        <w:rPr>
          <w:rFonts w:hint="eastAsia"/>
          <w:color w:val="000000"/>
          <w:szCs w:val="32"/>
        </w:rPr>
        <w:t>坚持“党办姓党”，把加强党的政治建设贯穿中心工作全过程，通过专题培训、集中研讨、现场教学等形式学深悟透习近平新时代中国特色社会主义思想，教育引导党员干部牢记“政治性是第一属性、讲政治是第一要求”，深刻领悟“两个确立”的决定性意义，增强“四个意识”、坚定“四个自信”、做到“两个维护”，在思想上政治上行动上同以习近平同志为核心的党中央保持高度一致。支部会议与班子会议、干职工会议等压茬召开，充分利用理论学习成果和上级工作部署，指导支部党员</w:t>
      </w:r>
      <w:r>
        <w:rPr>
          <w:color w:val="000000"/>
          <w:szCs w:val="32"/>
        </w:rPr>
        <w:t>做好老干部服务工作</w:t>
      </w:r>
      <w:r>
        <w:rPr>
          <w:rFonts w:hint="eastAsia"/>
          <w:color w:val="000000"/>
          <w:szCs w:val="32"/>
        </w:rPr>
        <w:t>，开展业务实践，各项工作自觉同党中央决策部署对标对表，做到目标同向、部署同步、工作同力</w:t>
      </w:r>
      <w:r>
        <w:rPr>
          <w:color w:val="000000"/>
          <w:szCs w:val="32"/>
        </w:rPr>
        <w:t>。</w:t>
      </w:r>
    </w:p>
    <w:p>
      <w:pPr>
        <w:spacing w:line="578" w:lineRule="exact"/>
        <w:ind w:firstLine="643" w:firstLineChars="200"/>
        <w:rPr>
          <w:color w:val="000000"/>
          <w:szCs w:val="32"/>
        </w:rPr>
      </w:pPr>
      <w:r>
        <w:rPr>
          <w:rFonts w:hint="eastAsia" w:ascii="楷体_GB2312" w:eastAsia="楷体_GB2312"/>
          <w:b/>
          <w:color w:val="000000"/>
          <w:szCs w:val="32"/>
        </w:rPr>
        <w:t>2.理论武装固根基，加强思想建设。</w:t>
      </w:r>
      <w:r>
        <w:rPr>
          <w:rFonts w:hint="eastAsia" w:ascii="仿宋_GB2312" w:cs="仿宋_GB2312"/>
          <w:bCs/>
          <w:color w:val="000000"/>
          <w:szCs w:val="32"/>
        </w:rPr>
        <w:t>始终将学习贯彻习近平新时代中国特色社会主义思想作为首要政治任务，及时跟进学习习近平总书记重要讲话精神，严格落实“第一议题”制度，持续完善理论学习指导制度，制定学习计划，列明学习清单，细化学习内容。组织开展党的二十大精神系列学习，创新开展“党员干部讲微党课”活动，提高理论武装实际效果。</w:t>
      </w:r>
      <w:r>
        <w:rPr>
          <w:color w:val="000000"/>
          <w:szCs w:val="32"/>
        </w:rPr>
        <w:t>注重加强意识形态工作，坚持自主学习和集中学习相结合，</w:t>
      </w:r>
      <w:r>
        <w:rPr>
          <w:color w:val="000000"/>
          <w:szCs w:val="32"/>
          <w:shd w:val="clear" w:color="auto" w:fill="FFFFFF"/>
        </w:rPr>
        <w:t>统筹党史国史、法律法规和业务知识学习，</w:t>
      </w:r>
      <w:r>
        <w:rPr>
          <w:color w:val="000000"/>
          <w:szCs w:val="32"/>
        </w:rPr>
        <w:t>积极运用“学习强国”网络学习平台和微信等即时通讯工具开展学习，</w:t>
      </w:r>
      <w:r>
        <w:rPr>
          <w:rFonts w:hint="eastAsia"/>
          <w:color w:val="000000"/>
          <w:szCs w:val="32"/>
        </w:rPr>
        <w:t>全年组织开展集中学习12次，研讨交流8次、观看教育影片10次、党课教育5次，力求</w:t>
      </w:r>
      <w:r>
        <w:rPr>
          <w:rFonts w:hint="eastAsia" w:ascii="仿宋_GB2312" w:cs="仿宋_GB2312"/>
          <w:bCs/>
          <w:color w:val="000000"/>
          <w:szCs w:val="32"/>
        </w:rPr>
        <w:t>从思想上做到正本清源、固本培元。</w:t>
      </w:r>
    </w:p>
    <w:p>
      <w:pPr>
        <w:spacing w:line="578" w:lineRule="exact"/>
        <w:ind w:firstLine="640" w:firstLineChars="200"/>
        <w:rPr>
          <w:rFonts w:ascii="仿宋_GB2312" w:cs="仿宋_GB2312"/>
          <w:bCs/>
          <w:color w:val="000000"/>
          <w:szCs w:val="32"/>
        </w:rPr>
      </w:pPr>
      <w:r>
        <w:rPr>
          <w:rFonts w:hint="eastAsia"/>
          <w:color w:val="000000"/>
          <w:szCs w:val="32"/>
        </w:rPr>
        <w:t>3.</w:t>
      </w:r>
      <w:r>
        <w:rPr>
          <w:rFonts w:hint="eastAsia" w:ascii="楷体_GB2312" w:eastAsia="楷体_GB2312"/>
          <w:b/>
          <w:color w:val="000000"/>
          <w:szCs w:val="32"/>
        </w:rPr>
        <w:t>凝心聚力强堡垒，加强组织建设。</w:t>
      </w:r>
      <w:r>
        <w:rPr>
          <w:rFonts w:hint="eastAsia" w:ascii="仿宋_GB2312" w:cs="仿宋_GB2312"/>
          <w:bCs/>
          <w:color w:val="000000"/>
          <w:szCs w:val="32"/>
        </w:rPr>
        <w:t>选优配强支部书记，安排年轻干部负责党务工作，联系本支部党务、业务、内控等工作，切实提升支部组织力。深入推进支部“五化”建设、组织生活会、民主评议党员、党员积分管理、支部主题党日等重点工作。以主题党日活动为抓手，结合工作实际，策划组织各类内容丰富、形式多样的正能量活动。扎实开展党员干部思想政治教育和警示教育，推动党员干部拒绝酒驾、廉洁自律、不信宗教等承诺践诺书签订全覆盖；组织到向警予、张子清故居瞻仰革命烈士，马迹塘战史陈列馆等开展支部活动；引导党员到社区报到备案，参与防诈骗知识宣传、垃圾分类宣传、环境整治等志愿活动，累计开展志愿服务40人次。</w:t>
      </w:r>
    </w:p>
    <w:p>
      <w:pPr>
        <w:numPr>
          <w:ilvl w:val="0"/>
          <w:numId w:val="1"/>
        </w:numPr>
        <w:spacing w:line="578" w:lineRule="exact"/>
        <w:ind w:left="0" w:firstLine="643" w:firstLineChars="200"/>
        <w:rPr>
          <w:color w:val="000000"/>
          <w:szCs w:val="32"/>
        </w:rPr>
      </w:pPr>
      <w:r>
        <w:rPr>
          <w:rFonts w:hint="eastAsia" w:ascii="楷体_GB2312" w:eastAsia="楷体_GB2312"/>
          <w:b/>
          <w:color w:val="000000"/>
          <w:szCs w:val="32"/>
        </w:rPr>
        <w:t>推进文化养老，争创省级示范。</w:t>
      </w:r>
    </w:p>
    <w:p>
      <w:pPr>
        <w:spacing w:line="578" w:lineRule="exact"/>
        <w:ind w:firstLine="643" w:firstLineChars="200"/>
        <w:rPr>
          <w:rFonts w:ascii="仿宋_GB2312" w:cs="仿宋_GB2312"/>
          <w:bCs/>
          <w:color w:val="000000"/>
          <w:szCs w:val="32"/>
        </w:rPr>
      </w:pPr>
      <w:r>
        <w:rPr>
          <w:rFonts w:hint="eastAsia" w:ascii="楷体_GB2312" w:eastAsia="楷体_GB2312"/>
          <w:b/>
          <w:color w:val="000000"/>
          <w:szCs w:val="32"/>
        </w:rPr>
        <w:t>1.打造红色校园。</w:t>
      </w:r>
      <w:r>
        <w:rPr>
          <w:rFonts w:hint="eastAsia" w:ascii="仿宋_GB2312" w:cs="仿宋_GB2312"/>
          <w:bCs/>
          <w:color w:val="000000"/>
          <w:szCs w:val="32"/>
        </w:rPr>
        <w:t>今年，老干部大学以争创省级示范老干部大学为目标，不断开创工作新局面。2023年9月建立老干部大学临时党总支部1个、党支部4个，将166名教师、学员党员全部纳入组织管理，积极探索党建引领老年学员发挥正能量的办学思路，将“红色元素”融入老年教育各个环节，全方位激活红色因子。引导全校师生开展“红色课堂”文化活动，通过传唱经典红歌、演奏红色曲目、创作红色诗词，抒发爱党爱国之情，表达对祖国事业蒸蒸日上的喜悦与自豪。</w:t>
      </w:r>
      <w:r>
        <w:rPr>
          <w:rFonts w:hint="eastAsia" w:ascii="仿宋_GB2312" w:cs="仿宋_GB2312"/>
          <w:szCs w:val="40"/>
        </w:rPr>
        <w:t>围绕主题教育、“一课一片一实践”等党建工作重点任务每月确定活动主题，持续开展“六学一实践”主题党日活动（学党章、学法规、学思想、学讲话、学党史、学典型，开展志愿服务文明实践）。</w:t>
      </w:r>
    </w:p>
    <w:p>
      <w:pPr>
        <w:spacing w:line="578" w:lineRule="exact"/>
        <w:ind w:firstLine="643" w:firstLineChars="200"/>
        <w:rPr>
          <w:rFonts w:ascii="仿宋_GB2312" w:cs="仿宋_GB2312"/>
          <w:bCs/>
          <w:color w:val="000000"/>
          <w:szCs w:val="32"/>
        </w:rPr>
      </w:pPr>
      <w:r>
        <w:rPr>
          <w:rFonts w:hint="eastAsia" w:ascii="楷体_GB2312" w:eastAsia="楷体_GB2312"/>
          <w:b/>
          <w:color w:val="000000"/>
          <w:szCs w:val="32"/>
        </w:rPr>
        <w:t>2.打造品质校园。</w:t>
      </w:r>
      <w:r>
        <w:rPr>
          <w:rFonts w:hint="eastAsia" w:ascii="仿宋_GB2312" w:cs="仿宋_GB2312"/>
          <w:bCs/>
          <w:color w:val="000000"/>
          <w:szCs w:val="32"/>
        </w:rPr>
        <w:t>严格把好选聘关，通过县教育局、县文旅广体局等单位推荐、校委会走访考察等途径，采取试教等方式，选聘了一支思想素质好、业务素质高、教学经验丰富、乐于为老年教育事业奉献的教师队伍，目前聘有兼职教师14名。从学员的需求出发，紧跟时代潮流，多类别、多层级优化课程设置，巩固传统文化课、发展现代知识课、突出文艺特色课、办好运动保健课，让学员们学有所乐、学有所成、学有所为。2023学年共开设太极、形体舞、形体模特、交谊舞、拉丁舞、摩登舞、民族舞、二胡、电子琴、手风琴、诗联、声乐等12个专业，共24个教学班，在校学员2000人次。不同专业学科设基础班、提升班，根据学员基础条件和专业学习特点，实行分层次教学。</w:t>
      </w:r>
    </w:p>
    <w:p>
      <w:pPr>
        <w:spacing w:line="578" w:lineRule="exact"/>
        <w:ind w:firstLine="643" w:firstLineChars="200"/>
        <w:rPr>
          <w:rFonts w:ascii="楷体_GB2312" w:eastAsia="楷体_GB2312"/>
          <w:bCs/>
          <w:color w:val="000000"/>
          <w:szCs w:val="32"/>
        </w:rPr>
      </w:pPr>
      <w:r>
        <w:rPr>
          <w:rFonts w:hint="eastAsia" w:ascii="楷体_GB2312" w:eastAsia="楷体_GB2312"/>
          <w:b/>
          <w:color w:val="000000"/>
          <w:szCs w:val="32"/>
        </w:rPr>
        <w:t>3.打造活力校园。</w:t>
      </w:r>
      <w:r>
        <w:rPr>
          <w:rFonts w:hint="eastAsia" w:ascii="仿宋_GB2312" w:cs="仿宋_GB2312"/>
          <w:bCs/>
          <w:color w:val="000000"/>
          <w:szCs w:val="32"/>
        </w:rPr>
        <w:t>组织各班级围绕重要时间节点策划开展红色教育基地参观、重阳联欢会、改革开放45周年故事会等形式多样的主题班队活动；引导学员加入“竹乡五美”志愿服务团，积极参与爱心助学、法制宣传、文明创建、防溺水、扶贫帮困等活动20余次；今年成功举办“砥砺忆峥嵘·红色映初心”首届校园文化艺术节、承办县老干部局、县关工委“传承红色基因·赓续红色血脉”主题文艺汇演。</w:t>
      </w:r>
    </w:p>
    <w:p>
      <w:pPr>
        <w:spacing w:line="578" w:lineRule="exact"/>
        <w:ind w:firstLine="643" w:firstLineChars="200"/>
        <w:rPr>
          <w:rFonts w:ascii="楷体_GB2312" w:eastAsia="楷体_GB2312"/>
          <w:b/>
          <w:color w:val="000000"/>
          <w:szCs w:val="32"/>
        </w:rPr>
      </w:pPr>
      <w:r>
        <w:rPr>
          <w:rFonts w:hint="eastAsia" w:ascii="楷体_GB2312" w:eastAsia="楷体_GB2312"/>
          <w:b/>
          <w:color w:val="000000"/>
          <w:szCs w:val="32"/>
        </w:rPr>
        <w:t>（三）夯实服务保障，助力中心发展。</w:t>
      </w:r>
    </w:p>
    <w:p>
      <w:pPr>
        <w:spacing w:line="578" w:lineRule="exact"/>
        <w:ind w:firstLine="643" w:firstLineChars="200"/>
        <w:rPr>
          <w:color w:val="000000"/>
          <w:szCs w:val="32"/>
        </w:rPr>
      </w:pPr>
      <w:r>
        <w:rPr>
          <w:rFonts w:hint="eastAsia" w:ascii="楷体_GB2312" w:eastAsia="楷体_GB2312"/>
          <w:b/>
          <w:color w:val="000000"/>
          <w:szCs w:val="32"/>
        </w:rPr>
        <w:t>1.加大投入强基础。</w:t>
      </w:r>
      <w:r>
        <w:rPr>
          <w:rFonts w:hint="eastAsia"/>
          <w:color w:val="000000"/>
          <w:szCs w:val="32"/>
        </w:rPr>
        <w:t>为满足老干部活动需求，中心持续做好日常设施维护和场地建设。今年投入5万余元，对3个门球场进行体质改造工程，在重新铺设人造草坪、浇捣门球场地台后，成功举行了市女子门球赛。对中心大院保持一年两次的绿化维养工作，营造优美舒适的环境。全面落实县城夜景亮化工作任务，确保按时按质按量，装点到位、增亮到位。为优化设施环境，提升活动安全性，定期开展设施设备大排查大检修，先后投入4多万元对电梯、门楼等进行维护装修。</w:t>
      </w:r>
    </w:p>
    <w:p>
      <w:pPr>
        <w:spacing w:line="578" w:lineRule="exact"/>
        <w:ind w:firstLine="643" w:firstLineChars="200"/>
        <w:rPr>
          <w:color w:val="000000"/>
          <w:szCs w:val="32"/>
        </w:rPr>
      </w:pPr>
      <w:r>
        <w:rPr>
          <w:rFonts w:hint="eastAsia" w:ascii="楷体_GB2312" w:eastAsia="楷体_GB2312"/>
          <w:b/>
          <w:color w:val="000000"/>
          <w:szCs w:val="32"/>
        </w:rPr>
        <w:t>2.搭建平台优服务。</w:t>
      </w:r>
      <w:r>
        <w:rPr>
          <w:rFonts w:hint="eastAsia"/>
          <w:szCs w:val="32"/>
        </w:rPr>
        <w:t>全年</w:t>
      </w:r>
      <w:r>
        <w:rPr>
          <w:szCs w:val="32"/>
        </w:rPr>
        <w:t>为全县老干部工作会议、老干部文体学习活动提供场地和服务共15次，</w:t>
      </w:r>
      <w:r>
        <w:rPr>
          <w:color w:val="000000"/>
          <w:szCs w:val="32"/>
        </w:rPr>
        <w:t>承接县人大办、县委组织部等单位的离退休干部党支部活动18次，承担县人社局、县</w:t>
      </w:r>
      <w:r>
        <w:rPr>
          <w:rFonts w:hint="eastAsia"/>
          <w:color w:val="000000"/>
          <w:szCs w:val="32"/>
        </w:rPr>
        <w:t>卫健</w:t>
      </w:r>
      <w:r>
        <w:rPr>
          <w:color w:val="000000"/>
          <w:szCs w:val="32"/>
        </w:rPr>
        <w:t>局、县总工会等单位的考务、节目排练等活动25场（次），为县老科协、老年书协、县老年体协、县老干部诗词协会、门球协会等涉老社团提供会务保障20场（次）。</w:t>
      </w:r>
    </w:p>
    <w:p>
      <w:pPr>
        <w:spacing w:line="578" w:lineRule="exact"/>
        <w:ind w:firstLine="643" w:firstLineChars="200"/>
        <w:rPr>
          <w:color w:val="000000"/>
          <w:szCs w:val="32"/>
        </w:rPr>
      </w:pPr>
      <w:r>
        <w:rPr>
          <w:rFonts w:hint="eastAsia" w:ascii="楷体_GB2312" w:eastAsia="楷体_GB2312"/>
          <w:b/>
          <w:color w:val="000000"/>
          <w:szCs w:val="32"/>
        </w:rPr>
        <w:t>3.责任落实贯始终。</w:t>
      </w:r>
      <w:r>
        <w:rPr>
          <w:rFonts w:hint="eastAsia"/>
          <w:color w:val="000000"/>
          <w:szCs w:val="32"/>
        </w:rPr>
        <w:t>今年，中心走访慰问老干部近20人次，为10余名老干部送去生日祝福，慰问困难老干8人次，悉心做好2名特困企业离休干部和26名遗孀的服务管理工作，保障好政治和生活“两项待遇”，确保群体稳定。安排党员骨干深入对口帮扶石牛江村，重点抓好乡村振兴工作，投入驻村帮扶资金3万元，引导党员干部到增塘村与监测户“一对一”结对，定期入户走访了解监测户生产生活情况，精准施策确定帮扶措施，做实做细做好帮扶工作。</w:t>
      </w:r>
    </w:p>
    <w:p>
      <w:pPr>
        <w:spacing w:line="580" w:lineRule="exact"/>
        <w:ind w:firstLine="640" w:firstLineChars="200"/>
        <w:rPr>
          <w:rFonts w:eastAsia="黑体"/>
          <w:color w:val="000000"/>
          <w:szCs w:val="32"/>
        </w:rPr>
      </w:pPr>
      <w:r>
        <w:rPr>
          <w:rFonts w:eastAsia="黑体"/>
          <w:color w:val="000000"/>
          <w:szCs w:val="32"/>
        </w:rPr>
        <w:t>五、绩效评价工作开展情况</w:t>
      </w:r>
    </w:p>
    <w:p>
      <w:pPr>
        <w:spacing w:line="580" w:lineRule="exact"/>
        <w:ind w:firstLine="640" w:firstLineChars="200"/>
        <w:rPr>
          <w:rFonts w:eastAsia="楷体_GB2312"/>
          <w:b/>
          <w:color w:val="000000"/>
          <w:szCs w:val="32"/>
        </w:rPr>
      </w:pPr>
      <w:r>
        <w:rPr>
          <w:rFonts w:eastAsia="楷体_GB2312"/>
          <w:color w:val="000000"/>
          <w:szCs w:val="32"/>
        </w:rPr>
        <w:t>（一）</w:t>
      </w:r>
      <w:r>
        <w:rPr>
          <w:rFonts w:eastAsia="楷体_GB2312"/>
          <w:b/>
          <w:color w:val="000000"/>
          <w:szCs w:val="32"/>
        </w:rPr>
        <w:t>绩效评价目的</w:t>
      </w:r>
    </w:p>
    <w:p>
      <w:pPr>
        <w:spacing w:line="580" w:lineRule="exact"/>
        <w:ind w:firstLine="640"/>
        <w:rPr>
          <w:color w:val="000000"/>
          <w:szCs w:val="32"/>
        </w:rPr>
      </w:pPr>
      <w:r>
        <w:rPr>
          <w:color w:val="000000"/>
          <w:szCs w:val="32"/>
        </w:rPr>
        <w:t>本次绩效评价的目的是为了全面分析和综合评价我县老干部休养活动中心本级财政预算资金的使用管理情况，为切实提高财政资金使用效益，强化预算支出的责任和效率提供参考依据。</w:t>
      </w:r>
    </w:p>
    <w:p>
      <w:pPr>
        <w:spacing w:line="580" w:lineRule="exact"/>
        <w:ind w:firstLine="643"/>
        <w:rPr>
          <w:rFonts w:eastAsia="楷体_GB2312"/>
          <w:b/>
          <w:color w:val="000000"/>
          <w:szCs w:val="32"/>
        </w:rPr>
      </w:pPr>
      <w:r>
        <w:rPr>
          <w:rFonts w:eastAsia="楷体_GB2312"/>
          <w:b/>
          <w:color w:val="000000"/>
          <w:szCs w:val="32"/>
        </w:rPr>
        <w:t>（二）整体支出绩效目标</w:t>
      </w:r>
    </w:p>
    <w:p>
      <w:pPr>
        <w:spacing w:line="580" w:lineRule="exact"/>
        <w:ind w:firstLine="640" w:firstLineChars="200"/>
        <w:rPr>
          <w:color w:val="000000"/>
          <w:szCs w:val="32"/>
        </w:rPr>
      </w:pPr>
      <w:r>
        <w:rPr>
          <w:rFonts w:eastAsia="Times New Roman"/>
          <w:color w:val="000000"/>
          <w:szCs w:val="32"/>
        </w:rPr>
        <w:t>1</w:t>
      </w:r>
      <w:r>
        <w:rPr>
          <w:color w:val="000000"/>
          <w:szCs w:val="32"/>
        </w:rPr>
        <w:t>.预决算公开：</w:t>
      </w:r>
      <w:r>
        <w:rPr>
          <w:rFonts w:hint="eastAsia"/>
          <w:color w:val="000000"/>
          <w:szCs w:val="32"/>
        </w:rPr>
        <w:t>2023</w:t>
      </w:r>
      <w:r>
        <w:rPr>
          <w:color w:val="000000"/>
          <w:szCs w:val="32"/>
        </w:rPr>
        <w:t>年，按照上级的要求，我单位在桃江公众信息网上进行了预决算公开。</w:t>
      </w:r>
    </w:p>
    <w:p>
      <w:pPr>
        <w:spacing w:line="580" w:lineRule="exact"/>
        <w:ind w:firstLine="640"/>
        <w:rPr>
          <w:color w:val="000000"/>
          <w:szCs w:val="32"/>
        </w:rPr>
      </w:pPr>
      <w:r>
        <w:rPr>
          <w:color w:val="000000"/>
          <w:szCs w:val="32"/>
        </w:rPr>
        <w:t>资产管理：我们进一步加强资产的管理，制定了《桃江县老干部休养活动中心财务管理制度》、《桃江县老干部休养活动中心资产管理制度》等，明确了具体责任人，完善了固定资产档案，严格报批、销审等手续，做好资产统计工作，</w:t>
      </w:r>
      <w:r>
        <w:rPr>
          <w:rFonts w:hint="eastAsia"/>
          <w:color w:val="000000"/>
          <w:szCs w:val="32"/>
        </w:rPr>
        <w:t>按时上报资产报表，及时完成资产增加、处置申报等工作</w:t>
      </w:r>
      <w:r>
        <w:rPr>
          <w:color w:val="000000"/>
          <w:szCs w:val="32"/>
        </w:rPr>
        <w:t>。</w:t>
      </w:r>
    </w:p>
    <w:p>
      <w:pPr>
        <w:spacing w:line="580" w:lineRule="exact"/>
        <w:ind w:firstLine="640" w:firstLineChars="200"/>
        <w:rPr>
          <w:color w:val="000000"/>
          <w:szCs w:val="32"/>
        </w:rPr>
      </w:pPr>
      <w:r>
        <w:rPr>
          <w:rFonts w:eastAsia="Times New Roman"/>
          <w:color w:val="000000"/>
          <w:szCs w:val="32"/>
        </w:rPr>
        <w:t>2</w:t>
      </w:r>
      <w:r>
        <w:rPr>
          <w:color w:val="000000"/>
          <w:szCs w:val="32"/>
        </w:rPr>
        <w:t>.“三公经费”控制情况：贯彻落实上级有关精神，严格控制“三公经费”支出，取得了良好效果。</w:t>
      </w:r>
      <w:r>
        <w:rPr>
          <w:rFonts w:hint="eastAsia"/>
          <w:color w:val="000000"/>
          <w:szCs w:val="32"/>
        </w:rPr>
        <w:t>2023</w:t>
      </w:r>
      <w:r>
        <w:rPr>
          <w:color w:val="000000"/>
          <w:szCs w:val="32"/>
        </w:rPr>
        <w:t>年度“三公”经费支出</w:t>
      </w:r>
      <w:r>
        <w:rPr>
          <w:rFonts w:hint="eastAsia"/>
          <w:color w:val="000000"/>
          <w:szCs w:val="32"/>
        </w:rPr>
        <w:t>0.54</w:t>
      </w:r>
      <w:r>
        <w:rPr>
          <w:color w:val="000000"/>
          <w:szCs w:val="32"/>
        </w:rPr>
        <w:t>万元，比20</w:t>
      </w:r>
      <w:r>
        <w:rPr>
          <w:rFonts w:hint="eastAsia"/>
          <w:color w:val="000000"/>
          <w:szCs w:val="32"/>
        </w:rPr>
        <w:t>22</w:t>
      </w:r>
      <w:r>
        <w:rPr>
          <w:color w:val="000000"/>
          <w:szCs w:val="32"/>
        </w:rPr>
        <w:t>年度“三公经费”支出减少</w:t>
      </w:r>
      <w:r>
        <w:rPr>
          <w:rFonts w:hint="eastAsia"/>
          <w:color w:val="000000"/>
          <w:szCs w:val="32"/>
        </w:rPr>
        <w:t>0.74</w:t>
      </w:r>
      <w:r>
        <w:rPr>
          <w:color w:val="000000"/>
          <w:szCs w:val="32"/>
        </w:rPr>
        <w:t>万元</w:t>
      </w:r>
      <w:r>
        <w:rPr>
          <w:rFonts w:hint="eastAsia"/>
          <w:color w:val="000000"/>
          <w:szCs w:val="32"/>
        </w:rPr>
        <w:t>，</w:t>
      </w:r>
      <w:r>
        <w:rPr>
          <w:color w:val="000000"/>
          <w:szCs w:val="32"/>
        </w:rPr>
        <w:t>下降</w:t>
      </w:r>
      <w:r>
        <w:rPr>
          <w:rFonts w:hint="eastAsia"/>
          <w:color w:val="000000"/>
          <w:szCs w:val="32"/>
        </w:rPr>
        <w:t>137</w:t>
      </w:r>
      <w:r>
        <w:rPr>
          <w:color w:val="000000"/>
          <w:szCs w:val="32"/>
        </w:rPr>
        <w:t>%。</w:t>
      </w:r>
    </w:p>
    <w:p>
      <w:pPr>
        <w:spacing w:line="580" w:lineRule="exact"/>
        <w:ind w:firstLine="640"/>
        <w:rPr>
          <w:color w:val="000000"/>
          <w:szCs w:val="32"/>
        </w:rPr>
      </w:pPr>
      <w:r>
        <w:rPr>
          <w:rFonts w:eastAsia="Times New Roman"/>
          <w:color w:val="000000"/>
          <w:szCs w:val="32"/>
        </w:rPr>
        <w:t>3</w:t>
      </w:r>
      <w:r>
        <w:rPr>
          <w:color w:val="000000"/>
          <w:szCs w:val="32"/>
        </w:rPr>
        <w:t>.内部管理制度建设情况：近年来，我单位制定了《桃江县老干部休养活动中心财务管理制度》等内部制度。</w:t>
      </w:r>
    </w:p>
    <w:p>
      <w:pPr>
        <w:spacing w:line="580" w:lineRule="exact"/>
        <w:ind w:firstLine="627"/>
        <w:rPr>
          <w:color w:val="000000"/>
          <w:szCs w:val="32"/>
        </w:rPr>
      </w:pPr>
      <w:r>
        <w:rPr>
          <w:rFonts w:eastAsia="Times New Roman"/>
          <w:color w:val="000000"/>
          <w:szCs w:val="32"/>
        </w:rPr>
        <w:t>4</w:t>
      </w:r>
      <w:r>
        <w:rPr>
          <w:color w:val="000000"/>
          <w:szCs w:val="32"/>
        </w:rPr>
        <w:t>.项目绩效总目标完成情况：</w:t>
      </w:r>
      <w:r>
        <w:rPr>
          <w:rFonts w:hint="eastAsia"/>
          <w:color w:val="000000"/>
          <w:szCs w:val="32"/>
        </w:rPr>
        <w:t>2023</w:t>
      </w:r>
      <w:r>
        <w:rPr>
          <w:color w:val="000000"/>
          <w:szCs w:val="32"/>
        </w:rPr>
        <w:t>年，圆满完成了全县</w:t>
      </w:r>
      <w:r>
        <w:rPr>
          <w:rFonts w:hint="eastAsia"/>
          <w:color w:val="000000"/>
          <w:szCs w:val="32"/>
        </w:rPr>
        <w:t>老干部活动、老干部</w:t>
      </w:r>
      <w:r>
        <w:rPr>
          <w:color w:val="000000"/>
          <w:szCs w:val="32"/>
        </w:rPr>
        <w:t>大学、</w:t>
      </w:r>
      <w:r>
        <w:rPr>
          <w:rFonts w:hint="eastAsia"/>
          <w:color w:val="000000"/>
          <w:szCs w:val="32"/>
        </w:rPr>
        <w:t>驻村帮扶、涉老社团</w:t>
      </w:r>
      <w:r>
        <w:rPr>
          <w:color w:val="000000"/>
          <w:szCs w:val="32"/>
        </w:rPr>
        <w:t>等各项工作任务。</w:t>
      </w:r>
    </w:p>
    <w:p>
      <w:pPr>
        <w:spacing w:line="580" w:lineRule="exact"/>
        <w:ind w:firstLine="643"/>
        <w:rPr>
          <w:rFonts w:eastAsia="楷体_GB2312"/>
          <w:b/>
          <w:color w:val="000000"/>
          <w:szCs w:val="32"/>
        </w:rPr>
      </w:pPr>
      <w:r>
        <w:rPr>
          <w:rFonts w:eastAsia="楷体_GB2312"/>
          <w:b/>
          <w:color w:val="000000"/>
          <w:szCs w:val="32"/>
        </w:rPr>
        <w:t>（三）部门整体支出情况分析</w:t>
      </w:r>
    </w:p>
    <w:p>
      <w:pPr>
        <w:spacing w:line="580" w:lineRule="exact"/>
        <w:ind w:firstLine="640"/>
        <w:rPr>
          <w:color w:val="000000"/>
          <w:szCs w:val="32"/>
        </w:rPr>
      </w:pPr>
      <w:r>
        <w:rPr>
          <w:color w:val="000000"/>
          <w:szCs w:val="32"/>
        </w:rPr>
        <w:t>从整体情况来看，我单位严格按照年初预算进行部门整体支出。在支出过程中，能严格遵守各项规章制度，“三公经费”中的公务接待费明显下降。所有项目都详细制定了方案，严格按方案组织实施，并加强了监督。尤其是在专项经费支出上，我们能专款专用，按项目实施计划的进度情况进行资金拨付，无截留、无挪用等现象。</w:t>
      </w:r>
    </w:p>
    <w:p>
      <w:pPr>
        <w:spacing w:line="580" w:lineRule="exact"/>
        <w:ind w:firstLine="640"/>
        <w:rPr>
          <w:rFonts w:eastAsia="黑体"/>
          <w:color w:val="000000"/>
          <w:szCs w:val="32"/>
        </w:rPr>
      </w:pPr>
      <w:r>
        <w:rPr>
          <w:rFonts w:eastAsia="黑体"/>
          <w:color w:val="000000"/>
          <w:szCs w:val="32"/>
        </w:rPr>
        <w:t>六、存在的主要问题</w:t>
      </w:r>
    </w:p>
    <w:p>
      <w:pPr>
        <w:spacing w:line="580" w:lineRule="exact"/>
        <w:ind w:firstLine="640"/>
        <w:rPr>
          <w:color w:val="000000"/>
          <w:szCs w:val="32"/>
        </w:rPr>
      </w:pPr>
      <w:r>
        <w:rPr>
          <w:rFonts w:hint="eastAsia"/>
          <w:color w:val="000000"/>
          <w:szCs w:val="32"/>
        </w:rPr>
        <w:t>（一）资金的使用进度未严格按县财政预算进度执行；</w:t>
      </w:r>
    </w:p>
    <w:p>
      <w:pPr>
        <w:spacing w:line="580" w:lineRule="exact"/>
        <w:ind w:firstLine="640"/>
        <w:rPr>
          <w:color w:val="000000"/>
          <w:szCs w:val="32"/>
        </w:rPr>
      </w:pPr>
      <w:r>
        <w:rPr>
          <w:rFonts w:hint="eastAsia"/>
          <w:color w:val="000000"/>
          <w:szCs w:val="32"/>
        </w:rPr>
        <w:t>（二）在资金使用效益上有待进一步提高。</w:t>
      </w:r>
    </w:p>
    <w:p>
      <w:pPr>
        <w:spacing w:line="580" w:lineRule="exact"/>
        <w:ind w:firstLine="640"/>
        <w:rPr>
          <w:rFonts w:eastAsia="黑体"/>
          <w:color w:val="000000"/>
          <w:szCs w:val="32"/>
        </w:rPr>
      </w:pPr>
      <w:r>
        <w:rPr>
          <w:rFonts w:eastAsia="黑体"/>
          <w:color w:val="000000"/>
          <w:szCs w:val="32"/>
        </w:rPr>
        <w:t>七、改进措施和有关建议</w:t>
      </w:r>
    </w:p>
    <w:p>
      <w:pPr>
        <w:spacing w:line="580" w:lineRule="exact"/>
        <w:ind w:firstLine="640"/>
        <w:rPr>
          <w:color w:val="000000"/>
          <w:szCs w:val="32"/>
        </w:rPr>
      </w:pPr>
      <w:r>
        <w:rPr>
          <w:rFonts w:hint="eastAsia" w:eastAsia="楷体_GB2312"/>
          <w:b/>
          <w:color w:val="000000"/>
          <w:szCs w:val="32"/>
        </w:rPr>
        <w:t>（一）加强财务管理，严格预算收支项目分类。</w:t>
      </w:r>
      <w:r>
        <w:rPr>
          <w:rFonts w:hint="eastAsia"/>
          <w:color w:val="000000"/>
          <w:szCs w:val="32"/>
        </w:rPr>
        <w:t>在费用报账支付时，按照预算规定的费用项目和用途进行审核、列报支付，同时杜绝超支现象的发生。</w:t>
      </w:r>
    </w:p>
    <w:p>
      <w:pPr>
        <w:spacing w:line="580" w:lineRule="exact"/>
        <w:ind w:firstLine="640"/>
        <w:rPr>
          <w:color w:val="000000"/>
          <w:szCs w:val="32"/>
        </w:rPr>
      </w:pPr>
      <w:r>
        <w:rPr>
          <w:rFonts w:hint="eastAsia" w:eastAsia="楷体_GB2312"/>
          <w:b/>
          <w:color w:val="000000"/>
          <w:szCs w:val="32"/>
        </w:rPr>
        <w:t>（二）持续抓好“三公”经费控制管理。</w:t>
      </w:r>
      <w:r>
        <w:rPr>
          <w:rFonts w:hint="eastAsia"/>
          <w:color w:val="000000"/>
          <w:szCs w:val="32"/>
        </w:rPr>
        <w:t>进一步细化“三公”经费的管理，合理压缩“三公”经费支出。</w:t>
      </w:r>
    </w:p>
    <w:p>
      <w:pPr>
        <w:spacing w:line="580" w:lineRule="exact"/>
        <w:ind w:firstLine="640"/>
        <w:rPr>
          <w:color w:val="000000"/>
          <w:szCs w:val="32"/>
        </w:rPr>
      </w:pPr>
      <w:r>
        <w:rPr>
          <w:rFonts w:eastAsia="楷体_GB2312"/>
          <w:b/>
          <w:color w:val="000000"/>
          <w:szCs w:val="32"/>
        </w:rPr>
        <w:t>（三）认真</w:t>
      </w:r>
      <w:r>
        <w:rPr>
          <w:rFonts w:hint="eastAsia" w:eastAsia="楷体_GB2312"/>
          <w:b/>
          <w:color w:val="000000"/>
          <w:szCs w:val="32"/>
        </w:rPr>
        <w:t>开展</w:t>
      </w:r>
      <w:r>
        <w:rPr>
          <w:rFonts w:eastAsia="楷体_GB2312"/>
          <w:b/>
          <w:color w:val="000000"/>
          <w:szCs w:val="32"/>
        </w:rPr>
        <w:t>绩效管理。</w:t>
      </w:r>
      <w:r>
        <w:rPr>
          <w:color w:val="000000"/>
          <w:szCs w:val="32"/>
        </w:rPr>
        <w:t>加强项目开展进度的跟踪，开展项目绩效评价，确保项目绩效目标的完成。</w:t>
      </w:r>
    </w:p>
    <w:p>
      <w:pPr>
        <w:spacing w:line="580" w:lineRule="exact"/>
        <w:ind w:firstLine="640"/>
        <w:rPr>
          <w:color w:val="000000"/>
        </w:rPr>
      </w:pPr>
      <w:r>
        <w:rPr>
          <w:color w:val="000000"/>
          <w:szCs w:val="32"/>
        </w:rPr>
        <w:t>在今后，我单位</w:t>
      </w:r>
      <w:r>
        <w:rPr>
          <w:rFonts w:hint="eastAsia"/>
          <w:color w:val="000000"/>
          <w:szCs w:val="32"/>
        </w:rPr>
        <w:t>将严格</w:t>
      </w:r>
      <w:r>
        <w:rPr>
          <w:color w:val="000000"/>
          <w:szCs w:val="32"/>
        </w:rPr>
        <w:t>按项目实施计划及时拨付相关资金，做好资金统筹与分配。</w:t>
      </w: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p>
    <w:p>
      <w:pPr>
        <w:spacing w:line="594" w:lineRule="exact"/>
        <w:jc w:val="center"/>
        <w:rPr>
          <w:rFonts w:eastAsia="方正小标宋简体"/>
          <w:bCs/>
          <w:kern w:val="0"/>
          <w:sz w:val="44"/>
          <w:szCs w:val="44"/>
        </w:rPr>
      </w:pPr>
      <w:r>
        <w:rPr>
          <w:rFonts w:eastAsia="方正小标宋简体"/>
          <w:bCs/>
          <w:kern w:val="0"/>
          <w:sz w:val="44"/>
          <w:szCs w:val="44"/>
        </w:rPr>
        <w:t>桃江县2023年度部门整体支出绩效评价</w:t>
      </w:r>
    </w:p>
    <w:p>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Style w:val="7"/>
        <w:tblpPr w:leftFromText="180" w:rightFromText="180" w:vertAnchor="text" w:horzAnchor="page" w:tblpXSpec="center" w:tblpY="181"/>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tcPr>
          <w:p>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tcPr>
          <w:p>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tcPr>
          <w:p>
            <w:pPr>
              <w:autoSpaceDE w:val="0"/>
              <w:autoSpaceDN w:val="0"/>
              <w:spacing w:line="360" w:lineRule="exact"/>
              <w:ind w:firstLine="720" w:firstLineChars="300"/>
              <w:rPr>
                <w:rFonts w:eastAsia="宋体"/>
                <w:kern w:val="0"/>
                <w:sz w:val="24"/>
              </w:rPr>
            </w:pPr>
            <w:r>
              <w:rPr>
                <w:rFonts w:eastAsia="宋体"/>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vAlign w:val="center"/>
          </w:tcP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11</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10</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Align w:val="center"/>
          </w:tcPr>
          <w:p>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vAlign w:val="center"/>
          </w:tcPr>
          <w:p>
            <w:pPr>
              <w:autoSpaceDE w:val="0"/>
              <w:autoSpaceDN w:val="0"/>
              <w:spacing w:line="360" w:lineRule="exact"/>
              <w:jc w:val="center"/>
              <w:rPr>
                <w:rFonts w:eastAsia="宋体"/>
                <w:kern w:val="0"/>
                <w:sz w:val="24"/>
              </w:rPr>
            </w:pPr>
            <w:r>
              <w:rPr>
                <w:rFonts w:eastAsia="宋体"/>
                <w:kern w:val="0"/>
                <w:sz w:val="24"/>
              </w:rPr>
              <w:t>2022年决算数</w:t>
            </w:r>
          </w:p>
        </w:tc>
        <w:tc>
          <w:tcPr>
            <w:tcW w:w="2200" w:type="dxa"/>
            <w:gridSpan w:val="2"/>
            <w:vAlign w:val="center"/>
          </w:tcPr>
          <w:p>
            <w:pPr>
              <w:autoSpaceDE w:val="0"/>
              <w:autoSpaceDN w:val="0"/>
              <w:spacing w:line="360" w:lineRule="exact"/>
              <w:jc w:val="center"/>
              <w:rPr>
                <w:rFonts w:eastAsia="宋体"/>
                <w:kern w:val="0"/>
                <w:sz w:val="24"/>
              </w:rPr>
            </w:pPr>
            <w:r>
              <w:rPr>
                <w:rFonts w:eastAsia="宋体"/>
                <w:kern w:val="0"/>
                <w:sz w:val="24"/>
              </w:rPr>
              <w:t>2023年预算数</w:t>
            </w:r>
          </w:p>
        </w:tc>
        <w:tc>
          <w:tcPr>
            <w:tcW w:w="2343" w:type="dxa"/>
            <w:gridSpan w:val="2"/>
            <w:vAlign w:val="center"/>
          </w:tcPr>
          <w:p>
            <w:pPr>
              <w:autoSpaceDE w:val="0"/>
              <w:autoSpaceDN w:val="0"/>
              <w:spacing w:line="360" w:lineRule="exact"/>
              <w:jc w:val="center"/>
              <w:rPr>
                <w:rFonts w:eastAsia="宋体"/>
                <w:kern w:val="0"/>
                <w:sz w:val="24"/>
              </w:rPr>
            </w:pPr>
            <w:r>
              <w:rPr>
                <w:rFonts w:eastAsia="宋体"/>
                <w:kern w:val="0"/>
                <w:sz w:val="24"/>
              </w:rPr>
              <w:t>2023年决算数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三公经费：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1.28</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0.54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1.28</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0.54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项目支出：</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66.5</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129.33</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129.33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53.5</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53.5</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53.5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2、运行维护经费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13</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43.73</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43.73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hint="eastAsia" w:eastAsia="宋体"/>
                <w:kern w:val="0"/>
                <w:sz w:val="24"/>
              </w:rPr>
              <w:t xml:space="preserve">    3</w:t>
            </w:r>
            <w:r>
              <w:rPr>
                <w:rFonts w:eastAsia="宋体"/>
                <w:kern w:val="0"/>
                <w:sz w:val="24"/>
              </w:rPr>
              <w:t>、</w:t>
            </w:r>
            <w:r>
              <w:rPr>
                <w:rFonts w:hint="eastAsia" w:eastAsia="宋体"/>
                <w:kern w:val="0"/>
                <w:sz w:val="24"/>
              </w:rPr>
              <w:t>追加项目</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32.1</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32.1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公用经费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11.7</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12.93</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12.93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3.8</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2.98</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3.7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0.32</w:t>
            </w: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w:t>
            </w:r>
          </w:p>
        </w:tc>
        <w:tc>
          <w:tcPr>
            <w:tcW w:w="2200"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4</w:t>
            </w:r>
          </w:p>
        </w:tc>
        <w:tc>
          <w:tcPr>
            <w:tcW w:w="2343" w:type="dxa"/>
            <w:gridSpan w:val="2"/>
          </w:tcPr>
          <w:p>
            <w:pPr>
              <w:autoSpaceDE w:val="0"/>
              <w:autoSpaceDN w:val="0"/>
              <w:spacing w:line="360" w:lineRule="exact"/>
              <w:ind w:firstLine="720" w:firstLineChars="300"/>
              <w:rPr>
                <w:rFonts w:eastAsia="宋体"/>
                <w:kern w:val="0"/>
                <w:sz w:val="24"/>
              </w:rPr>
            </w:pPr>
            <w:r>
              <w:rPr>
                <w:rFonts w:hint="eastAsia" w:eastAsia="宋体"/>
                <w:kern w:val="0"/>
                <w:sz w:val="24"/>
              </w:rPr>
              <w:t>0.46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tcPr>
          <w:p>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tcPr>
          <w:p>
            <w:pPr>
              <w:autoSpaceDE w:val="0"/>
              <w:autoSpaceDN w:val="0"/>
              <w:spacing w:line="360" w:lineRule="exact"/>
              <w:ind w:firstLine="720" w:firstLineChars="300"/>
              <w:rPr>
                <w:rFonts w:eastAsia="宋体"/>
                <w:kern w:val="0"/>
                <w:sz w:val="24"/>
              </w:rPr>
            </w:pPr>
          </w:p>
        </w:tc>
        <w:tc>
          <w:tcPr>
            <w:tcW w:w="2200" w:type="dxa"/>
            <w:gridSpan w:val="2"/>
          </w:tcPr>
          <w:p>
            <w:pPr>
              <w:autoSpaceDE w:val="0"/>
              <w:autoSpaceDN w:val="0"/>
              <w:spacing w:line="360" w:lineRule="exact"/>
              <w:ind w:firstLine="720" w:firstLineChars="300"/>
              <w:rPr>
                <w:rFonts w:eastAsia="宋体"/>
                <w:kern w:val="0"/>
                <w:sz w:val="24"/>
              </w:rPr>
            </w:pPr>
          </w:p>
        </w:tc>
        <w:tc>
          <w:tcPr>
            <w:tcW w:w="2343" w:type="dxa"/>
            <w:gridSpan w:val="2"/>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vAlign w:val="center"/>
          </w:tcPr>
          <w:p>
            <w:pPr>
              <w:autoSpaceDE w:val="0"/>
              <w:autoSpaceDN w:val="0"/>
              <w:spacing w:line="360" w:lineRule="exact"/>
              <w:jc w:val="center"/>
              <w:rPr>
                <w:rFonts w:eastAsia="宋体"/>
                <w:kern w:val="0"/>
                <w:sz w:val="24"/>
              </w:rPr>
            </w:pPr>
            <w:r>
              <w:rPr>
                <w:rFonts w:eastAsia="宋体"/>
                <w:kern w:val="0"/>
                <w:sz w:val="24"/>
              </w:rPr>
              <w:t>楼堂馆所控制情况</w:t>
            </w:r>
          </w:p>
          <w:p>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vAlign w:val="center"/>
          </w:tcPr>
          <w:p>
            <w:pPr>
              <w:autoSpaceDE w:val="0"/>
              <w:autoSpaceDN w:val="0"/>
              <w:spacing w:line="320" w:lineRule="exact"/>
              <w:jc w:val="center"/>
              <w:rPr>
                <w:rFonts w:eastAsia="宋体"/>
                <w:kern w:val="0"/>
                <w:sz w:val="24"/>
              </w:rPr>
            </w:pPr>
            <w:r>
              <w:rPr>
                <w:rFonts w:eastAsia="宋体"/>
                <w:kern w:val="0"/>
                <w:sz w:val="24"/>
              </w:rPr>
              <w:t>批复规模</w:t>
            </w:r>
          </w:p>
          <w:p>
            <w:pPr>
              <w:autoSpaceDE w:val="0"/>
              <w:autoSpaceDN w:val="0"/>
              <w:spacing w:line="320" w:lineRule="exact"/>
              <w:jc w:val="center"/>
              <w:rPr>
                <w:rFonts w:eastAsia="宋体"/>
                <w:kern w:val="0"/>
                <w:sz w:val="24"/>
              </w:rPr>
            </w:pPr>
            <w:r>
              <w:rPr>
                <w:rFonts w:eastAsia="宋体"/>
                <w:kern w:val="0"/>
                <w:sz w:val="24"/>
              </w:rPr>
              <w:t>（m²）</w:t>
            </w:r>
          </w:p>
        </w:tc>
        <w:tc>
          <w:tcPr>
            <w:tcW w:w="880" w:type="dxa"/>
            <w:vAlign w:val="center"/>
          </w:tcPr>
          <w:p>
            <w:pPr>
              <w:autoSpaceDE w:val="0"/>
              <w:autoSpaceDN w:val="0"/>
              <w:spacing w:line="320" w:lineRule="exact"/>
              <w:jc w:val="center"/>
              <w:rPr>
                <w:rFonts w:eastAsia="宋体"/>
                <w:kern w:val="0"/>
                <w:sz w:val="24"/>
              </w:rPr>
            </w:pPr>
            <w:r>
              <w:rPr>
                <w:rFonts w:eastAsia="宋体"/>
                <w:kern w:val="0"/>
                <w:sz w:val="24"/>
              </w:rPr>
              <w:t>实际规模（m²）</w:t>
            </w:r>
          </w:p>
        </w:tc>
        <w:tc>
          <w:tcPr>
            <w:tcW w:w="1100" w:type="dxa"/>
            <w:vAlign w:val="center"/>
          </w:tcPr>
          <w:p>
            <w:pPr>
              <w:autoSpaceDE w:val="0"/>
              <w:autoSpaceDN w:val="0"/>
              <w:spacing w:line="320" w:lineRule="exact"/>
              <w:jc w:val="center"/>
              <w:rPr>
                <w:rFonts w:eastAsia="宋体"/>
                <w:kern w:val="0"/>
                <w:sz w:val="24"/>
              </w:rPr>
            </w:pPr>
            <w:r>
              <w:rPr>
                <w:rFonts w:eastAsia="宋体"/>
                <w:kern w:val="0"/>
                <w:sz w:val="24"/>
              </w:rPr>
              <w:t>规  模</w:t>
            </w:r>
          </w:p>
          <w:p>
            <w:pPr>
              <w:autoSpaceDE w:val="0"/>
              <w:autoSpaceDN w:val="0"/>
              <w:spacing w:line="320" w:lineRule="exact"/>
              <w:jc w:val="center"/>
              <w:rPr>
                <w:rFonts w:eastAsia="宋体"/>
                <w:kern w:val="0"/>
                <w:sz w:val="24"/>
              </w:rPr>
            </w:pPr>
            <w:r>
              <w:rPr>
                <w:rFonts w:eastAsia="宋体"/>
                <w:kern w:val="0"/>
                <w:sz w:val="24"/>
              </w:rPr>
              <w:t>控制率</w:t>
            </w:r>
          </w:p>
        </w:tc>
        <w:tc>
          <w:tcPr>
            <w:tcW w:w="1100" w:type="dxa"/>
            <w:vAlign w:val="center"/>
          </w:tcPr>
          <w:p>
            <w:pPr>
              <w:autoSpaceDE w:val="0"/>
              <w:autoSpaceDN w:val="0"/>
              <w:spacing w:line="320" w:lineRule="exact"/>
              <w:jc w:val="center"/>
              <w:rPr>
                <w:rFonts w:eastAsia="宋体"/>
                <w:kern w:val="0"/>
                <w:sz w:val="24"/>
              </w:rPr>
            </w:pPr>
            <w:r>
              <w:rPr>
                <w:rFonts w:eastAsia="宋体"/>
                <w:kern w:val="0"/>
                <w:sz w:val="24"/>
              </w:rPr>
              <w:t>预算投资（万元）</w:t>
            </w:r>
          </w:p>
        </w:tc>
        <w:tc>
          <w:tcPr>
            <w:tcW w:w="1060" w:type="dxa"/>
            <w:vAlign w:val="center"/>
          </w:tcPr>
          <w:p>
            <w:pPr>
              <w:autoSpaceDE w:val="0"/>
              <w:autoSpaceDN w:val="0"/>
              <w:spacing w:line="320" w:lineRule="exact"/>
              <w:jc w:val="center"/>
              <w:rPr>
                <w:rFonts w:eastAsia="宋体"/>
                <w:kern w:val="0"/>
                <w:sz w:val="24"/>
              </w:rPr>
            </w:pPr>
            <w:r>
              <w:rPr>
                <w:rFonts w:eastAsia="宋体"/>
                <w:kern w:val="0"/>
                <w:sz w:val="24"/>
              </w:rPr>
              <w:t>实际投资</w:t>
            </w:r>
          </w:p>
          <w:p>
            <w:pPr>
              <w:autoSpaceDE w:val="0"/>
              <w:autoSpaceDN w:val="0"/>
              <w:spacing w:line="320" w:lineRule="exact"/>
              <w:jc w:val="center"/>
              <w:rPr>
                <w:rFonts w:eastAsia="宋体"/>
                <w:kern w:val="0"/>
                <w:sz w:val="24"/>
              </w:rPr>
            </w:pPr>
            <w:r>
              <w:rPr>
                <w:rFonts w:eastAsia="宋体"/>
                <w:kern w:val="0"/>
                <w:sz w:val="24"/>
              </w:rPr>
              <w:t>（万元）</w:t>
            </w:r>
          </w:p>
        </w:tc>
        <w:tc>
          <w:tcPr>
            <w:tcW w:w="1283" w:type="dxa"/>
            <w:vAlign w:val="center"/>
          </w:tcPr>
          <w:p>
            <w:pPr>
              <w:autoSpaceDE w:val="0"/>
              <w:autoSpaceDN w:val="0"/>
              <w:spacing w:line="320" w:lineRule="exact"/>
              <w:jc w:val="center"/>
              <w:rPr>
                <w:rFonts w:eastAsia="宋体"/>
                <w:kern w:val="0"/>
                <w:sz w:val="24"/>
              </w:rPr>
            </w:pPr>
            <w:r>
              <w:rPr>
                <w:rFonts w:eastAsia="宋体"/>
                <w:kern w:val="0"/>
                <w:sz w:val="24"/>
              </w:rPr>
              <w:t>投资概算</w:t>
            </w:r>
          </w:p>
          <w:p>
            <w:pPr>
              <w:autoSpaceDE w:val="0"/>
              <w:autoSpaceDN w:val="0"/>
              <w:spacing w:line="320" w:lineRule="exact"/>
              <w:jc w:val="center"/>
              <w:rPr>
                <w:rFonts w:eastAsia="宋体"/>
                <w:kern w:val="0"/>
                <w:sz w:val="24"/>
              </w:rPr>
            </w:pPr>
            <w:r>
              <w:rPr>
                <w:rFonts w:eastAsia="宋体"/>
                <w:kern w:val="0"/>
                <w:sz w:val="24"/>
              </w:rPr>
              <w:t>控制率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tcPr>
          <w:p/>
        </w:tc>
        <w:tc>
          <w:tcPr>
            <w:tcW w:w="1180" w:type="dxa"/>
          </w:tcPr>
          <w:p>
            <w:pPr>
              <w:autoSpaceDE w:val="0"/>
              <w:autoSpaceDN w:val="0"/>
              <w:spacing w:line="360" w:lineRule="exact"/>
              <w:ind w:firstLine="720" w:firstLineChars="300"/>
              <w:rPr>
                <w:rFonts w:eastAsia="宋体"/>
                <w:kern w:val="0"/>
                <w:sz w:val="24"/>
              </w:rPr>
            </w:pPr>
          </w:p>
        </w:tc>
        <w:tc>
          <w:tcPr>
            <w:tcW w:w="880" w:type="dxa"/>
          </w:tcPr>
          <w:p>
            <w:pPr>
              <w:autoSpaceDE w:val="0"/>
              <w:autoSpaceDN w:val="0"/>
              <w:spacing w:line="360" w:lineRule="exact"/>
              <w:ind w:firstLine="720" w:firstLineChars="300"/>
              <w:rPr>
                <w:rFonts w:eastAsia="宋体"/>
                <w:kern w:val="0"/>
                <w:sz w:val="24"/>
              </w:rPr>
            </w:pPr>
          </w:p>
        </w:tc>
        <w:tc>
          <w:tcPr>
            <w:tcW w:w="1100" w:type="dxa"/>
          </w:tcPr>
          <w:p>
            <w:pPr>
              <w:autoSpaceDE w:val="0"/>
              <w:autoSpaceDN w:val="0"/>
              <w:spacing w:line="360" w:lineRule="exact"/>
              <w:ind w:firstLine="720" w:firstLineChars="300"/>
              <w:rPr>
                <w:rFonts w:eastAsia="宋体"/>
                <w:kern w:val="0"/>
                <w:sz w:val="24"/>
              </w:rPr>
            </w:pPr>
          </w:p>
        </w:tc>
        <w:tc>
          <w:tcPr>
            <w:tcW w:w="1100" w:type="dxa"/>
          </w:tcPr>
          <w:p>
            <w:pPr>
              <w:autoSpaceDE w:val="0"/>
              <w:autoSpaceDN w:val="0"/>
              <w:spacing w:line="360" w:lineRule="exact"/>
              <w:ind w:firstLine="720" w:firstLineChars="300"/>
              <w:rPr>
                <w:rFonts w:eastAsia="宋体"/>
                <w:kern w:val="0"/>
                <w:sz w:val="24"/>
              </w:rPr>
            </w:pPr>
          </w:p>
        </w:tc>
        <w:tc>
          <w:tcPr>
            <w:tcW w:w="1060" w:type="dxa"/>
          </w:tcPr>
          <w:p>
            <w:pPr>
              <w:autoSpaceDE w:val="0"/>
              <w:autoSpaceDN w:val="0"/>
              <w:spacing w:line="360" w:lineRule="exact"/>
              <w:ind w:firstLine="720" w:firstLineChars="300"/>
              <w:rPr>
                <w:rFonts w:eastAsia="宋体"/>
                <w:kern w:val="0"/>
                <w:sz w:val="24"/>
              </w:rPr>
            </w:pPr>
          </w:p>
        </w:tc>
        <w:tc>
          <w:tcPr>
            <w:tcW w:w="1283" w:type="dxa"/>
          </w:tcPr>
          <w:p>
            <w:pPr>
              <w:autoSpaceDE w:val="0"/>
              <w:autoSpaceDN w:val="0"/>
              <w:spacing w:line="360" w:lineRule="exact"/>
              <w:ind w:firstLine="720" w:firstLineChars="300"/>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28" w:hRule="atLeast"/>
        </w:trPr>
        <w:tc>
          <w:tcPr>
            <w:tcW w:w="3624" w:type="dxa"/>
            <w:vAlign w:val="center"/>
          </w:tcPr>
          <w:p>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tcPr>
          <w:p>
            <w:pPr>
              <w:autoSpaceDE w:val="0"/>
              <w:autoSpaceDN w:val="0"/>
              <w:spacing w:line="360" w:lineRule="exact"/>
              <w:rPr>
                <w:rFonts w:eastAsia="宋体"/>
                <w:kern w:val="0"/>
                <w:sz w:val="21"/>
                <w:szCs w:val="21"/>
              </w:rPr>
            </w:pPr>
            <w:r>
              <w:rPr>
                <w:rFonts w:hint="eastAsia" w:eastAsia="宋体"/>
                <w:kern w:val="0"/>
                <w:sz w:val="21"/>
                <w:szCs w:val="21"/>
              </w:rPr>
              <w:t>1、加大宣传教育，提高节约意识；2、制定相关制度，强化节约意识；3、开展节能减排工作；4、加强对资源的管理利用，实现资源的优化配置。</w:t>
            </w:r>
          </w:p>
        </w:tc>
      </w:tr>
    </w:tbl>
    <w:p>
      <w:pPr>
        <w:autoSpaceDE w:val="0"/>
        <w:autoSpaceDN w:val="0"/>
        <w:spacing w:before="20" w:line="340" w:lineRule="atLeast"/>
        <w:rPr>
          <w:rFonts w:eastAsia="宋体"/>
          <w:kern w:val="0"/>
          <w:sz w:val="21"/>
          <w:szCs w:val="21"/>
        </w:rPr>
      </w:pPr>
      <w:r>
        <w:rPr>
          <w:rFonts w:eastAsia="宋体"/>
          <w:kern w:val="0"/>
          <w:sz w:val="21"/>
          <w:szCs w:val="21"/>
        </w:rPr>
        <w:t>说明： “项目支出”需要填报基本支出以外的所有项目支出情况，“公用经费”填报基本支出中的一般商品和服务支出。</w:t>
      </w:r>
    </w:p>
    <w:p>
      <w:pPr>
        <w:autoSpaceDE w:val="0"/>
        <w:autoSpaceDN w:val="0"/>
        <w:spacing w:before="20" w:line="340" w:lineRule="atLeast"/>
        <w:rPr>
          <w:rFonts w:eastAsia="宋体"/>
          <w:kern w:val="0"/>
          <w:sz w:val="21"/>
          <w:szCs w:val="21"/>
        </w:rPr>
        <w:sectPr>
          <w:pgSz w:w="11907" w:h="16840"/>
          <w:pgMar w:top="1814" w:right="1361" w:bottom="1644" w:left="1588" w:header="851" w:footer="1304" w:gutter="0"/>
          <w:cols w:space="720" w:num="1"/>
          <w:docGrid w:linePitch="534" w:charSpace="701"/>
        </w:sectPr>
      </w:pPr>
      <w:r>
        <w:rPr>
          <w:rFonts w:eastAsia="宋体"/>
          <w:kern w:val="0"/>
          <w:sz w:val="21"/>
          <w:szCs w:val="21"/>
        </w:rPr>
        <w:t>填表人：夏建霞 填报日期：2024.04.28  联系电话：13873738012  单位负责人签字：戴立成</w:t>
      </w:r>
    </w:p>
    <w:p>
      <w:pPr>
        <w:spacing w:line="560" w:lineRule="exact"/>
        <w:jc w:val="center"/>
        <w:rPr>
          <w:rFonts w:eastAsia="方正小标宋简体"/>
          <w:bCs/>
          <w:kern w:val="0"/>
          <w:sz w:val="44"/>
          <w:szCs w:val="44"/>
        </w:rPr>
      </w:pPr>
      <w:r>
        <w:rPr>
          <w:rFonts w:eastAsia="方正小标宋简体"/>
          <w:bCs/>
          <w:kern w:val="0"/>
          <w:sz w:val="44"/>
          <w:szCs w:val="44"/>
        </w:rPr>
        <w:t>桃江县2023年度部门整体支出绩效自评表</w:t>
      </w:r>
    </w:p>
    <w:tbl>
      <w:tblPr>
        <w:tblStyle w:val="7"/>
        <w:tblpPr w:leftFromText="180" w:rightFromText="180" w:vertAnchor="text" w:horzAnchor="page" w:tblpXSpec="center" w:tblpY="111"/>
        <w:tblOverlap w:val="never"/>
        <w:tblW w:w="102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980"/>
        <w:gridCol w:w="1080"/>
        <w:gridCol w:w="1216"/>
        <w:gridCol w:w="1423"/>
        <w:gridCol w:w="1304"/>
        <w:gridCol w:w="1260"/>
        <w:gridCol w:w="720"/>
        <w:gridCol w:w="860"/>
        <w:gridCol w:w="14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3276" w:type="dxa"/>
            <w:gridSpan w:val="3"/>
            <w:vAlign w:val="center"/>
          </w:tcPr>
          <w:p>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7007" w:type="dxa"/>
            <w:gridSpan w:val="6"/>
            <w:vAlign w:val="center"/>
          </w:tcPr>
          <w:p>
            <w:pPr>
              <w:autoSpaceDE w:val="0"/>
              <w:autoSpaceDN w:val="0"/>
              <w:spacing w:line="300" w:lineRule="exact"/>
              <w:jc w:val="center"/>
              <w:rPr>
                <w:rFonts w:eastAsia="宋体"/>
                <w:kern w:val="0"/>
                <w:sz w:val="21"/>
                <w:szCs w:val="21"/>
              </w:rPr>
            </w:pPr>
            <w:r>
              <w:rPr>
                <w:rFonts w:hint="eastAsia" w:eastAsia="宋体"/>
                <w:kern w:val="0"/>
                <w:sz w:val="21"/>
                <w:szCs w:val="21"/>
              </w:rPr>
              <w:t>桃江县老干部休养活动中心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年度预</w:t>
            </w:r>
          </w:p>
          <w:p>
            <w:pPr>
              <w:autoSpaceDE w:val="0"/>
              <w:autoSpaceDN w:val="0"/>
              <w:spacing w:line="300" w:lineRule="exact"/>
              <w:jc w:val="center"/>
              <w:rPr>
                <w:rFonts w:eastAsia="宋体"/>
                <w:kern w:val="0"/>
                <w:sz w:val="21"/>
                <w:szCs w:val="21"/>
              </w:rPr>
            </w:pPr>
            <w:r>
              <w:rPr>
                <w:rFonts w:eastAsia="宋体"/>
                <w:kern w:val="0"/>
                <w:sz w:val="21"/>
                <w:szCs w:val="21"/>
              </w:rPr>
              <w:t>算申请</w:t>
            </w:r>
          </w:p>
          <w:p>
            <w:pPr>
              <w:autoSpaceDE w:val="0"/>
              <w:autoSpaceDN w:val="0"/>
              <w:spacing w:line="300" w:lineRule="exact"/>
              <w:jc w:val="center"/>
              <w:rPr>
                <w:rFonts w:eastAsia="宋体"/>
                <w:kern w:val="0"/>
                <w:sz w:val="21"/>
                <w:szCs w:val="21"/>
              </w:rPr>
            </w:pPr>
            <w:r>
              <w:rPr>
                <w:rFonts w:eastAsia="宋体"/>
                <w:kern w:val="0"/>
                <w:sz w:val="21"/>
                <w:szCs w:val="21"/>
              </w:rPr>
              <w:t>（万元）</w:t>
            </w:r>
          </w:p>
        </w:tc>
        <w:tc>
          <w:tcPr>
            <w:tcW w:w="2296" w:type="dxa"/>
            <w:gridSpan w:val="2"/>
          </w:tcPr>
          <w:p>
            <w:pPr>
              <w:autoSpaceDE w:val="0"/>
              <w:autoSpaceDN w:val="0"/>
              <w:spacing w:line="300" w:lineRule="exact"/>
              <w:jc w:val="center"/>
              <w:rPr>
                <w:rFonts w:eastAsia="宋体"/>
                <w:kern w:val="0"/>
                <w:sz w:val="21"/>
                <w:szCs w:val="21"/>
              </w:rPr>
            </w:pP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tcPr>
          <w:p>
            <w:pPr>
              <w:autoSpaceDE w:val="0"/>
              <w:autoSpaceDN w:val="0"/>
              <w:spacing w:line="300" w:lineRule="exact"/>
              <w:jc w:val="center"/>
              <w:rPr>
                <w:rFonts w:eastAsia="宋体"/>
                <w:kern w:val="0"/>
                <w:sz w:val="21"/>
                <w:szCs w:val="21"/>
              </w:rPr>
            </w:pPr>
            <w:r>
              <w:rPr>
                <w:rFonts w:eastAsia="宋体"/>
                <w:kern w:val="0"/>
                <w:sz w:val="21"/>
                <w:szCs w:val="21"/>
              </w:rPr>
              <w:t>自评得分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2296" w:type="dxa"/>
            <w:gridSpan w:val="2"/>
          </w:tcPr>
          <w:p>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1423" w:type="dxa"/>
          </w:tcPr>
          <w:p>
            <w:pPr>
              <w:autoSpaceDE w:val="0"/>
              <w:autoSpaceDN w:val="0"/>
              <w:spacing w:line="300" w:lineRule="exact"/>
              <w:jc w:val="center"/>
              <w:rPr>
                <w:rFonts w:eastAsia="宋体"/>
                <w:kern w:val="0"/>
                <w:sz w:val="21"/>
                <w:szCs w:val="21"/>
              </w:rPr>
            </w:pPr>
            <w:r>
              <w:rPr>
                <w:rFonts w:hint="eastAsia" w:eastAsia="宋体"/>
                <w:kern w:val="0"/>
                <w:sz w:val="21"/>
                <w:szCs w:val="21"/>
              </w:rPr>
              <w:t>294.78</w:t>
            </w:r>
          </w:p>
        </w:tc>
        <w:tc>
          <w:tcPr>
            <w:tcW w:w="1304" w:type="dxa"/>
          </w:tcPr>
          <w:p>
            <w:pPr>
              <w:autoSpaceDE w:val="0"/>
              <w:autoSpaceDN w:val="0"/>
              <w:spacing w:line="300" w:lineRule="exact"/>
              <w:jc w:val="center"/>
              <w:rPr>
                <w:rFonts w:eastAsia="宋体"/>
                <w:kern w:val="0"/>
                <w:sz w:val="21"/>
                <w:szCs w:val="21"/>
              </w:rPr>
            </w:pPr>
            <w:r>
              <w:rPr>
                <w:rFonts w:hint="eastAsia" w:eastAsia="宋体"/>
                <w:kern w:val="0"/>
                <w:sz w:val="21"/>
                <w:szCs w:val="21"/>
              </w:rPr>
              <w:t>293.31</w:t>
            </w:r>
          </w:p>
        </w:tc>
        <w:tc>
          <w:tcPr>
            <w:tcW w:w="1260" w:type="dxa"/>
          </w:tcPr>
          <w:p>
            <w:pPr>
              <w:autoSpaceDE w:val="0"/>
              <w:autoSpaceDN w:val="0"/>
              <w:spacing w:line="300" w:lineRule="exact"/>
              <w:jc w:val="center"/>
              <w:rPr>
                <w:rFonts w:eastAsia="宋体"/>
                <w:kern w:val="0"/>
                <w:sz w:val="21"/>
                <w:szCs w:val="21"/>
              </w:rPr>
            </w:pPr>
            <w:r>
              <w:rPr>
                <w:rFonts w:hint="eastAsia" w:eastAsia="宋体"/>
                <w:kern w:val="0"/>
                <w:sz w:val="21"/>
                <w:szCs w:val="21"/>
              </w:rPr>
              <w:t>293.31</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hint="eastAsia" w:eastAsia="宋体"/>
                <w:kern w:val="0"/>
                <w:sz w:val="21"/>
                <w:szCs w:val="21"/>
              </w:rPr>
              <w:t>100%</w:t>
            </w:r>
          </w:p>
        </w:tc>
        <w:tc>
          <w:tcPr>
            <w:tcW w:w="144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rPr>
                <w:rFonts w:eastAsia="宋体"/>
                <w:kern w:val="0"/>
                <w:sz w:val="21"/>
                <w:szCs w:val="21"/>
              </w:rPr>
            </w:pPr>
            <w:r>
              <w:rPr>
                <w:rFonts w:eastAsia="宋体"/>
                <w:kern w:val="0"/>
                <w:sz w:val="21"/>
                <w:szCs w:val="21"/>
              </w:rPr>
              <w:t>按收入性质分：</w:t>
            </w:r>
            <w:r>
              <w:rPr>
                <w:rFonts w:hint="eastAsia" w:eastAsia="宋体"/>
                <w:kern w:val="0"/>
                <w:sz w:val="21"/>
                <w:szCs w:val="21"/>
              </w:rPr>
              <w:t>293.31</w:t>
            </w:r>
          </w:p>
        </w:tc>
        <w:tc>
          <w:tcPr>
            <w:tcW w:w="4280" w:type="dxa"/>
            <w:gridSpan w:val="4"/>
          </w:tcPr>
          <w:p>
            <w:pPr>
              <w:autoSpaceDE w:val="0"/>
              <w:autoSpaceDN w:val="0"/>
              <w:spacing w:line="300" w:lineRule="exact"/>
              <w:rPr>
                <w:rFonts w:eastAsia="宋体"/>
                <w:kern w:val="0"/>
                <w:sz w:val="21"/>
                <w:szCs w:val="21"/>
              </w:rPr>
            </w:pPr>
            <w:r>
              <w:rPr>
                <w:rFonts w:eastAsia="宋体"/>
                <w:kern w:val="0"/>
                <w:sz w:val="21"/>
                <w:szCs w:val="21"/>
              </w:rPr>
              <w:t>按支出性质分：</w:t>
            </w:r>
            <w:r>
              <w:rPr>
                <w:rFonts w:hint="eastAsia" w:eastAsia="宋体"/>
                <w:kern w:val="0"/>
                <w:sz w:val="21"/>
                <w:szCs w:val="21"/>
              </w:rPr>
              <w:t>293.31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rPr>
                <w:rFonts w:eastAsia="宋体"/>
                <w:kern w:val="0"/>
                <w:sz w:val="21"/>
                <w:szCs w:val="21"/>
              </w:rPr>
            </w:pPr>
            <w:r>
              <w:rPr>
                <w:rFonts w:eastAsia="宋体"/>
                <w:kern w:val="0"/>
                <w:sz w:val="21"/>
                <w:szCs w:val="21"/>
              </w:rPr>
              <w:t>其中：一般公共预算：</w:t>
            </w:r>
            <w:r>
              <w:rPr>
                <w:rFonts w:hint="eastAsia" w:eastAsia="宋体"/>
                <w:kern w:val="0"/>
                <w:sz w:val="21"/>
                <w:szCs w:val="21"/>
              </w:rPr>
              <w:t>293.31</w:t>
            </w:r>
          </w:p>
        </w:tc>
        <w:tc>
          <w:tcPr>
            <w:tcW w:w="4280" w:type="dxa"/>
            <w:gridSpan w:val="4"/>
          </w:tcPr>
          <w:p>
            <w:pPr>
              <w:autoSpaceDE w:val="0"/>
              <w:autoSpaceDN w:val="0"/>
              <w:spacing w:line="300" w:lineRule="exact"/>
              <w:rPr>
                <w:rFonts w:eastAsia="宋体"/>
                <w:kern w:val="0"/>
                <w:sz w:val="21"/>
                <w:szCs w:val="21"/>
              </w:rPr>
            </w:pPr>
            <w:r>
              <w:rPr>
                <w:rFonts w:eastAsia="宋体"/>
                <w:kern w:val="0"/>
                <w:sz w:val="21"/>
                <w:szCs w:val="21"/>
              </w:rPr>
              <w:t>其中：基本支出：</w:t>
            </w:r>
            <w:r>
              <w:rPr>
                <w:rFonts w:hint="eastAsia" w:eastAsia="宋体"/>
                <w:kern w:val="0"/>
                <w:sz w:val="21"/>
                <w:szCs w:val="21"/>
              </w:rPr>
              <w:t>163.98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政府性基金拨款：</w:t>
            </w:r>
          </w:p>
        </w:tc>
        <w:tc>
          <w:tcPr>
            <w:tcW w:w="4280"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项目支出：</w:t>
            </w:r>
            <w:r>
              <w:rPr>
                <w:rFonts w:hint="eastAsia" w:eastAsia="宋体"/>
                <w:kern w:val="0"/>
                <w:sz w:val="21"/>
                <w:szCs w:val="21"/>
              </w:rPr>
              <w:t>129.33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纳入专户管理的非税收入拨款：</w:t>
            </w:r>
          </w:p>
        </w:tc>
        <w:tc>
          <w:tcPr>
            <w:tcW w:w="4280" w:type="dxa"/>
            <w:gridSpan w:val="4"/>
          </w:tcPr>
          <w:p>
            <w:pPr>
              <w:autoSpaceDE w:val="0"/>
              <w:autoSpaceDN w:val="0"/>
              <w:spacing w:line="300" w:lineRule="exac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280" w:type="dxa"/>
            <w:gridSpan w:val="4"/>
          </w:tcPr>
          <w:p>
            <w:pPr>
              <w:autoSpaceDE w:val="0"/>
              <w:autoSpaceDN w:val="0"/>
              <w:spacing w:line="300" w:lineRule="exact"/>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restart"/>
          </w:tcPr>
          <w:p>
            <w:pPr>
              <w:autoSpaceDE w:val="0"/>
              <w:autoSpaceDN w:val="0"/>
              <w:spacing w:line="300" w:lineRule="exact"/>
              <w:jc w:val="center"/>
              <w:rPr>
                <w:rFonts w:eastAsia="宋体"/>
                <w:kern w:val="0"/>
                <w:sz w:val="21"/>
                <w:szCs w:val="21"/>
              </w:rPr>
            </w:pPr>
            <w:r>
              <w:rPr>
                <w:rFonts w:eastAsia="宋体"/>
                <w:kern w:val="0"/>
                <w:sz w:val="21"/>
                <w:szCs w:val="21"/>
              </w:rPr>
              <w:t>年度总体</w:t>
            </w:r>
          </w:p>
          <w:p>
            <w:pPr>
              <w:autoSpaceDE w:val="0"/>
              <w:autoSpaceDN w:val="0"/>
              <w:spacing w:line="300" w:lineRule="exact"/>
              <w:jc w:val="center"/>
              <w:rPr>
                <w:rFonts w:eastAsia="宋体"/>
                <w:kern w:val="0"/>
                <w:sz w:val="21"/>
                <w:szCs w:val="21"/>
              </w:rPr>
            </w:pPr>
            <w:r>
              <w:rPr>
                <w:rFonts w:eastAsia="宋体"/>
                <w:kern w:val="0"/>
                <w:sz w:val="21"/>
                <w:szCs w:val="21"/>
              </w:rPr>
              <w:t>目标</w:t>
            </w:r>
          </w:p>
        </w:tc>
        <w:tc>
          <w:tcPr>
            <w:tcW w:w="5023" w:type="dxa"/>
            <w:gridSpan w:val="4"/>
          </w:tcPr>
          <w:p>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280" w:type="dxa"/>
            <w:gridSpan w:val="4"/>
          </w:tcPr>
          <w:p>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980" w:type="dxa"/>
            <w:vMerge w:val="continue"/>
          </w:tcPr>
          <w:p/>
        </w:tc>
        <w:tc>
          <w:tcPr>
            <w:tcW w:w="5023" w:type="dxa"/>
            <w:gridSpan w:val="4"/>
          </w:tcPr>
          <w:p>
            <w:pPr>
              <w:autoSpaceDE w:val="0"/>
              <w:autoSpaceDN w:val="0"/>
              <w:spacing w:line="300" w:lineRule="exact"/>
              <w:jc w:val="center"/>
              <w:rPr>
                <w:rFonts w:eastAsia="宋体"/>
                <w:kern w:val="0"/>
                <w:sz w:val="21"/>
                <w:szCs w:val="21"/>
              </w:rPr>
            </w:pPr>
            <w:r>
              <w:rPr>
                <w:rFonts w:eastAsia="宋体"/>
                <w:kern w:val="0"/>
                <w:sz w:val="21"/>
                <w:szCs w:val="21"/>
              </w:rPr>
              <w:t>1、按时足额发放离休人员及遗孀生活补贴；2、组织老干部活动；3、提升老干部大学办学水平，争创省级示范老干部大学；4、及时拨付涉老社团各项经费。</w:t>
            </w:r>
          </w:p>
        </w:tc>
        <w:tc>
          <w:tcPr>
            <w:tcW w:w="4280" w:type="dxa"/>
            <w:gridSpan w:val="4"/>
          </w:tcPr>
          <w:p>
            <w:pPr>
              <w:autoSpaceDE w:val="0"/>
              <w:autoSpaceDN w:val="0"/>
              <w:spacing w:line="300" w:lineRule="exact"/>
              <w:jc w:val="center"/>
              <w:rPr>
                <w:rFonts w:eastAsia="宋体"/>
                <w:kern w:val="0"/>
                <w:sz w:val="21"/>
                <w:szCs w:val="21"/>
              </w:rPr>
            </w:pPr>
            <w:r>
              <w:rPr>
                <w:rFonts w:eastAsia="宋体"/>
                <w:kern w:val="0"/>
                <w:sz w:val="21"/>
                <w:szCs w:val="21"/>
              </w:rPr>
              <w:t>1、每月按时足额发放离休人员及遗孀生活补贴；2、全年组织老干部活动7次；3、老干部大学办学水平有所提升，省级示范老干部大学创建成功；4、全额拨付涉老社团各项经费。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9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绩</w:t>
            </w:r>
          </w:p>
          <w:p>
            <w:pPr>
              <w:autoSpaceDE w:val="0"/>
              <w:autoSpaceDN w:val="0"/>
              <w:spacing w:line="300" w:lineRule="exact"/>
              <w:jc w:val="center"/>
              <w:rPr>
                <w:rFonts w:eastAsia="宋体"/>
                <w:kern w:val="0"/>
                <w:sz w:val="21"/>
                <w:szCs w:val="21"/>
              </w:rPr>
            </w:pPr>
            <w:r>
              <w:rPr>
                <w:rFonts w:eastAsia="宋体"/>
                <w:kern w:val="0"/>
                <w:sz w:val="21"/>
                <w:szCs w:val="21"/>
              </w:rPr>
              <w:t>效</w:t>
            </w:r>
          </w:p>
          <w:p>
            <w:pPr>
              <w:autoSpaceDE w:val="0"/>
              <w:autoSpaceDN w:val="0"/>
              <w:spacing w:line="300" w:lineRule="exact"/>
              <w:jc w:val="center"/>
              <w:rPr>
                <w:rFonts w:eastAsia="宋体"/>
                <w:kern w:val="0"/>
                <w:sz w:val="21"/>
                <w:szCs w:val="21"/>
              </w:rPr>
            </w:pPr>
            <w:r>
              <w:rPr>
                <w:rFonts w:eastAsia="宋体"/>
                <w:kern w:val="0"/>
                <w:sz w:val="21"/>
                <w:szCs w:val="21"/>
              </w:rPr>
              <w:t>指</w:t>
            </w:r>
          </w:p>
          <w:p>
            <w:pPr>
              <w:autoSpaceDE w:val="0"/>
              <w:autoSpaceDN w:val="0"/>
              <w:spacing w:line="300" w:lineRule="exact"/>
              <w:jc w:val="center"/>
              <w:rPr>
                <w:rFonts w:eastAsia="宋体"/>
                <w:kern w:val="0"/>
                <w:sz w:val="21"/>
                <w:szCs w:val="21"/>
              </w:rPr>
            </w:pPr>
            <w:r>
              <w:rPr>
                <w:rFonts w:eastAsia="宋体"/>
                <w:kern w:val="0"/>
                <w:sz w:val="21"/>
                <w:szCs w:val="21"/>
              </w:rPr>
              <w:t>标</w:t>
            </w:r>
          </w:p>
        </w:tc>
        <w:tc>
          <w:tcPr>
            <w:tcW w:w="1080" w:type="dxa"/>
          </w:tcPr>
          <w:p>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216" w:type="dxa"/>
          </w:tcPr>
          <w:p>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tcPr>
          <w:p>
            <w:pPr>
              <w:autoSpaceDE w:val="0"/>
              <w:autoSpaceDN w:val="0"/>
              <w:spacing w:line="260" w:lineRule="exact"/>
              <w:jc w:val="center"/>
              <w:rPr>
                <w:rFonts w:eastAsia="宋体"/>
                <w:kern w:val="0"/>
                <w:sz w:val="21"/>
                <w:szCs w:val="21"/>
              </w:rPr>
            </w:pPr>
            <w:r>
              <w:rPr>
                <w:rFonts w:eastAsia="宋体"/>
                <w:kern w:val="0"/>
                <w:sz w:val="21"/>
                <w:szCs w:val="21"/>
              </w:rPr>
              <w:t>偏差原因分析</w:t>
            </w:r>
          </w:p>
          <w:p>
            <w:pPr>
              <w:autoSpaceDE w:val="0"/>
              <w:autoSpaceDN w:val="0"/>
              <w:spacing w:line="260" w:lineRule="exact"/>
              <w:jc w:val="center"/>
              <w:rPr>
                <w:rFonts w:eastAsia="宋体"/>
                <w:kern w:val="0"/>
                <w:sz w:val="21"/>
                <w:szCs w:val="21"/>
              </w:rPr>
            </w:pPr>
            <w:r>
              <w:rPr>
                <w:rFonts w:eastAsia="宋体"/>
                <w:kern w:val="0"/>
                <w:sz w:val="21"/>
                <w:szCs w:val="21"/>
              </w:rPr>
              <w:t>及改进措施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9" w:hRule="exact"/>
        </w:trPr>
        <w:tc>
          <w:tcPr>
            <w:tcW w:w="980" w:type="dxa"/>
            <w:vMerge w:val="continue"/>
          </w:tcPr>
          <w:p/>
        </w:tc>
        <w:tc>
          <w:tcPr>
            <w:tcW w:w="10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产出指标</w:t>
            </w:r>
          </w:p>
          <w:p>
            <w:pPr>
              <w:autoSpaceDE w:val="0"/>
              <w:autoSpaceDN w:val="0"/>
              <w:spacing w:line="300" w:lineRule="exact"/>
              <w:jc w:val="center"/>
              <w:rPr>
                <w:rFonts w:eastAsia="宋体"/>
                <w:kern w:val="0"/>
                <w:sz w:val="21"/>
                <w:szCs w:val="21"/>
              </w:rPr>
            </w:pPr>
            <w:r>
              <w:rPr>
                <w:rFonts w:eastAsia="宋体"/>
                <w:kern w:val="0"/>
                <w:sz w:val="21"/>
                <w:szCs w:val="21"/>
              </w:rPr>
              <w:t>（50分）</w:t>
            </w: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数量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招收学员数量</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800人次</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998人次</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涉老社团资金拨付</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全额拨付</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全额拨付</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服务老干部活动</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5次以上</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7次</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Align w:val="center"/>
          </w:tcPr>
          <w:p>
            <w:pPr>
              <w:autoSpaceDE w:val="0"/>
              <w:autoSpaceDN w:val="0"/>
              <w:spacing w:line="300" w:lineRule="exact"/>
              <w:jc w:val="center"/>
              <w:rPr>
                <w:rFonts w:eastAsia="宋体"/>
                <w:kern w:val="0"/>
                <w:sz w:val="21"/>
                <w:szCs w:val="21"/>
              </w:rPr>
            </w:pP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离休人员及遗孀生活补贴发放</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全额发放</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全额发放</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55"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质量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Pr>
          <w:p>
            <w:pPr>
              <w:autoSpaceDE w:val="0"/>
              <w:autoSpaceDN w:val="0"/>
              <w:spacing w:line="300" w:lineRule="exact"/>
              <w:jc w:val="center"/>
              <w:rPr>
                <w:rFonts w:eastAsia="宋体"/>
                <w:kern w:val="0"/>
                <w:sz w:val="21"/>
                <w:szCs w:val="21"/>
              </w:rPr>
            </w:pPr>
            <w:r>
              <w:rPr>
                <w:rFonts w:hint="eastAsia" w:eastAsia="宋体"/>
                <w:kern w:val="0"/>
                <w:sz w:val="21"/>
                <w:szCs w:val="21"/>
              </w:rPr>
              <w:t>创省级示范老干部大学</w:t>
            </w:r>
          </w:p>
        </w:tc>
        <w:tc>
          <w:tcPr>
            <w:tcW w:w="1304" w:type="dxa"/>
          </w:tcPr>
          <w:p>
            <w:pPr>
              <w:autoSpaceDE w:val="0"/>
              <w:autoSpaceDN w:val="0"/>
              <w:spacing w:line="300" w:lineRule="exact"/>
              <w:jc w:val="center"/>
              <w:rPr>
                <w:rFonts w:eastAsia="宋体"/>
                <w:kern w:val="0"/>
                <w:sz w:val="21"/>
                <w:szCs w:val="21"/>
              </w:rPr>
            </w:pPr>
            <w:r>
              <w:rPr>
                <w:rFonts w:hint="eastAsia" w:eastAsia="宋体"/>
                <w:kern w:val="0"/>
                <w:sz w:val="21"/>
                <w:szCs w:val="21"/>
              </w:rPr>
              <w:t>创建示范达标</w:t>
            </w:r>
          </w:p>
        </w:tc>
        <w:tc>
          <w:tcPr>
            <w:tcW w:w="1260" w:type="dxa"/>
          </w:tcPr>
          <w:p>
            <w:pPr>
              <w:autoSpaceDE w:val="0"/>
              <w:autoSpaceDN w:val="0"/>
              <w:spacing w:line="300" w:lineRule="exact"/>
              <w:jc w:val="center"/>
              <w:rPr>
                <w:rFonts w:eastAsia="宋体"/>
                <w:kern w:val="0"/>
                <w:sz w:val="21"/>
                <w:szCs w:val="21"/>
              </w:rPr>
            </w:pPr>
            <w:r>
              <w:rPr>
                <w:rFonts w:hint="eastAsia" w:eastAsia="宋体"/>
                <w:kern w:val="0"/>
                <w:sz w:val="21"/>
                <w:szCs w:val="21"/>
              </w:rPr>
              <w:t>基本达标</w:t>
            </w:r>
          </w:p>
        </w:tc>
        <w:tc>
          <w:tcPr>
            <w:tcW w:w="72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hint="eastAsia" w:eastAsia="宋体"/>
                <w:kern w:val="0"/>
                <w:sz w:val="21"/>
                <w:szCs w:val="21"/>
              </w:rPr>
              <w:t>9</w:t>
            </w:r>
          </w:p>
        </w:tc>
        <w:tc>
          <w:tcPr>
            <w:tcW w:w="1440" w:type="dxa"/>
          </w:tcPr>
          <w:p>
            <w:pPr>
              <w:autoSpaceDE w:val="0"/>
              <w:autoSpaceDN w:val="0"/>
              <w:spacing w:line="300" w:lineRule="exact"/>
              <w:jc w:val="center"/>
              <w:rPr>
                <w:rFonts w:eastAsia="宋体"/>
                <w:kern w:val="0"/>
                <w:sz w:val="21"/>
                <w:szCs w:val="21"/>
              </w:rPr>
            </w:pPr>
            <w:r>
              <w:rPr>
                <w:rFonts w:hint="eastAsia" w:eastAsia="宋体"/>
                <w:kern w:val="0"/>
                <w:sz w:val="21"/>
                <w:szCs w:val="21"/>
              </w:rPr>
              <w:t>有待整改项目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时效</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Pr>
          <w:p>
            <w:pPr>
              <w:autoSpaceDE w:val="0"/>
              <w:autoSpaceDN w:val="0"/>
              <w:spacing w:line="300" w:lineRule="exact"/>
              <w:rPr>
                <w:rFonts w:eastAsia="宋体"/>
                <w:kern w:val="0"/>
                <w:sz w:val="21"/>
                <w:szCs w:val="21"/>
              </w:rPr>
            </w:pPr>
            <w:r>
              <w:rPr>
                <w:rFonts w:eastAsia="宋体"/>
                <w:kern w:val="0"/>
                <w:sz w:val="21"/>
                <w:szCs w:val="21"/>
              </w:rPr>
              <w:t>离休人员及遗孀待遇发放</w:t>
            </w:r>
          </w:p>
        </w:tc>
        <w:tc>
          <w:tcPr>
            <w:tcW w:w="1304" w:type="dxa"/>
          </w:tcPr>
          <w:p>
            <w:pPr>
              <w:autoSpaceDE w:val="0"/>
              <w:autoSpaceDN w:val="0"/>
              <w:spacing w:line="300" w:lineRule="exact"/>
              <w:jc w:val="center"/>
              <w:rPr>
                <w:rFonts w:eastAsia="宋体"/>
                <w:kern w:val="0"/>
                <w:sz w:val="21"/>
                <w:szCs w:val="21"/>
              </w:rPr>
            </w:pPr>
            <w:r>
              <w:rPr>
                <w:rFonts w:hint="eastAsia" w:eastAsia="宋体"/>
                <w:kern w:val="0"/>
                <w:sz w:val="21"/>
                <w:szCs w:val="21"/>
              </w:rPr>
              <w:t>按</w:t>
            </w:r>
            <w:r>
              <w:rPr>
                <w:rFonts w:eastAsia="宋体"/>
                <w:kern w:val="0"/>
                <w:sz w:val="21"/>
                <w:szCs w:val="21"/>
              </w:rPr>
              <w:t>月</w:t>
            </w:r>
            <w:r>
              <w:rPr>
                <w:rFonts w:hint="eastAsia" w:eastAsia="宋体"/>
                <w:kern w:val="0"/>
                <w:sz w:val="21"/>
                <w:szCs w:val="21"/>
              </w:rPr>
              <w:t>发放</w:t>
            </w:r>
          </w:p>
        </w:tc>
        <w:tc>
          <w:tcPr>
            <w:tcW w:w="1260" w:type="dxa"/>
          </w:tcPr>
          <w:p>
            <w:pPr>
              <w:autoSpaceDE w:val="0"/>
              <w:autoSpaceDN w:val="0"/>
              <w:spacing w:line="300" w:lineRule="exact"/>
              <w:jc w:val="center"/>
              <w:rPr>
                <w:rFonts w:eastAsia="宋体"/>
                <w:kern w:val="0"/>
                <w:sz w:val="21"/>
                <w:szCs w:val="21"/>
              </w:rPr>
            </w:pPr>
            <w:r>
              <w:rPr>
                <w:rFonts w:hint="eastAsia" w:eastAsia="宋体"/>
                <w:kern w:val="0"/>
                <w:sz w:val="21"/>
                <w:szCs w:val="21"/>
              </w:rPr>
              <w:t>按</w:t>
            </w:r>
            <w:r>
              <w:rPr>
                <w:rFonts w:eastAsia="宋体"/>
                <w:kern w:val="0"/>
                <w:sz w:val="21"/>
                <w:szCs w:val="21"/>
              </w:rPr>
              <w:t>月</w:t>
            </w:r>
            <w:r>
              <w:rPr>
                <w:rFonts w:hint="eastAsia" w:eastAsia="宋体"/>
                <w:kern w:val="0"/>
                <w:sz w:val="21"/>
                <w:szCs w:val="21"/>
              </w:rPr>
              <w:t>发放</w:t>
            </w:r>
          </w:p>
        </w:tc>
        <w:tc>
          <w:tcPr>
            <w:tcW w:w="72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成本</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基本支出控制额</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tcP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项目支出控制额</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预算数以内</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restart"/>
          </w:tcPr>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效益指标</w:t>
            </w:r>
          </w:p>
          <w:p>
            <w:pPr>
              <w:autoSpaceDE w:val="0"/>
              <w:autoSpaceDN w:val="0"/>
              <w:spacing w:line="300" w:lineRule="exact"/>
              <w:jc w:val="center"/>
              <w:rPr>
                <w:rFonts w:eastAsia="宋体"/>
                <w:kern w:val="0"/>
                <w:sz w:val="21"/>
                <w:szCs w:val="21"/>
              </w:rPr>
            </w:pPr>
            <w:r>
              <w:rPr>
                <w:rFonts w:eastAsia="宋体"/>
                <w:kern w:val="0"/>
                <w:sz w:val="21"/>
                <w:szCs w:val="21"/>
              </w:rPr>
              <w:t>（30分）</w:t>
            </w: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经济效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学费收入</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25万</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28万</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社会效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Pr>
          <w:p>
            <w:pPr>
              <w:autoSpaceDE w:val="0"/>
              <w:autoSpaceDN w:val="0"/>
              <w:spacing w:line="300" w:lineRule="exact"/>
              <w:jc w:val="center"/>
              <w:rPr>
                <w:rFonts w:eastAsia="宋体"/>
                <w:kern w:val="0"/>
                <w:sz w:val="21"/>
                <w:szCs w:val="21"/>
              </w:rPr>
            </w:pPr>
            <w:r>
              <w:rPr>
                <w:rFonts w:eastAsia="宋体"/>
                <w:kern w:val="0"/>
                <w:sz w:val="21"/>
                <w:szCs w:val="21"/>
              </w:rPr>
              <w:t>老干部大</w:t>
            </w:r>
            <w:r>
              <w:rPr>
                <w:rFonts w:hint="eastAsia" w:eastAsia="宋体"/>
                <w:kern w:val="0"/>
                <w:sz w:val="21"/>
                <w:szCs w:val="21"/>
              </w:rPr>
              <w:t>学</w:t>
            </w:r>
            <w:r>
              <w:rPr>
                <w:rFonts w:eastAsia="宋体"/>
                <w:kern w:val="0"/>
                <w:sz w:val="21"/>
                <w:szCs w:val="21"/>
              </w:rPr>
              <w:t>办学水平有所提升</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提升</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有所提升</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生态效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1423" w:type="dxa"/>
          </w:tcPr>
          <w:p>
            <w:pPr>
              <w:autoSpaceDE w:val="0"/>
              <w:autoSpaceDN w:val="0"/>
              <w:spacing w:line="300" w:lineRule="exact"/>
              <w:jc w:val="center"/>
              <w:rPr>
                <w:rFonts w:eastAsia="宋体"/>
                <w:kern w:val="0"/>
                <w:sz w:val="21"/>
                <w:szCs w:val="21"/>
              </w:rPr>
            </w:pPr>
            <w:r>
              <w:rPr>
                <w:rFonts w:hint="eastAsia" w:eastAsia="宋体"/>
                <w:kern w:val="0"/>
                <w:sz w:val="21"/>
                <w:szCs w:val="21"/>
              </w:rPr>
              <w:t>节能减排，低碳环保</w:t>
            </w:r>
          </w:p>
        </w:tc>
        <w:tc>
          <w:tcPr>
            <w:tcW w:w="1304" w:type="dxa"/>
          </w:tcPr>
          <w:p>
            <w:pPr>
              <w:autoSpaceDE w:val="0"/>
              <w:autoSpaceDN w:val="0"/>
              <w:spacing w:line="300" w:lineRule="exact"/>
              <w:jc w:val="center"/>
              <w:rPr>
                <w:rFonts w:eastAsia="宋体"/>
                <w:kern w:val="0"/>
                <w:sz w:val="21"/>
                <w:szCs w:val="21"/>
              </w:rPr>
            </w:pPr>
            <w:r>
              <w:rPr>
                <w:rFonts w:eastAsia="宋体"/>
                <w:kern w:val="0"/>
                <w:sz w:val="21"/>
                <w:szCs w:val="21"/>
              </w:rPr>
              <w:t>达标</w:t>
            </w:r>
          </w:p>
        </w:tc>
        <w:tc>
          <w:tcPr>
            <w:tcW w:w="1260" w:type="dxa"/>
          </w:tcPr>
          <w:p>
            <w:pPr>
              <w:autoSpaceDE w:val="0"/>
              <w:autoSpaceDN w:val="0"/>
              <w:spacing w:line="300" w:lineRule="exact"/>
              <w:jc w:val="center"/>
              <w:rPr>
                <w:rFonts w:eastAsia="宋体"/>
                <w:kern w:val="0"/>
                <w:sz w:val="21"/>
                <w:szCs w:val="21"/>
              </w:rPr>
            </w:pPr>
            <w:r>
              <w:rPr>
                <w:rFonts w:eastAsia="宋体"/>
                <w:kern w:val="0"/>
                <w:sz w:val="21"/>
                <w:szCs w:val="21"/>
              </w:rPr>
              <w:t>达标</w:t>
            </w:r>
          </w:p>
        </w:tc>
        <w:tc>
          <w:tcPr>
            <w:tcW w:w="72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860" w:type="dxa"/>
          </w:tcPr>
          <w:p>
            <w:pPr>
              <w:autoSpaceDE w:val="0"/>
              <w:autoSpaceDN w:val="0"/>
              <w:spacing w:line="300" w:lineRule="exact"/>
              <w:jc w:val="center"/>
              <w:rPr>
                <w:rFonts w:eastAsia="宋体"/>
                <w:kern w:val="0"/>
                <w:sz w:val="21"/>
                <w:szCs w:val="21"/>
              </w:rPr>
            </w:pPr>
            <w:r>
              <w:rPr>
                <w:rFonts w:eastAsia="宋体"/>
                <w:kern w:val="0"/>
                <w:sz w:val="21"/>
                <w:szCs w:val="21"/>
              </w:rPr>
              <w:t>5</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restart"/>
            <w:vAlign w:val="center"/>
          </w:tcPr>
          <w:p>
            <w:pPr>
              <w:autoSpaceDE w:val="0"/>
              <w:autoSpaceDN w:val="0"/>
              <w:spacing w:line="300" w:lineRule="exact"/>
              <w:jc w:val="center"/>
              <w:rPr>
                <w:rFonts w:eastAsia="宋体"/>
                <w:kern w:val="0"/>
                <w:sz w:val="21"/>
                <w:szCs w:val="21"/>
              </w:rPr>
            </w:pPr>
            <w:r>
              <w:rPr>
                <w:rFonts w:eastAsia="宋体"/>
                <w:kern w:val="0"/>
                <w:sz w:val="21"/>
                <w:szCs w:val="21"/>
              </w:rPr>
              <w:t>可持续影</w:t>
            </w:r>
          </w:p>
          <w:p>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vAlign w:val="center"/>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restart"/>
          </w:tcPr>
          <w:p>
            <w:pPr>
              <w:autoSpaceDE w:val="0"/>
              <w:autoSpaceDN w:val="0"/>
              <w:spacing w:line="300" w:lineRule="exact"/>
              <w:jc w:val="center"/>
              <w:rPr>
                <w:rFonts w:eastAsia="宋体"/>
                <w:kern w:val="0"/>
                <w:sz w:val="21"/>
                <w:szCs w:val="21"/>
              </w:rPr>
            </w:pPr>
            <w:r>
              <w:rPr>
                <w:rFonts w:eastAsia="宋体"/>
                <w:kern w:val="0"/>
                <w:sz w:val="21"/>
                <w:szCs w:val="21"/>
              </w:rPr>
              <w:t>满意度</w:t>
            </w:r>
          </w:p>
          <w:p>
            <w:pPr>
              <w:autoSpaceDE w:val="0"/>
              <w:autoSpaceDN w:val="0"/>
              <w:spacing w:line="300" w:lineRule="exact"/>
              <w:jc w:val="center"/>
              <w:rPr>
                <w:rFonts w:eastAsia="宋体"/>
                <w:kern w:val="0"/>
                <w:sz w:val="21"/>
                <w:szCs w:val="21"/>
              </w:rPr>
            </w:pPr>
            <w:r>
              <w:rPr>
                <w:rFonts w:eastAsia="宋体"/>
                <w:kern w:val="0"/>
                <w:sz w:val="21"/>
                <w:szCs w:val="21"/>
              </w:rPr>
              <w:t>指标</w:t>
            </w:r>
          </w:p>
          <w:p>
            <w:pPr>
              <w:autoSpaceDE w:val="0"/>
              <w:autoSpaceDN w:val="0"/>
              <w:spacing w:line="300" w:lineRule="exact"/>
              <w:jc w:val="center"/>
              <w:rPr>
                <w:rFonts w:eastAsia="宋体"/>
                <w:kern w:val="0"/>
                <w:sz w:val="21"/>
                <w:szCs w:val="21"/>
              </w:rPr>
            </w:pPr>
            <w:r>
              <w:rPr>
                <w:rFonts w:eastAsia="宋体"/>
                <w:kern w:val="0"/>
                <w:sz w:val="21"/>
                <w:szCs w:val="21"/>
              </w:rPr>
              <w:t>（10分）</w:t>
            </w:r>
          </w:p>
        </w:tc>
        <w:tc>
          <w:tcPr>
            <w:tcW w:w="1216" w:type="dxa"/>
            <w:vMerge w:val="restart"/>
            <w:vAlign w:val="center"/>
          </w:tcPr>
          <w:p>
            <w:pPr>
              <w:autoSpaceDE w:val="0"/>
              <w:autoSpaceDN w:val="0"/>
              <w:spacing w:line="280" w:lineRule="exact"/>
              <w:jc w:val="center"/>
              <w:rPr>
                <w:rFonts w:eastAsia="宋体"/>
                <w:kern w:val="0"/>
                <w:sz w:val="21"/>
                <w:szCs w:val="21"/>
              </w:rPr>
            </w:pPr>
            <w:r>
              <w:rPr>
                <w:rFonts w:eastAsia="宋体"/>
                <w:kern w:val="0"/>
                <w:sz w:val="21"/>
                <w:szCs w:val="21"/>
              </w:rPr>
              <w:t>服务对象</w:t>
            </w:r>
          </w:p>
          <w:p>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1423" w:type="dxa"/>
          </w:tcPr>
          <w:p>
            <w:pPr>
              <w:autoSpaceDE w:val="0"/>
              <w:autoSpaceDN w:val="0"/>
              <w:spacing w:line="300" w:lineRule="exact"/>
              <w:jc w:val="center"/>
              <w:rPr>
                <w:rFonts w:eastAsia="宋体"/>
                <w:kern w:val="0"/>
                <w:sz w:val="21"/>
                <w:szCs w:val="21"/>
              </w:rPr>
            </w:pPr>
            <w:r>
              <w:rPr>
                <w:rFonts w:hint="eastAsia" w:eastAsia="宋体"/>
                <w:kern w:val="0"/>
                <w:sz w:val="21"/>
                <w:szCs w:val="21"/>
              </w:rPr>
              <w:t>老干部、党员满意度</w:t>
            </w:r>
          </w:p>
        </w:tc>
        <w:tc>
          <w:tcPr>
            <w:tcW w:w="1304" w:type="dxa"/>
          </w:tcPr>
          <w:p>
            <w:pPr>
              <w:autoSpaceDE w:val="0"/>
              <w:autoSpaceDN w:val="0"/>
              <w:spacing w:line="300" w:lineRule="exact"/>
              <w:jc w:val="center"/>
              <w:rPr>
                <w:rFonts w:eastAsia="宋体"/>
                <w:kern w:val="0"/>
                <w:sz w:val="21"/>
                <w:szCs w:val="21"/>
              </w:rPr>
            </w:pPr>
            <w:r>
              <w:rPr>
                <w:rFonts w:hint="eastAsia" w:eastAsia="宋体"/>
                <w:kern w:val="0"/>
                <w:sz w:val="21"/>
                <w:szCs w:val="21"/>
              </w:rPr>
              <w:t>90%以上</w:t>
            </w:r>
          </w:p>
        </w:tc>
        <w:tc>
          <w:tcPr>
            <w:tcW w:w="1260" w:type="dxa"/>
          </w:tcPr>
          <w:p>
            <w:pPr>
              <w:autoSpaceDE w:val="0"/>
              <w:autoSpaceDN w:val="0"/>
              <w:spacing w:line="300" w:lineRule="exact"/>
              <w:jc w:val="center"/>
              <w:rPr>
                <w:rFonts w:eastAsia="宋体"/>
                <w:kern w:val="0"/>
                <w:sz w:val="21"/>
                <w:szCs w:val="21"/>
              </w:rPr>
            </w:pPr>
            <w:r>
              <w:rPr>
                <w:rFonts w:hint="eastAsia" w:eastAsia="宋体"/>
                <w:kern w:val="0"/>
                <w:sz w:val="21"/>
                <w:szCs w:val="21"/>
              </w:rPr>
              <w:t>95%</w:t>
            </w:r>
          </w:p>
        </w:tc>
        <w:tc>
          <w:tcPr>
            <w:tcW w:w="72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860" w:type="dxa"/>
          </w:tcPr>
          <w:p>
            <w:pPr>
              <w:autoSpaceDE w:val="0"/>
              <w:autoSpaceDN w:val="0"/>
              <w:spacing w:line="300" w:lineRule="exact"/>
              <w:jc w:val="center"/>
              <w:rPr>
                <w:rFonts w:eastAsia="宋体"/>
                <w:kern w:val="0"/>
                <w:sz w:val="21"/>
                <w:szCs w:val="21"/>
              </w:rPr>
            </w:pPr>
            <w:r>
              <w:rPr>
                <w:rFonts w:hint="eastAsia" w:eastAsia="宋体"/>
                <w:kern w:val="0"/>
                <w:sz w:val="21"/>
                <w:szCs w:val="21"/>
              </w:rPr>
              <w:t>10</w:t>
            </w: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980" w:type="dxa"/>
            <w:vMerge w:val="continue"/>
          </w:tcPr>
          <w:p/>
        </w:tc>
        <w:tc>
          <w:tcPr>
            <w:tcW w:w="1080" w:type="dxa"/>
            <w:vMerge w:val="continue"/>
          </w:tcPr>
          <w:p/>
        </w:tc>
        <w:tc>
          <w:tcPr>
            <w:tcW w:w="1216" w:type="dxa"/>
            <w:vMerge w:val="continue"/>
          </w:tcPr>
          <w:p/>
        </w:tc>
        <w:tc>
          <w:tcPr>
            <w:tcW w:w="1423" w:type="dxa"/>
          </w:tcPr>
          <w:p>
            <w:pPr>
              <w:autoSpaceDE w:val="0"/>
              <w:autoSpaceDN w:val="0"/>
              <w:spacing w:line="300" w:lineRule="exact"/>
              <w:jc w:val="center"/>
              <w:rPr>
                <w:rFonts w:eastAsia="宋体"/>
                <w:kern w:val="0"/>
                <w:sz w:val="21"/>
                <w:szCs w:val="21"/>
              </w:rPr>
            </w:pPr>
          </w:p>
        </w:tc>
        <w:tc>
          <w:tcPr>
            <w:tcW w:w="1304" w:type="dxa"/>
          </w:tcPr>
          <w:p>
            <w:pPr>
              <w:autoSpaceDE w:val="0"/>
              <w:autoSpaceDN w:val="0"/>
              <w:spacing w:line="300" w:lineRule="exact"/>
              <w:jc w:val="center"/>
              <w:rPr>
                <w:rFonts w:eastAsia="宋体"/>
                <w:kern w:val="0"/>
                <w:sz w:val="21"/>
                <w:szCs w:val="21"/>
              </w:rPr>
            </w:pPr>
          </w:p>
        </w:tc>
        <w:tc>
          <w:tcPr>
            <w:tcW w:w="1260" w:type="dxa"/>
          </w:tcPr>
          <w:p>
            <w:pPr>
              <w:autoSpaceDE w:val="0"/>
              <w:autoSpaceDN w:val="0"/>
              <w:spacing w:line="300" w:lineRule="exact"/>
              <w:jc w:val="center"/>
              <w:rPr>
                <w:rFonts w:eastAsia="宋体"/>
                <w:kern w:val="0"/>
                <w:sz w:val="21"/>
                <w:szCs w:val="21"/>
              </w:rPr>
            </w:pPr>
          </w:p>
        </w:tc>
        <w:tc>
          <w:tcPr>
            <w:tcW w:w="720" w:type="dxa"/>
          </w:tcPr>
          <w:p>
            <w:pPr>
              <w:autoSpaceDE w:val="0"/>
              <w:autoSpaceDN w:val="0"/>
              <w:spacing w:line="300" w:lineRule="exact"/>
              <w:jc w:val="center"/>
              <w:rPr>
                <w:rFonts w:eastAsia="宋体"/>
                <w:kern w:val="0"/>
                <w:sz w:val="21"/>
                <w:szCs w:val="21"/>
              </w:rPr>
            </w:pPr>
          </w:p>
        </w:tc>
        <w:tc>
          <w:tcPr>
            <w:tcW w:w="860" w:type="dxa"/>
          </w:tcPr>
          <w:p>
            <w:pPr>
              <w:autoSpaceDE w:val="0"/>
              <w:autoSpaceDN w:val="0"/>
              <w:spacing w:line="300" w:lineRule="exact"/>
              <w:jc w:val="center"/>
              <w:rPr>
                <w:rFonts w:eastAsia="宋体"/>
                <w:kern w:val="0"/>
                <w:sz w:val="21"/>
                <w:szCs w:val="21"/>
              </w:rPr>
            </w:pPr>
          </w:p>
        </w:tc>
        <w:tc>
          <w:tcPr>
            <w:tcW w:w="1440" w:type="dxa"/>
          </w:tcPr>
          <w:p>
            <w:pPr>
              <w:autoSpaceDE w:val="0"/>
              <w:autoSpaceDN w:val="0"/>
              <w:spacing w:line="300" w:lineRule="exact"/>
              <w:jc w:val="center"/>
              <w:rPr>
                <w:rFonts w:eastAsia="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263" w:type="dxa"/>
            <w:gridSpan w:val="6"/>
            <w:vAlign w:val="center"/>
          </w:tcPr>
          <w:p>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vAlign w:val="center"/>
          </w:tcPr>
          <w:p>
            <w:pPr>
              <w:autoSpaceDE w:val="0"/>
              <w:autoSpaceDN w:val="0"/>
              <w:spacing w:line="300" w:lineRule="exact"/>
              <w:jc w:val="center"/>
              <w:rPr>
                <w:rFonts w:eastAsia="宋体"/>
                <w:kern w:val="0"/>
                <w:sz w:val="21"/>
                <w:szCs w:val="21"/>
              </w:rPr>
            </w:pPr>
            <w:r>
              <w:rPr>
                <w:rFonts w:eastAsia="宋体"/>
                <w:kern w:val="0"/>
                <w:sz w:val="21"/>
                <w:szCs w:val="21"/>
              </w:rPr>
              <w:t>100</w:t>
            </w:r>
          </w:p>
        </w:tc>
        <w:tc>
          <w:tcPr>
            <w:tcW w:w="860" w:type="dxa"/>
            <w:vAlign w:val="center"/>
          </w:tcPr>
          <w:p>
            <w:pPr>
              <w:autoSpaceDE w:val="0"/>
              <w:autoSpaceDN w:val="0"/>
              <w:spacing w:line="300" w:lineRule="exact"/>
              <w:jc w:val="center"/>
              <w:rPr>
                <w:rFonts w:eastAsia="宋体"/>
                <w:kern w:val="0"/>
                <w:sz w:val="21"/>
                <w:szCs w:val="21"/>
              </w:rPr>
            </w:pPr>
            <w:r>
              <w:rPr>
                <w:rFonts w:hint="eastAsia" w:eastAsia="宋体"/>
                <w:kern w:val="0"/>
                <w:sz w:val="21"/>
                <w:szCs w:val="21"/>
              </w:rPr>
              <w:t>99</w:t>
            </w:r>
          </w:p>
        </w:tc>
        <w:tc>
          <w:tcPr>
            <w:tcW w:w="1440" w:type="dxa"/>
            <w:vAlign w:val="center"/>
          </w:tcPr>
          <w:p>
            <w:pPr>
              <w:autoSpaceDE w:val="0"/>
              <w:autoSpaceDN w:val="0"/>
              <w:spacing w:line="300" w:lineRule="exact"/>
              <w:jc w:val="center"/>
              <w:rPr>
                <w:rFonts w:eastAsia="宋体"/>
                <w:kern w:val="0"/>
                <w:sz w:val="21"/>
                <w:szCs w:val="21"/>
              </w:rPr>
            </w:pPr>
          </w:p>
        </w:tc>
      </w:tr>
    </w:tbl>
    <w:p>
      <w:pPr>
        <w:autoSpaceDE w:val="0"/>
        <w:autoSpaceDN w:val="0"/>
        <w:spacing w:before="20" w:line="340" w:lineRule="atLeast"/>
        <w:rPr>
          <w:rFonts w:eastAsia="宋体"/>
          <w:kern w:val="0"/>
          <w:sz w:val="21"/>
          <w:szCs w:val="21"/>
        </w:rPr>
        <w:sectPr>
          <w:pgSz w:w="11907" w:h="16840"/>
          <w:pgMar w:top="1814" w:right="1361" w:bottom="1644" w:left="1588" w:header="851" w:footer="1304" w:gutter="0"/>
          <w:cols w:space="720" w:num="1"/>
          <w:docGrid w:linePitch="534" w:charSpace="701"/>
        </w:sectPr>
      </w:pPr>
      <w:r>
        <w:rPr>
          <w:rFonts w:eastAsia="宋体"/>
          <w:kern w:val="0"/>
          <w:sz w:val="21"/>
          <w:szCs w:val="21"/>
        </w:rPr>
        <w:t>填表人：夏建霞 填报日期：2024.04.28  联系电话：13873738012  单位负责人签字：戴立成</w:t>
      </w:r>
    </w:p>
    <w:p>
      <w:pPr>
        <w:spacing w:line="560" w:lineRule="exact"/>
        <w:jc w:val="left"/>
        <w:rPr>
          <w:rFonts w:eastAsia="黑体"/>
          <w:bCs/>
          <w:kern w:val="0"/>
          <w:szCs w:val="32"/>
        </w:rPr>
      </w:pPr>
      <w:bookmarkStart w:id="1" w:name="_GoBack"/>
      <w:bookmarkEnd w:id="1"/>
      <w:bookmarkStart w:id="0" w:name="_Hlk163551528"/>
    </w:p>
    <w:bookmarkEnd w:id="0"/>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rFonts w:eastAsia="黑体"/>
          <w:bCs/>
          <w:kern w:val="0"/>
          <w:szCs w:val="32"/>
        </w:rPr>
      </w:pPr>
    </w:p>
    <w:p>
      <w:pPr>
        <w:spacing w:line="560" w:lineRule="exact"/>
        <w:jc w:val="left"/>
        <w:rPr>
          <w:color w:val="000000"/>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BD33A"/>
    <w:multiLevelType w:val="singleLevel"/>
    <w:tmpl w:val="0FEBD33A"/>
    <w:lvl w:ilvl="0" w:tentative="0">
      <w:start w:val="2"/>
      <w:numFmt w:val="chineseCounting"/>
      <w:suff w:val="nothing"/>
      <w:lvlText w:val="（%1）"/>
      <w:lvlJc w:val="left"/>
      <w:pPr>
        <w:tabs>
          <w:tab w:val="left" w:pos="0"/>
        </w:tabs>
        <w:ind w:left="0" w:firstLine="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TY1NWE1ZjJkNjk5ZDliYjY2OTcxOTY2OGEzMjA2ZTQifQ=="/>
  </w:docVars>
  <w:rsids>
    <w:rsidRoot w:val="00000000"/>
    <w:rsid w:val="08814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autoSpaceDE w:val="0"/>
      <w:autoSpaceDN w:val="0"/>
      <w:spacing w:beforeAutospacing="1" w:afterAutospacing="1"/>
      <w:jc w:val="left"/>
    </w:pPr>
    <w:rPr>
      <w:rFonts w:ascii="Calibri" w:hAnsi="Calibri" w:eastAsia="宋体"/>
      <w:kern w:val="0"/>
      <w:sz w:val="24"/>
      <w:szCs w:val="21"/>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13</Pages>
  <Words>0</Words>
  <Characters>5254</Characters>
  <Lines>0</Lines>
  <Paragraphs>86</Paragraphs>
  <TotalTime>1</TotalTime>
  <ScaleCrop>false</ScaleCrop>
  <LinksUpToDate>false</LinksUpToDate>
  <CharactersWithSpaces>7006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2024-03-25T02:55:00Z</dcterms:created>
  <dc:creator>Administrator</dc:creator>
  <cp:lastModifiedBy>微信用户</cp:lastModifiedBy>
  <dcterms:modified xsi:type="dcterms:W3CDTF">2024-11-07T03:46:00Z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B4547C0BB67C49699FDCC50339A0332C_11</vt:lpwstr>
  </property>
</Properties>
</file>