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C6E" w:rsidRDefault="00000000">
      <w:pPr>
        <w:spacing w:line="800" w:lineRule="exact"/>
        <w:jc w:val="center"/>
        <w:rPr>
          <w:rFonts w:ascii="仿宋" w:eastAsia="仿宋" w:hAnsi="仿宋" w:cs="仿宋"/>
          <w:b/>
          <w:sz w:val="46"/>
          <w:szCs w:val="46"/>
        </w:rPr>
      </w:pPr>
      <w:r>
        <w:rPr>
          <w:rFonts w:ascii="仿宋" w:eastAsia="仿宋" w:hAnsi="仿宋" w:cs="仿宋" w:hint="eastAsia"/>
          <w:b/>
          <w:sz w:val="46"/>
          <w:szCs w:val="46"/>
        </w:rPr>
        <w:t>桃江县牛田镇中心学校202</w:t>
      </w:r>
      <w:r w:rsidR="00A64C1F">
        <w:rPr>
          <w:rFonts w:ascii="仿宋" w:eastAsia="仿宋" w:hAnsi="仿宋" w:cs="仿宋"/>
          <w:b/>
          <w:sz w:val="46"/>
          <w:szCs w:val="46"/>
        </w:rPr>
        <w:t>2</w:t>
      </w:r>
      <w:r>
        <w:rPr>
          <w:rFonts w:ascii="仿宋" w:eastAsia="仿宋" w:hAnsi="仿宋" w:cs="仿宋" w:hint="eastAsia"/>
          <w:b/>
          <w:sz w:val="46"/>
          <w:szCs w:val="46"/>
        </w:rPr>
        <w:t>年度部门整体支出绩效评价自评报告</w:t>
      </w:r>
    </w:p>
    <w:p w:rsidR="00891C6E" w:rsidRDefault="00891C6E">
      <w:pPr>
        <w:spacing w:line="800" w:lineRule="exact"/>
        <w:jc w:val="center"/>
        <w:rPr>
          <w:rFonts w:ascii="仿宋" w:eastAsia="仿宋" w:hAnsi="仿宋" w:cs="仿宋"/>
          <w:b/>
          <w:sz w:val="46"/>
          <w:szCs w:val="46"/>
        </w:rPr>
      </w:pPr>
    </w:p>
    <w:p w:rsidR="00891C6E" w:rsidRDefault="00A64C1F">
      <w:pPr>
        <w:pStyle w:val="aa"/>
        <w:widowControl/>
        <w:shd w:val="clear" w:color="auto" w:fill="FFFFFF"/>
        <w:spacing w:beforeAutospacing="0" w:afterAutospacing="0" w:line="360" w:lineRule="auto"/>
        <w:ind w:firstLineChars="200" w:firstLine="560"/>
        <w:jc w:val="both"/>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2022年我单位有编制175人。内部机构包括5个科室。桃江县牛田镇中心学校2022年部门决算汇总公开单位构成包括：1、桃江县牛田镇中心学校； 2、桃江县牛田镇杉树仑九年一贯制学校； 3、桃江县牛田镇完全小学； 4、桃江县牛田镇肖家冲小学； 5、桃江县牛田镇彭家冲小学； 6、桃江县牛田镇中心幼儿园； 7、桃江县牛田镇杉树仑幼儿园。我单位从事的工作包括组织实施教育有关法律法规和承担区域内义务教育、学前教育阶段教育教学和学校管理工作。1-12月其一般公共预算财政拨款收入</w:t>
      </w:r>
      <w:r>
        <w:rPr>
          <w:rFonts w:ascii="仿宋" w:eastAsia="仿宋" w:hAnsi="仿宋" w:cs="仿宋"/>
          <w:color w:val="000000"/>
          <w:sz w:val="28"/>
          <w:szCs w:val="28"/>
          <w:shd w:val="clear" w:color="auto" w:fill="FFFFFF"/>
        </w:rPr>
        <w:t>2701.34</w:t>
      </w:r>
      <w:r>
        <w:rPr>
          <w:rFonts w:ascii="仿宋" w:eastAsia="仿宋" w:hAnsi="仿宋" w:cs="仿宋" w:hint="eastAsia"/>
          <w:color w:val="000000"/>
          <w:sz w:val="28"/>
          <w:szCs w:val="28"/>
          <w:shd w:val="clear" w:color="auto" w:fill="FFFFFF"/>
        </w:rPr>
        <w:t>万元，</w:t>
      </w:r>
      <w:r w:rsidR="00CA3A2B">
        <w:rPr>
          <w:rFonts w:ascii="仿宋" w:eastAsia="仿宋" w:hAnsi="仿宋" w:cs="仿宋" w:hint="eastAsia"/>
          <w:color w:val="000000"/>
          <w:sz w:val="28"/>
          <w:szCs w:val="28"/>
          <w:shd w:val="clear" w:color="auto" w:fill="FFFFFF"/>
        </w:rPr>
        <w:t>基本</w:t>
      </w:r>
      <w:r>
        <w:rPr>
          <w:rFonts w:ascii="仿宋" w:eastAsia="仿宋" w:hAnsi="仿宋" w:cs="仿宋" w:hint="eastAsia"/>
          <w:color w:val="000000"/>
          <w:sz w:val="28"/>
          <w:szCs w:val="28"/>
          <w:shd w:val="clear" w:color="auto" w:fill="FFFFFF"/>
        </w:rPr>
        <w:t>支出</w:t>
      </w:r>
      <w:r w:rsidR="00CA3A2B">
        <w:rPr>
          <w:rFonts w:ascii="仿宋" w:eastAsia="仿宋" w:hAnsi="仿宋" w:cs="仿宋"/>
          <w:color w:val="000000"/>
          <w:sz w:val="28"/>
          <w:szCs w:val="28"/>
          <w:shd w:val="clear" w:color="auto" w:fill="FFFFFF"/>
        </w:rPr>
        <w:t>2631.3</w:t>
      </w:r>
      <w:r>
        <w:rPr>
          <w:rFonts w:ascii="仿宋" w:eastAsia="仿宋" w:hAnsi="仿宋" w:cs="仿宋"/>
          <w:color w:val="000000"/>
          <w:sz w:val="28"/>
          <w:szCs w:val="28"/>
          <w:shd w:val="clear" w:color="auto" w:fill="FFFFFF"/>
        </w:rPr>
        <w:t>4</w:t>
      </w:r>
      <w:r>
        <w:rPr>
          <w:rFonts w:ascii="仿宋" w:eastAsia="仿宋" w:hAnsi="仿宋" w:cs="仿宋" w:hint="eastAsia"/>
          <w:color w:val="000000"/>
          <w:sz w:val="28"/>
          <w:szCs w:val="28"/>
          <w:shd w:val="clear" w:color="auto" w:fill="FFFFFF"/>
        </w:rPr>
        <w:t>万元。</w:t>
      </w:r>
      <w:r w:rsidR="004B466B">
        <w:rPr>
          <w:rFonts w:ascii="仿宋" w:eastAsia="仿宋" w:hAnsi="仿宋" w:cs="仿宋" w:hint="eastAsia"/>
          <w:color w:val="000000"/>
          <w:sz w:val="28"/>
          <w:szCs w:val="28"/>
          <w:shd w:val="clear" w:color="auto" w:fill="FFFFFF"/>
        </w:rPr>
        <w:t>1-12月专项收入</w:t>
      </w:r>
      <w:r w:rsidR="00CA3A2B">
        <w:rPr>
          <w:rFonts w:ascii="仿宋" w:eastAsia="仿宋" w:hAnsi="仿宋" w:cs="仿宋"/>
          <w:color w:val="000000"/>
          <w:sz w:val="28"/>
          <w:szCs w:val="28"/>
          <w:shd w:val="clear" w:color="auto" w:fill="FFFFFF"/>
        </w:rPr>
        <w:t>70</w:t>
      </w:r>
      <w:r w:rsidR="004B466B">
        <w:rPr>
          <w:rFonts w:ascii="仿宋" w:eastAsia="仿宋" w:hAnsi="仿宋" w:cs="仿宋" w:hint="eastAsia"/>
          <w:color w:val="000000"/>
          <w:sz w:val="28"/>
          <w:szCs w:val="28"/>
          <w:shd w:val="clear" w:color="auto" w:fill="FFFFFF"/>
        </w:rPr>
        <w:t>万元，总支出</w:t>
      </w:r>
      <w:r w:rsidR="00CA3A2B">
        <w:rPr>
          <w:rFonts w:ascii="仿宋" w:eastAsia="仿宋" w:hAnsi="仿宋" w:cs="仿宋"/>
          <w:color w:val="000000"/>
          <w:sz w:val="28"/>
          <w:szCs w:val="28"/>
          <w:shd w:val="clear" w:color="auto" w:fill="FFFFFF"/>
        </w:rPr>
        <w:t>70</w:t>
      </w:r>
      <w:r w:rsidR="004B466B">
        <w:rPr>
          <w:rFonts w:ascii="仿宋" w:eastAsia="仿宋" w:hAnsi="仿宋" w:cs="仿宋" w:hint="eastAsia"/>
          <w:color w:val="000000"/>
          <w:sz w:val="28"/>
          <w:szCs w:val="28"/>
          <w:shd w:val="clear" w:color="auto" w:fill="FFFFFF"/>
        </w:rPr>
        <w:t>万元。</w:t>
      </w:r>
    </w:p>
    <w:p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b/>
          <w:bCs/>
          <w:color w:val="000000"/>
          <w:sz w:val="30"/>
          <w:szCs w:val="30"/>
        </w:rPr>
      </w:pPr>
      <w:r>
        <w:rPr>
          <w:rFonts w:ascii="仿宋" w:eastAsia="仿宋" w:hAnsi="仿宋" w:cs="仿宋" w:hint="eastAsia"/>
          <w:b/>
          <w:bCs/>
          <w:color w:val="000000"/>
          <w:sz w:val="30"/>
          <w:szCs w:val="30"/>
          <w:shd w:val="clear" w:color="auto" w:fill="FFFFFF"/>
        </w:rPr>
        <w:t>一、整体支出管理和使用情况</w:t>
      </w:r>
    </w:p>
    <w:p w:rsidR="00891C6E" w:rsidRDefault="00000000">
      <w:pPr>
        <w:pStyle w:val="aa"/>
        <w:widowControl/>
        <w:shd w:val="clear" w:color="auto" w:fill="FFFFFF"/>
        <w:spacing w:beforeAutospacing="0" w:afterAutospacing="0" w:line="500" w:lineRule="exact"/>
        <w:ind w:firstLineChars="200" w:firstLine="562"/>
        <w:jc w:val="both"/>
        <w:rPr>
          <w:rFonts w:ascii="仿宋" w:eastAsia="仿宋" w:hAnsi="仿宋" w:cs="仿宋"/>
          <w:b/>
          <w:bCs/>
          <w:color w:val="000000"/>
          <w:sz w:val="28"/>
          <w:szCs w:val="28"/>
        </w:rPr>
      </w:pPr>
      <w:r>
        <w:rPr>
          <w:rFonts w:ascii="仿宋" w:eastAsia="仿宋" w:hAnsi="仿宋" w:cs="仿宋" w:hint="eastAsia"/>
          <w:b/>
          <w:bCs/>
          <w:color w:val="000000"/>
          <w:sz w:val="28"/>
          <w:szCs w:val="28"/>
          <w:shd w:val="clear" w:color="auto" w:fill="FFFFFF"/>
        </w:rPr>
        <w:t>（一）基本支出</w:t>
      </w:r>
    </w:p>
    <w:p w:rsidR="00891C6E"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我单位基本支出为</w:t>
      </w:r>
      <w:r w:rsidR="00A64C1F">
        <w:rPr>
          <w:rFonts w:ascii="仿宋" w:eastAsia="仿宋" w:hAnsi="仿宋" w:cs="仿宋"/>
          <w:color w:val="000000"/>
          <w:sz w:val="28"/>
          <w:szCs w:val="28"/>
          <w:shd w:val="clear" w:color="auto" w:fill="FFFFFF"/>
        </w:rPr>
        <w:t>2631.34</w:t>
      </w:r>
      <w:r>
        <w:rPr>
          <w:rFonts w:ascii="仿宋" w:eastAsia="仿宋" w:hAnsi="仿宋" w:cs="仿宋" w:hint="eastAsia"/>
          <w:color w:val="000000"/>
          <w:sz w:val="28"/>
          <w:szCs w:val="28"/>
          <w:shd w:val="clear" w:color="auto" w:fill="FFFFFF"/>
        </w:rPr>
        <w:t>万元，主要是人员支出和公用支出，人员支出包括工资福利支出及对个人的家庭补助支出；公用支出主要为日常办公支出。支出情况为：工资福利支出：</w:t>
      </w:r>
      <w:r w:rsidR="00A64C1F">
        <w:rPr>
          <w:rFonts w:ascii="仿宋" w:eastAsia="仿宋" w:hAnsi="仿宋" w:cs="仿宋"/>
          <w:color w:val="000000"/>
          <w:sz w:val="28"/>
          <w:szCs w:val="28"/>
          <w:shd w:val="clear" w:color="auto" w:fill="FFFFFF"/>
        </w:rPr>
        <w:t>2095.02</w:t>
      </w:r>
      <w:r>
        <w:rPr>
          <w:rFonts w:ascii="仿宋" w:eastAsia="仿宋" w:hAnsi="仿宋" w:cs="仿宋" w:hint="eastAsia"/>
          <w:color w:val="000000"/>
          <w:sz w:val="28"/>
          <w:szCs w:val="28"/>
          <w:shd w:val="clear" w:color="auto" w:fill="FFFFFF"/>
        </w:rPr>
        <w:t>万元，商品和服务支出：</w:t>
      </w:r>
      <w:r w:rsidR="00A64C1F">
        <w:rPr>
          <w:rFonts w:ascii="仿宋" w:eastAsia="仿宋" w:hAnsi="仿宋" w:cs="仿宋"/>
          <w:color w:val="000000"/>
          <w:sz w:val="28"/>
          <w:szCs w:val="28"/>
          <w:shd w:val="clear" w:color="auto" w:fill="FFFFFF"/>
        </w:rPr>
        <w:t>360.4</w:t>
      </w:r>
      <w:r>
        <w:rPr>
          <w:rFonts w:ascii="仿宋" w:eastAsia="仿宋" w:hAnsi="仿宋" w:cs="仿宋" w:hint="eastAsia"/>
          <w:color w:val="000000"/>
          <w:sz w:val="28"/>
          <w:szCs w:val="28"/>
          <w:shd w:val="clear" w:color="auto" w:fill="FFFFFF"/>
        </w:rPr>
        <w:t>万元，对个人和家庭补助支出：</w:t>
      </w:r>
      <w:r w:rsidR="00A64C1F">
        <w:rPr>
          <w:rFonts w:ascii="仿宋" w:eastAsia="仿宋" w:hAnsi="仿宋" w:cs="仿宋"/>
          <w:color w:val="000000"/>
          <w:sz w:val="28"/>
          <w:szCs w:val="28"/>
          <w:shd w:val="clear" w:color="auto" w:fill="FFFFFF"/>
        </w:rPr>
        <w:t>175.93</w:t>
      </w:r>
      <w:r>
        <w:rPr>
          <w:rFonts w:ascii="仿宋" w:eastAsia="仿宋" w:hAnsi="仿宋" w:cs="仿宋" w:hint="eastAsia"/>
          <w:color w:val="000000"/>
          <w:sz w:val="28"/>
          <w:szCs w:val="28"/>
          <w:shd w:val="clear" w:color="auto" w:fill="FFFFFF"/>
        </w:rPr>
        <w:t>万元。</w:t>
      </w:r>
    </w:p>
    <w:p w:rsidR="00891C6E" w:rsidRDefault="00000000">
      <w:pPr>
        <w:pStyle w:val="aa"/>
        <w:widowControl/>
        <w:numPr>
          <w:ilvl w:val="0"/>
          <w:numId w:val="2"/>
        </w:numPr>
        <w:shd w:val="clear" w:color="auto" w:fill="FFFFFF"/>
        <w:spacing w:beforeAutospacing="0" w:afterAutospacing="0" w:line="500" w:lineRule="exact"/>
        <w:ind w:firstLineChars="200" w:firstLine="562"/>
        <w:jc w:val="both"/>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项目支出</w:t>
      </w:r>
    </w:p>
    <w:p w:rsidR="00891C6E"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项目支出为</w:t>
      </w:r>
      <w:r w:rsidR="00A64C1F">
        <w:rPr>
          <w:rFonts w:ascii="仿宋" w:eastAsia="仿宋" w:hAnsi="仿宋" w:cs="仿宋"/>
          <w:color w:val="000000"/>
          <w:sz w:val="28"/>
          <w:szCs w:val="28"/>
          <w:shd w:val="clear" w:color="auto" w:fill="FFFFFF"/>
        </w:rPr>
        <w:t>70</w:t>
      </w:r>
      <w:r>
        <w:rPr>
          <w:rFonts w:ascii="仿宋" w:eastAsia="仿宋" w:hAnsi="仿宋" w:cs="仿宋" w:hint="eastAsia"/>
          <w:color w:val="000000"/>
          <w:sz w:val="28"/>
          <w:szCs w:val="28"/>
          <w:shd w:val="clear" w:color="auto" w:fill="FFFFFF"/>
        </w:rPr>
        <w:t>万元，主要用于学校改扩建工程</w:t>
      </w:r>
      <w:r w:rsidR="00A64C1F">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宿舍楼工程建设等。</w:t>
      </w:r>
    </w:p>
    <w:p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 xml:space="preserve">二、部门整体支出绩效情况 </w:t>
      </w:r>
    </w:p>
    <w:p w:rsidR="00891C6E" w:rsidRDefault="00A64C1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2022年，我校部门预算整体支出进度100%，在保障学校的正常运转和提高教育教学质量等方面发挥了积极作用，总体支出绩效良好。</w:t>
      </w:r>
    </w:p>
    <w:p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（一）经济性分析</w:t>
      </w:r>
    </w:p>
    <w:p w:rsidR="00891C6E"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1、预算执行方面。本年预算控制较好，按照核定的单位财政供养人员编制数要求，实际在职人员数控制在编制人数范围内。</w:t>
      </w:r>
    </w:p>
    <w:p w:rsidR="00891C6E"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2、预算管理方面。按照202</w:t>
      </w:r>
      <w:r w:rsidR="00A64C1F">
        <w:rPr>
          <w:rFonts w:ascii="仿宋" w:eastAsia="仿宋" w:hAnsi="仿宋" w:cs="仿宋" w:hint="eastAsia"/>
          <w:sz w:val="32"/>
          <w:szCs w:val="32"/>
        </w:rPr>
        <w:t>2</w:t>
      </w:r>
      <w:r>
        <w:rPr>
          <w:rFonts w:ascii="仿宋" w:eastAsia="仿宋" w:hAnsi="仿宋" w:cs="仿宋" w:hint="eastAsia"/>
          <w:sz w:val="32"/>
          <w:szCs w:val="32"/>
        </w:rPr>
        <w:t>年初制定的单位预算方案，无论是在资金、项目还是在支出模式、支出结构上，都严格管理，较好地完成了年初绩效预算的目标。</w:t>
      </w:r>
      <w:r w:rsidR="00A64C1F">
        <w:rPr>
          <w:rFonts w:ascii="仿宋" w:eastAsia="仿宋" w:hAnsi="仿宋" w:cs="仿宋" w:hint="eastAsia"/>
          <w:sz w:val="32"/>
          <w:szCs w:val="32"/>
        </w:rPr>
        <w:t>2022</w:t>
      </w:r>
      <w:r>
        <w:rPr>
          <w:rFonts w:ascii="仿宋" w:eastAsia="仿宋" w:hAnsi="仿宋" w:cs="仿宋" w:hint="eastAsia"/>
          <w:sz w:val="32"/>
          <w:szCs w:val="32"/>
        </w:rPr>
        <w:t>年学校多次研究财务工作，对一定时段的项目经费及具体工作进行讨论、研究及部署，取得了较好的成绩。</w:t>
      </w:r>
    </w:p>
    <w:p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（二）效率性分析</w:t>
      </w:r>
    </w:p>
    <w:p w:rsidR="00891C6E" w:rsidRDefault="0000000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预算安排的基本支出保障了学校正常的工作运转，预算安排的项目支出保障了学校各项业务工作的顺利开展。</w:t>
      </w:r>
    </w:p>
    <w:p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（三）效益性分析</w:t>
      </w:r>
    </w:p>
    <w:p w:rsidR="00891C6E" w:rsidRDefault="00A64C1F">
      <w:pPr>
        <w:widowControl/>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2022年我校各项工作都取得了较好的成绩，学前教育和义务教育都有不同程度的发展，学校办学条件不断改善，各项指标都有所提高，合格率和升学率都有所提高，社会满意度较好，圆满地完成了2022年的各项工作。</w:t>
      </w:r>
    </w:p>
    <w:p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三、绩效评价工作开展情况</w:t>
      </w:r>
    </w:p>
    <w:p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（一）绩效评价的目的</w:t>
      </w:r>
    </w:p>
    <w:p w:rsidR="00891C6E" w:rsidRDefault="00000000">
      <w:pPr>
        <w:widowControl/>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进一步推进政协工作的制度化、规范化和程序化建设，充分发挥各部门的重要作用，调动各方积极性，转变工作作</w:t>
      </w:r>
      <w:r>
        <w:rPr>
          <w:rFonts w:ascii="仿宋" w:eastAsia="仿宋" w:hAnsi="仿宋" w:cs="仿宋" w:hint="eastAsia"/>
          <w:color w:val="000000"/>
          <w:kern w:val="0"/>
          <w:sz w:val="32"/>
          <w:szCs w:val="32"/>
        </w:rPr>
        <w:lastRenderedPageBreak/>
        <w:t>风，提高办事效率。为切实提高财政资金使用效益，强化预算支出的责任和效率提供参考依据。</w:t>
      </w:r>
    </w:p>
    <w:p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（二）绩效评价工作过程</w:t>
      </w:r>
    </w:p>
    <w:p w:rsidR="00891C6E" w:rsidRDefault="00000000">
      <w:pPr>
        <w:widowControl/>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1、成立绩效评价小组，制定绩效考核指标；</w:t>
      </w:r>
    </w:p>
    <w:p w:rsidR="00891C6E" w:rsidRDefault="00000000">
      <w:pPr>
        <w:widowControl/>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根据县财绩[</w:t>
      </w:r>
      <w:r w:rsidR="00A64C1F">
        <w:rPr>
          <w:rFonts w:ascii="仿宋" w:eastAsia="仿宋" w:hAnsi="仿宋" w:cs="仿宋" w:hint="eastAsia"/>
          <w:color w:val="000000"/>
          <w:kern w:val="0"/>
          <w:sz w:val="32"/>
          <w:szCs w:val="32"/>
        </w:rPr>
        <w:t>202</w:t>
      </w:r>
      <w:r w:rsidR="00A64C1F">
        <w:rPr>
          <w:rFonts w:ascii="仿宋" w:eastAsia="仿宋" w:hAnsi="仿宋" w:cs="仿宋"/>
          <w:color w:val="000000"/>
          <w:kern w:val="0"/>
          <w:sz w:val="32"/>
          <w:szCs w:val="32"/>
        </w:rPr>
        <w:t>1</w:t>
      </w:r>
      <w:r>
        <w:rPr>
          <w:rFonts w:ascii="仿宋" w:eastAsia="仿宋" w:hAnsi="仿宋" w:cs="仿宋" w:hint="eastAsia"/>
          <w:color w:val="000000"/>
          <w:kern w:val="0"/>
          <w:sz w:val="32"/>
          <w:szCs w:val="32"/>
        </w:rPr>
        <w:t>]14号文件精神，学校成立了绩效评价工作小组，认真组织对</w:t>
      </w:r>
      <w:r w:rsidR="00A64C1F">
        <w:rPr>
          <w:rFonts w:ascii="仿宋" w:eastAsia="仿宋" w:hAnsi="仿宋" w:cs="仿宋" w:hint="eastAsia"/>
          <w:color w:val="000000"/>
          <w:kern w:val="0"/>
          <w:sz w:val="32"/>
          <w:szCs w:val="32"/>
        </w:rPr>
        <w:t>2022</w:t>
      </w:r>
      <w:r>
        <w:rPr>
          <w:rFonts w:ascii="仿宋" w:eastAsia="仿宋" w:hAnsi="仿宋" w:cs="仿宋" w:hint="eastAsia"/>
          <w:color w:val="000000"/>
          <w:kern w:val="0"/>
          <w:sz w:val="32"/>
          <w:szCs w:val="32"/>
        </w:rPr>
        <w:t>年度财政性资金进行了绩效自评，自评结果为95分。</w:t>
      </w:r>
    </w:p>
    <w:p w:rsidR="00891C6E" w:rsidRDefault="00000000">
      <w:pPr>
        <w:widowControl/>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按时进行资金通报，对资金使用进度进行分析，年末对资金使用进行评价并撰写评价报告。通过开展财政支出绩效评价，进一步强化了财政支出绩效理念，科学合理编制年度预算，提高财政资金使用效益，实现科学理财。</w:t>
      </w:r>
    </w:p>
    <w:p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六、存在的主要问题</w:t>
      </w:r>
    </w:p>
    <w:p w:rsidR="00891C6E" w:rsidRDefault="00000000">
      <w:pPr>
        <w:spacing w:line="600" w:lineRule="exact"/>
        <w:ind w:firstLineChars="200" w:firstLine="640"/>
        <w:rPr>
          <w:rFonts w:ascii="仿宋" w:eastAsia="仿宋" w:hAnsi="仿宋" w:cs="仿宋"/>
          <w:kern w:val="0"/>
          <w:sz w:val="32"/>
          <w:szCs w:val="32"/>
        </w:rPr>
      </w:pPr>
      <w:r>
        <w:rPr>
          <w:rFonts w:ascii="仿宋" w:eastAsia="仿宋" w:hAnsi="仿宋" w:cs="仿宋" w:hint="eastAsia"/>
          <w:sz w:val="32"/>
          <w:szCs w:val="32"/>
        </w:rPr>
        <w:t>财务制度有待进一步完善，执行力度有待进一步加强，资金使用年度预算理念有待提高。</w:t>
      </w:r>
      <w:r>
        <w:rPr>
          <w:rFonts w:ascii="仿宋" w:eastAsia="仿宋" w:hAnsi="仿宋" w:cs="仿宋" w:hint="eastAsia"/>
          <w:kern w:val="0"/>
          <w:sz w:val="32"/>
          <w:szCs w:val="32"/>
        </w:rPr>
        <w:t xml:space="preserve"> </w:t>
      </w:r>
    </w:p>
    <w:p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七、改进措施和有关建议</w:t>
      </w:r>
    </w:p>
    <w:p w:rsidR="00891C6E" w:rsidRDefault="00000000">
      <w:pPr>
        <w:spacing w:line="600" w:lineRule="exact"/>
        <w:ind w:firstLineChars="200" w:firstLine="640"/>
      </w:pPr>
      <w:r>
        <w:rPr>
          <w:rFonts w:ascii="仿宋" w:eastAsia="仿宋" w:hAnsi="仿宋" w:cs="仿宋" w:hint="eastAsia"/>
          <w:sz w:val="32"/>
          <w:szCs w:val="32"/>
        </w:rPr>
        <w:t>科学合理编制年度支出预算，建立健全财务管理机制，依法有效使用财政资金，使有效资金发挥最大效益。</w:t>
      </w:r>
    </w:p>
    <w:sectPr w:rsidR="00891C6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6CE" w:rsidRDefault="008C36CE">
      <w:r>
        <w:separator/>
      </w:r>
    </w:p>
  </w:endnote>
  <w:endnote w:type="continuationSeparator" w:id="0">
    <w:p w:rsidR="008C36CE" w:rsidRDefault="008C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6CE" w:rsidRDefault="008C36CE">
      <w:r>
        <w:separator/>
      </w:r>
    </w:p>
  </w:footnote>
  <w:footnote w:type="continuationSeparator" w:id="0">
    <w:p w:rsidR="008C36CE" w:rsidRDefault="008C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C6E" w:rsidRDefault="00891C6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15:restartNumberingAfterBreak="0">
    <w:nsid w:val="56D4E26B"/>
    <w:multiLevelType w:val="singleLevel"/>
    <w:tmpl w:val="56D4E26B"/>
    <w:lvl w:ilvl="0">
      <w:start w:val="2"/>
      <w:numFmt w:val="chineseCounting"/>
      <w:suff w:val="nothing"/>
      <w:lvlText w:val="（%1）"/>
      <w:lvlJc w:val="left"/>
      <w:rPr>
        <w:rFonts w:hint="eastAsia"/>
      </w:rPr>
    </w:lvl>
  </w:abstractNum>
  <w:num w:numId="1" w16cid:durableId="229585395">
    <w:abstractNumId w:val="0"/>
  </w:num>
  <w:num w:numId="2" w16cid:durableId="83565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3"/>
  <w:drawingGridVerticalSpacing w:val="30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05A8"/>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2A75"/>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466B"/>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1C6E"/>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36CE"/>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4C1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3A2B"/>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5E777D"/>
    <w:rsid w:val="03F35038"/>
    <w:rsid w:val="04D72469"/>
    <w:rsid w:val="16D06CEF"/>
    <w:rsid w:val="1EF0224B"/>
    <w:rsid w:val="204D4011"/>
    <w:rsid w:val="22024E4B"/>
    <w:rsid w:val="34C23234"/>
    <w:rsid w:val="43A218D9"/>
    <w:rsid w:val="507D6AAE"/>
    <w:rsid w:val="57373941"/>
    <w:rsid w:val="5CB37730"/>
    <w:rsid w:val="5CE80FAA"/>
    <w:rsid w:val="5FB97320"/>
    <w:rsid w:val="60235D19"/>
    <w:rsid w:val="63C309CC"/>
    <w:rsid w:val="67B41FFA"/>
    <w:rsid w:val="67DB150E"/>
    <w:rsid w:val="69F502EF"/>
    <w:rsid w:val="6A86179D"/>
    <w:rsid w:val="6CA565A9"/>
    <w:rsid w:val="6DDC4A9B"/>
    <w:rsid w:val="7681402A"/>
    <w:rsid w:val="7B6132CB"/>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DEBBC"/>
  <w15:docId w15:val="{38CBDF11-2BFD-4649-A68E-BBCAF834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Indent"/>
    <w:basedOn w:val="a"/>
    <w:qFormat/>
    <w:pPr>
      <w:ind w:firstLineChars="200" w:firstLine="420"/>
    </w:pPr>
  </w:style>
  <w:style w:type="paragraph" w:styleId="2">
    <w:name w:val="Body Text Indent 2"/>
    <w:basedOn w:val="a"/>
    <w:link w:val="20"/>
    <w:uiPriority w:val="99"/>
    <w:unhideWhenUsed/>
    <w:qFormat/>
    <w:pPr>
      <w:ind w:firstLineChars="200" w:firstLine="588"/>
    </w:pPr>
    <w:rPr>
      <w:rFonts w:ascii="仿宋_GB2312" w:eastAsia="仿宋_GB2312" w:hAnsi="Calibri"/>
      <w:sz w:val="32"/>
    </w:rPr>
  </w:style>
  <w:style w:type="paragraph" w:styleId="a4">
    <w:name w:val="Balloon Text"/>
    <w:basedOn w:val="a"/>
    <w:link w:val="a5"/>
    <w:semiHidden/>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qFormat/>
    <w:rPr>
      <w:sz w:val="18"/>
      <w:szCs w:val="18"/>
    </w:rPr>
  </w:style>
  <w:style w:type="character" w:customStyle="1" w:styleId="3CharChar">
    <w:name w:val="标题 3 Char Char"/>
    <w:qFormat/>
    <w:rPr>
      <w:rFonts w:eastAsia="楷体_GB2312"/>
      <w:b/>
      <w:kern w:val="2"/>
      <w:sz w:val="32"/>
      <w:szCs w:val="24"/>
      <w:lang w:val="en-US" w:eastAsia="zh-CN" w:bidi="ar-SA"/>
    </w:rPr>
  </w:style>
  <w:style w:type="paragraph" w:customStyle="1" w:styleId="Char">
    <w:name w:val="Char"/>
    <w:basedOn w:val="a"/>
    <w:qFormat/>
    <w:pPr>
      <w:autoSpaceDE w:val="0"/>
      <w:autoSpaceDN w:val="0"/>
      <w:adjustRightInd w:val="0"/>
    </w:pPr>
    <w:rPr>
      <w:rFonts w:ascii="宋体" w:cs="宋体"/>
      <w:kern w:val="0"/>
      <w:sz w:val="20"/>
      <w:szCs w:val="20"/>
      <w:lang w:val="zh-CN"/>
    </w:rPr>
  </w:style>
  <w:style w:type="character" w:customStyle="1" w:styleId="20">
    <w:name w:val="正文文本缩进 2 字符"/>
    <w:basedOn w:val="a0"/>
    <w:link w:val="2"/>
    <w:uiPriority w:val="99"/>
    <w:qFormat/>
    <w:rPr>
      <w:rFonts w:ascii="仿宋_GB2312" w:eastAsia="仿宋_GB2312" w:hAnsi="Calibri" w:cs="Times New Roman"/>
      <w:sz w:val="32"/>
      <w:szCs w:val="24"/>
    </w:rPr>
  </w:style>
  <w:style w:type="paragraph" w:customStyle="1" w:styleId="Char1">
    <w:name w:val="Char1"/>
    <w:basedOn w:val="a"/>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720"/>
      </w:tabs>
    </w:pPr>
    <w:rPr>
      <w:szCs w:val="20"/>
    </w:rPr>
  </w:style>
  <w:style w:type="character" w:customStyle="1" w:styleId="a5">
    <w:name w:val="批注框文本 字符"/>
    <w:basedOn w:val="a0"/>
    <w:link w:val="a4"/>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203</Words>
  <Characters>1159</Characters>
  <Application>Microsoft Office Word</Application>
  <DocSecurity>0</DocSecurity>
  <Lines>9</Lines>
  <Paragraphs>2</Paragraphs>
  <ScaleCrop>false</ScaleCrop>
  <Company>China</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2022-06-23T03:14:00Z</cp:lastPrinted>
  <dcterms:created xsi:type="dcterms:W3CDTF">2021-06-02T01:03:00Z</dcterms:created>
  <dcterms:modified xsi:type="dcterms:W3CDTF">2023-10-31T02:01:00Z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788704CD849E433A8DE1E62748903778</vt:lpwstr>
  </property>
</Properties>
</file>