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7F1ACC">
      <w:pPr>
        <w:keepNext w:val="0"/>
        <w:keepLines w:val="0"/>
        <w:pageBreakBefore w:val="0"/>
        <w:widowControl w:val="0"/>
        <w:kinsoku/>
        <w:wordWrap/>
        <w:overflowPunct/>
        <w:topLinePunct w:val="0"/>
        <w:autoSpaceDE/>
        <w:autoSpaceDN/>
        <w:bidi w:val="0"/>
        <w:adjustRightInd/>
        <w:snapToGrid/>
        <w:spacing w:line="240" w:lineRule="auto"/>
        <w:ind w:firstLine="803" w:firstLineChars="200"/>
        <w:jc w:val="center"/>
        <w:textAlignment w:val="auto"/>
        <w:rPr>
          <w:rFonts w:hint="eastAsia" w:ascii="宋体" w:hAnsi="宋体" w:eastAsia="宋体" w:cs="宋体"/>
          <w:b/>
          <w:bCs/>
          <w:sz w:val="40"/>
          <w:szCs w:val="40"/>
        </w:rPr>
      </w:pPr>
      <w:r>
        <w:rPr>
          <w:rFonts w:hint="eastAsia" w:ascii="宋体" w:hAnsi="宋体" w:eastAsia="宋体" w:cs="宋体"/>
          <w:b/>
          <w:bCs/>
          <w:sz w:val="40"/>
          <w:szCs w:val="40"/>
        </w:rPr>
        <w:t>202</w:t>
      </w:r>
      <w:r>
        <w:rPr>
          <w:rFonts w:hint="eastAsia" w:ascii="宋体" w:hAnsi="宋体" w:eastAsia="宋体" w:cs="宋体"/>
          <w:b/>
          <w:bCs/>
          <w:sz w:val="40"/>
          <w:szCs w:val="40"/>
          <w:lang w:val="en-US" w:eastAsia="zh-CN"/>
        </w:rPr>
        <w:t>2</w:t>
      </w:r>
      <w:r>
        <w:rPr>
          <w:rFonts w:hint="eastAsia" w:ascii="宋体" w:hAnsi="宋体" w:eastAsia="宋体" w:cs="宋体"/>
          <w:b/>
          <w:bCs/>
          <w:sz w:val="40"/>
          <w:szCs w:val="40"/>
        </w:rPr>
        <w:t>年</w:t>
      </w:r>
      <w:r>
        <w:rPr>
          <w:rFonts w:hint="eastAsia" w:ascii="宋体" w:hAnsi="宋体" w:eastAsia="宋体" w:cs="宋体"/>
          <w:b/>
          <w:bCs/>
          <w:sz w:val="40"/>
          <w:szCs w:val="40"/>
          <w:lang w:eastAsia="zh-CN"/>
        </w:rPr>
        <w:t>疾控中心</w:t>
      </w:r>
      <w:r>
        <w:rPr>
          <w:rFonts w:hint="eastAsia" w:ascii="宋体" w:hAnsi="宋体" w:eastAsia="宋体" w:cs="宋体"/>
          <w:b/>
          <w:bCs/>
          <w:sz w:val="40"/>
          <w:szCs w:val="40"/>
        </w:rPr>
        <w:t>项目</w:t>
      </w:r>
    </w:p>
    <w:p w14:paraId="04380297">
      <w:pPr>
        <w:keepNext w:val="0"/>
        <w:keepLines w:val="0"/>
        <w:pageBreakBefore w:val="0"/>
        <w:widowControl w:val="0"/>
        <w:kinsoku/>
        <w:wordWrap/>
        <w:overflowPunct/>
        <w:topLinePunct w:val="0"/>
        <w:autoSpaceDE/>
        <w:autoSpaceDN/>
        <w:bidi w:val="0"/>
        <w:adjustRightInd/>
        <w:snapToGrid/>
        <w:spacing w:line="240" w:lineRule="auto"/>
        <w:ind w:firstLine="803" w:firstLineChars="200"/>
        <w:jc w:val="center"/>
        <w:textAlignment w:val="auto"/>
        <w:rPr>
          <w:rFonts w:hint="eastAsia" w:ascii="宋体" w:hAnsi="宋体" w:eastAsia="宋体" w:cs="宋体"/>
          <w:b/>
          <w:bCs/>
          <w:sz w:val="40"/>
          <w:szCs w:val="40"/>
        </w:rPr>
      </w:pPr>
      <w:r>
        <w:rPr>
          <w:rFonts w:hint="eastAsia" w:ascii="宋体" w:hAnsi="宋体" w:eastAsia="宋体" w:cs="宋体"/>
          <w:b/>
          <w:bCs/>
          <w:sz w:val="40"/>
          <w:szCs w:val="40"/>
        </w:rPr>
        <w:t>绩效自评报告</w:t>
      </w:r>
    </w:p>
    <w:p w14:paraId="0672E07E">
      <w:pPr>
        <w:keepNext w:val="0"/>
        <w:keepLines w:val="0"/>
        <w:pageBreakBefore w:val="0"/>
        <w:widowControl w:val="0"/>
        <w:kinsoku/>
        <w:wordWrap/>
        <w:overflowPunct/>
        <w:topLinePunct w:val="0"/>
        <w:autoSpaceDE/>
        <w:autoSpaceDN/>
        <w:bidi w:val="0"/>
        <w:adjustRightInd/>
        <w:snapToGrid/>
        <w:spacing w:line="240" w:lineRule="auto"/>
        <w:ind w:firstLine="562" w:firstLineChars="200"/>
        <w:textAlignment w:val="auto"/>
        <w:rPr>
          <w:rFonts w:hint="eastAsia" w:ascii="宋体" w:hAnsi="宋体" w:eastAsia="宋体" w:cs="宋体"/>
          <w:b/>
          <w:bCs/>
          <w:sz w:val="28"/>
          <w:szCs w:val="28"/>
        </w:rPr>
      </w:pPr>
    </w:p>
    <w:p w14:paraId="45FD692B">
      <w:pPr>
        <w:keepNext w:val="0"/>
        <w:keepLines w:val="0"/>
        <w:pageBreakBefore w:val="0"/>
        <w:widowControl w:val="0"/>
        <w:kinsoku/>
        <w:wordWrap/>
        <w:overflowPunct/>
        <w:topLinePunct w:val="0"/>
        <w:autoSpaceDE/>
        <w:autoSpaceDN/>
        <w:bidi w:val="0"/>
        <w:adjustRightInd/>
        <w:snapToGrid/>
        <w:spacing w:line="240" w:lineRule="auto"/>
        <w:ind w:firstLine="562" w:firstLineChars="200"/>
        <w:textAlignment w:val="auto"/>
        <w:rPr>
          <w:rFonts w:hint="eastAsia" w:ascii="宋体" w:hAnsi="宋体" w:eastAsia="宋体" w:cs="宋体"/>
          <w:sz w:val="28"/>
          <w:szCs w:val="28"/>
        </w:rPr>
      </w:pPr>
      <w:r>
        <w:rPr>
          <w:rFonts w:hint="eastAsia" w:ascii="宋体" w:hAnsi="宋体" w:eastAsia="宋体" w:cs="宋体"/>
          <w:b/>
          <w:bCs/>
          <w:sz w:val="28"/>
          <w:szCs w:val="28"/>
        </w:rPr>
        <w:t>一、项目概况</w:t>
      </w:r>
    </w:p>
    <w:p w14:paraId="560D28CA">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项目内容：包括</w:t>
      </w:r>
      <w:r>
        <w:rPr>
          <w:rFonts w:hint="eastAsia" w:ascii="宋体" w:hAnsi="宋体" w:eastAsia="宋体" w:cs="宋体"/>
          <w:sz w:val="28"/>
          <w:szCs w:val="28"/>
          <w:lang w:val="en-US" w:eastAsia="zh-CN"/>
        </w:rPr>
        <w:t>扩大免疫规划</w:t>
      </w:r>
      <w:r>
        <w:rPr>
          <w:rFonts w:hint="eastAsia" w:ascii="宋体" w:hAnsi="宋体" w:eastAsia="宋体" w:cs="宋体"/>
          <w:sz w:val="28"/>
          <w:szCs w:val="28"/>
        </w:rPr>
        <w:t>、</w:t>
      </w:r>
      <w:r>
        <w:rPr>
          <w:rFonts w:hint="eastAsia" w:ascii="宋体" w:hAnsi="宋体" w:eastAsia="宋体" w:cs="宋体"/>
          <w:sz w:val="28"/>
          <w:szCs w:val="28"/>
          <w:lang w:val="en-US" w:eastAsia="zh-CN"/>
        </w:rPr>
        <w:t>艾滋防防治</w:t>
      </w:r>
      <w:r>
        <w:rPr>
          <w:rFonts w:hint="eastAsia" w:ascii="宋体" w:hAnsi="宋体" w:eastAsia="宋体" w:cs="宋体"/>
          <w:sz w:val="28"/>
          <w:szCs w:val="28"/>
        </w:rPr>
        <w:t>、</w:t>
      </w:r>
      <w:r>
        <w:rPr>
          <w:rFonts w:hint="eastAsia" w:ascii="宋体" w:hAnsi="宋体" w:eastAsia="宋体" w:cs="宋体"/>
          <w:sz w:val="28"/>
          <w:szCs w:val="28"/>
          <w:lang w:val="en-US" w:eastAsia="zh-CN"/>
        </w:rPr>
        <w:t>结核病防治</w:t>
      </w:r>
      <w:r>
        <w:rPr>
          <w:rFonts w:hint="eastAsia" w:ascii="宋体" w:hAnsi="宋体" w:eastAsia="宋体" w:cs="宋体"/>
          <w:sz w:val="28"/>
          <w:szCs w:val="28"/>
        </w:rPr>
        <w:t>、</w:t>
      </w:r>
      <w:r>
        <w:rPr>
          <w:rFonts w:hint="eastAsia" w:ascii="宋体" w:hAnsi="宋体" w:eastAsia="宋体" w:cs="宋体"/>
          <w:sz w:val="28"/>
          <w:szCs w:val="28"/>
          <w:lang w:val="en-US" w:eastAsia="zh-CN"/>
        </w:rPr>
        <w:t>慢病防治、重大传染病与健康危害因素监测</w:t>
      </w:r>
      <w:r>
        <w:rPr>
          <w:rFonts w:hint="eastAsia" w:ascii="宋体" w:hAnsi="宋体" w:eastAsia="宋体" w:cs="宋体"/>
          <w:sz w:val="28"/>
          <w:szCs w:val="28"/>
          <w:lang w:eastAsia="zh-CN"/>
        </w:rPr>
        <w:t>等</w:t>
      </w:r>
      <w:r>
        <w:rPr>
          <w:rFonts w:hint="eastAsia" w:ascii="宋体" w:hAnsi="宋体" w:eastAsia="宋体" w:cs="宋体"/>
          <w:sz w:val="28"/>
          <w:szCs w:val="28"/>
        </w:rPr>
        <w:t>。</w:t>
      </w:r>
    </w:p>
    <w:p w14:paraId="563FBBDA">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深入推进习近平新时代中国特色社会主义思想和十九届历次全会精神及二十大会议精神学习活动，始终坚持党建引领一切，坚持生命至上，以全面抗击新冠疫情之实际行动贯彻落实中央、省、市、县、局等各级重要指示精神，有序推进重点传染病防控、免疫规划、体检监测、职业卫生、基本公卫服务、平安创建、社会综治、扫黑除恶、清廉疾控、创文创卫、安全生产、乡村振兴等各项工作顺利完成。</w:t>
      </w:r>
    </w:p>
    <w:p w14:paraId="74B24DCD">
      <w:pPr>
        <w:keepNext w:val="0"/>
        <w:keepLines w:val="0"/>
        <w:pageBreakBefore w:val="0"/>
        <w:widowControl w:val="0"/>
        <w:kinsoku/>
        <w:wordWrap/>
        <w:overflowPunct/>
        <w:topLinePunct w:val="0"/>
        <w:autoSpaceDE/>
        <w:autoSpaceDN/>
        <w:bidi w:val="0"/>
        <w:adjustRightInd/>
        <w:snapToGrid/>
        <w:spacing w:line="240" w:lineRule="auto"/>
        <w:ind w:firstLine="562" w:firstLineChars="200"/>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二、着力加强党建工作</w:t>
      </w:r>
    </w:p>
    <w:p w14:paraId="0D864009">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县疾控中心和县卫生综合监督执法局顺利整合，按照公平、公正、公开的原则选举投票，成立了县疾控中心总支部委员会，完成第一、第二支部换届选举。</w:t>
      </w:r>
    </w:p>
    <w:p w14:paraId="7C8C03B8">
      <w:pPr>
        <w:keepNext w:val="0"/>
        <w:keepLines w:val="0"/>
        <w:pageBreakBefore w:val="0"/>
        <w:widowControl w:val="0"/>
        <w:kinsoku/>
        <w:wordWrap/>
        <w:overflowPunct/>
        <w:topLinePunct w:val="0"/>
        <w:autoSpaceDE/>
        <w:autoSpaceDN/>
        <w:bidi w:val="0"/>
        <w:adjustRightInd/>
        <w:snapToGrid/>
        <w:spacing w:line="240" w:lineRule="auto"/>
        <w:ind w:firstLine="562" w:firstLineChars="200"/>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三、全力做好新冠疫情防控</w:t>
      </w:r>
    </w:p>
    <w:p w14:paraId="6A31C67B">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流调处置灰山港、桃花江等地阳性人员139人、密接人员3811人、风险场所306处；处置鱼山鱼海公司、申通快递等涉疫事件19起；处理外县涉疫协查信息1591起；新冠病毒核酸检测172455份；所有阳性人员要么是输入性的，要么在流调管控中；部分防控人员全年没有休过假，通宵达旦成为常态，全力以赴维护全县人民群众的健康权益。</w:t>
      </w:r>
    </w:p>
    <w:p w14:paraId="0674D183">
      <w:pPr>
        <w:keepNext w:val="0"/>
        <w:keepLines w:val="0"/>
        <w:pageBreakBefore w:val="0"/>
        <w:widowControl w:val="0"/>
        <w:numPr>
          <w:ilvl w:val="0"/>
          <w:numId w:val="1"/>
        </w:numPr>
        <w:kinsoku/>
        <w:wordWrap/>
        <w:overflowPunct/>
        <w:topLinePunct w:val="0"/>
        <w:autoSpaceDE/>
        <w:autoSpaceDN/>
        <w:bidi w:val="0"/>
        <w:adjustRightInd/>
        <w:snapToGrid/>
        <w:spacing w:line="240" w:lineRule="auto"/>
        <w:ind w:firstLine="562" w:firstLineChars="200"/>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强化重点传染病防控</w:t>
      </w:r>
    </w:p>
    <w:p w14:paraId="130592E4">
      <w:pPr>
        <w:keepNext w:val="0"/>
        <w:keepLines w:val="0"/>
        <w:pageBreakBefore w:val="0"/>
        <w:widowControl w:val="0"/>
        <w:numPr>
          <w:numId w:val="0"/>
        </w:numPr>
        <w:kinsoku/>
        <w:wordWrap/>
        <w:overflowPunct/>
        <w:topLinePunct w:val="0"/>
        <w:autoSpaceDE/>
        <w:autoSpaceDN/>
        <w:bidi w:val="0"/>
        <w:adjustRightInd/>
        <w:snapToGrid/>
        <w:spacing w:line="240" w:lineRule="auto"/>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2022年共报告甲乙丙类传染病2545例（不含新冠病例），报告发病率为371.21/十万，较前年同期（3378例）下降24.66%，无甲类传染病报告。新发现并指导管理肺结核病人372例，处置扬帆等学校肺结核疫情19起。新发现并管理艾滋病病人53例（其中学生8例），寻找失踪艾滋病人12人。调查处置流感、恶性疟疾、手足口、感染性腹泻、水痘等传染病卫生应急事件26起。</w:t>
      </w:r>
    </w:p>
    <w:p w14:paraId="29766BE1">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办好民生实事项目</w:t>
      </w:r>
    </w:p>
    <w:p w14:paraId="3335C15D">
      <w:pPr>
        <w:keepNext w:val="0"/>
        <w:keepLines w:val="0"/>
        <w:pageBreakBefore w:val="0"/>
        <w:widowControl w:val="0"/>
        <w:numPr>
          <w:numId w:val="0"/>
        </w:numPr>
        <w:kinsoku/>
        <w:wordWrap/>
        <w:overflowPunct/>
        <w:topLinePunct w:val="0"/>
        <w:autoSpaceDE/>
        <w:autoSpaceDN/>
        <w:bidi w:val="0"/>
        <w:adjustRightInd/>
        <w:snapToGrid/>
        <w:spacing w:line="240" w:lineRule="auto"/>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进场所、进门店，免费预防性健康体检2.38万人，免费公共场所监测545家，维护公共场所安全；进厂区、进企业，免费职业健康体检2800人，免费为36家企业开展职业病危害因素监测，维护劳动者职业健康；进校园、进敬老院，免费学生肺结核筛查2.62万人，糖尿病老年人患者肺结核筛查15317人，防止结核病在老少群体中传播；进水厂、进学校，免费检测水样1010个，维护生活饮用水安全。</w:t>
      </w:r>
    </w:p>
    <w:p w14:paraId="7340A1CD">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有序开展疫苗接种</w:t>
      </w:r>
    </w:p>
    <w:p w14:paraId="044C4BC5">
      <w:pPr>
        <w:keepNext w:val="0"/>
        <w:keepLines w:val="0"/>
        <w:pageBreakBefore w:val="0"/>
        <w:widowControl w:val="0"/>
        <w:numPr>
          <w:numId w:val="0"/>
        </w:numPr>
        <w:kinsoku/>
        <w:wordWrap/>
        <w:overflowPunct/>
        <w:topLinePunct w:val="0"/>
        <w:autoSpaceDE/>
        <w:autoSpaceDN/>
        <w:bidi w:val="0"/>
        <w:adjustRightInd/>
        <w:snapToGrid/>
        <w:spacing w:line="240" w:lineRule="auto"/>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冷链配送国家免疫规划疫苗8.58万针次，接种8.51万针，调查处置疑似预防接种异常反应43例；指导新冠疫苗接种 24.88万针，调查处置疑似异常反应10例。</w:t>
      </w:r>
    </w:p>
    <w:p w14:paraId="487ED80B">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严格规范公正文明执法</w:t>
      </w:r>
    </w:p>
    <w:p w14:paraId="4CB61E40">
      <w:pPr>
        <w:keepNext w:val="0"/>
        <w:keepLines w:val="0"/>
        <w:pageBreakBefore w:val="0"/>
        <w:widowControl w:val="0"/>
        <w:numPr>
          <w:numId w:val="0"/>
        </w:numPr>
        <w:kinsoku/>
        <w:wordWrap/>
        <w:overflowPunct/>
        <w:topLinePunct w:val="0"/>
        <w:autoSpaceDE/>
        <w:autoSpaceDN/>
        <w:bidi w:val="0"/>
        <w:adjustRightInd/>
        <w:snapToGrid/>
        <w:spacing w:line="240" w:lineRule="auto"/>
        <w:ind w:firstLine="560" w:firstLineChars="20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对533家医疗机构开展预检分诊、发热门诊等卫生监督，强化基层医疗机构“哨点”作用；对321所中小学校及幼儿园开展卫生监督，就问题学校进行约谈，督促整改24家，立案查处21家，罚款39500元，维护师生健康权益；监督巡查184家厂矿企业，立案查处4家，罚款59000元，强化职业卫生监督；立案查处非法行医案件10起，罚款118200元，维护正常医疗秩序。</w:t>
      </w:r>
    </w:p>
    <w:p w14:paraId="26999F0E">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着力加强基本公卫服务项目指导</w:t>
      </w:r>
    </w:p>
    <w:p w14:paraId="35E79176">
      <w:pPr>
        <w:keepNext w:val="0"/>
        <w:keepLines w:val="0"/>
        <w:pageBreakBefore w:val="0"/>
        <w:widowControl w:val="0"/>
        <w:numPr>
          <w:numId w:val="0"/>
        </w:numPr>
        <w:kinsoku/>
        <w:wordWrap/>
        <w:overflowPunct/>
        <w:topLinePunct w:val="0"/>
        <w:autoSpaceDE/>
        <w:autoSpaceDN/>
        <w:bidi w:val="0"/>
        <w:adjustRightInd/>
        <w:snapToGrid/>
        <w:spacing w:line="240" w:lineRule="auto"/>
        <w:ind w:firstLine="560" w:firstLineChars="200"/>
        <w:textAlignment w:val="auto"/>
        <w:rPr>
          <w:rFonts w:hint="eastAsia" w:ascii="宋体" w:hAnsi="宋体" w:eastAsia="宋体" w:cs="宋体"/>
          <w:sz w:val="28"/>
          <w:szCs w:val="28"/>
          <w:lang w:val="en-US" w:eastAsia="zh-CN"/>
        </w:rPr>
      </w:pPr>
      <w:bookmarkStart w:id="0" w:name="_GoBack"/>
      <w:bookmarkEnd w:id="0"/>
      <w:r>
        <w:rPr>
          <w:rFonts w:hint="eastAsia" w:ascii="宋体" w:hAnsi="宋体" w:eastAsia="宋体" w:cs="宋体"/>
          <w:sz w:val="28"/>
          <w:szCs w:val="28"/>
          <w:lang w:val="en-US" w:eastAsia="zh-CN"/>
        </w:rPr>
        <w:t>每季度精细化制订十项基本公卫服务项目考核细则；一对一面授培训乡镇公卫专干；下乡参加公卫考核督查，公平公正打分数。</w:t>
      </w:r>
    </w:p>
    <w:p w14:paraId="11D38B7A">
      <w:pPr>
        <w:keepNext w:val="0"/>
        <w:keepLines w:val="0"/>
        <w:pageBreakBefore w:val="0"/>
        <w:widowControl w:val="0"/>
        <w:kinsoku/>
        <w:wordWrap/>
        <w:overflowPunct/>
        <w:topLinePunct w:val="0"/>
        <w:autoSpaceDE/>
        <w:autoSpaceDN/>
        <w:bidi w:val="0"/>
        <w:adjustRightInd/>
        <w:snapToGrid/>
        <w:spacing w:line="240" w:lineRule="auto"/>
        <w:ind w:firstLine="560" w:firstLineChars="200"/>
        <w:textAlignment w:val="auto"/>
        <w:rPr>
          <w:rFonts w:hint="eastAsia" w:ascii="宋体" w:hAnsi="宋体" w:eastAsia="宋体" w:cs="宋体"/>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仿宋简体">
    <w:altName w:val="微软雅黑"/>
    <w:panose1 w:val="00000000000000000000"/>
    <w:charset w:val="86"/>
    <w:family w:val="auto"/>
    <w:pitch w:val="default"/>
    <w:sig w:usb0="00000000" w:usb1="0000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9BC877F"/>
    <w:multiLevelType w:val="singleLevel"/>
    <w:tmpl w:val="69BC877F"/>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YzNDVjMzI2OTdkM2E0NzgyMTNjODc1NjFiNWJhNjQifQ=="/>
  </w:docVars>
  <w:rsids>
    <w:rsidRoot w:val="21EE3C47"/>
    <w:rsid w:val="21EE3C47"/>
    <w:rsid w:val="4ABE75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Heading4"/>
    <w:basedOn w:val="1"/>
    <w:next w:val="1"/>
    <w:qFormat/>
    <w:uiPriority w:val="99"/>
    <w:pPr>
      <w:spacing w:line="360" w:lineRule="auto"/>
      <w:ind w:left="198"/>
    </w:pPr>
    <w:rPr>
      <w:rFonts w:ascii="Arial" w:hAnsi="Arial"/>
      <w:bCs/>
      <w:sz w:val="24"/>
      <w:szCs w:val="21"/>
    </w:rPr>
  </w:style>
  <w:style w:type="paragraph" w:styleId="3">
    <w:name w:val="toc 1"/>
    <w:basedOn w:val="1"/>
    <w:next w:val="1"/>
    <w:qFormat/>
    <w:uiPriority w:val="99"/>
    <w:rPr>
      <w:rFonts w:ascii="方正仿宋简体" w:eastAsia="方正仿宋简体"/>
    </w:rPr>
  </w:style>
  <w:style w:type="paragraph" w:styleId="6">
    <w:name w:val="List Paragraph"/>
    <w:basedOn w:val="1"/>
    <w:autoRedefine/>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1142</Words>
  <Characters>1240</Characters>
  <Lines>0</Lines>
  <Paragraphs>0</Paragraphs>
  <TotalTime>5</TotalTime>
  <ScaleCrop>false</ScaleCrop>
  <LinksUpToDate>false</LinksUpToDate>
  <CharactersWithSpaces>1242</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2024-09-14T03:15:00Z</dcterms:created>
  <dc:creator>Administrator</dc:creator>
  <cp:lastModifiedBy>刘青  18073790550</cp:lastModifiedBy>
  <dcterms:modified xsi:type="dcterms:W3CDTF">2024-09-23T02:09:32Z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FC36DFE8B16B4B60A4F52D13C7EB4F38_13</vt:lpwstr>
  </property>
</Properties>
</file>