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D962">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6088BFE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附件</w:t>
      </w:r>
    </w:p>
    <w:p w14:paraId="1140F0CB">
      <w:pPr>
        <w:jc w:val="left"/>
        <w:rPr>
          <w:rFonts w:hint="eastAsia" w:ascii="方正小标宋简体" w:eastAsia="方正小标宋简体"/>
          <w:sz w:val="28"/>
          <w:szCs w:val="28"/>
          <w:lang w:val="en-US" w:eastAsia="zh-CN"/>
        </w:rPr>
      </w:pPr>
    </w:p>
    <w:p w14:paraId="21746FBD">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中共桃江县委机构编制委员会办公室</w:t>
      </w:r>
    </w:p>
    <w:p w14:paraId="0B946B19">
      <w:pPr>
        <w:jc w:val="center"/>
        <w:rPr>
          <w:rFonts w:ascii="方正小标宋简体" w:eastAsia="方正小标宋简体"/>
          <w:sz w:val="44"/>
          <w:szCs w:val="44"/>
        </w:rPr>
      </w:pPr>
      <w:r>
        <w:rPr>
          <w:rFonts w:hint="eastAsia" w:ascii="方正小标宋简体" w:eastAsia="方正小标宋简体"/>
          <w:sz w:val="44"/>
          <w:szCs w:val="44"/>
          <w:lang w:val="en-US" w:eastAsia="zh-CN"/>
        </w:rPr>
        <w:t>2022</w:t>
      </w:r>
      <w:r>
        <w:rPr>
          <w:rFonts w:hint="eastAsia" w:ascii="方正小标宋简体" w:eastAsia="方正小标宋简体"/>
          <w:sz w:val="44"/>
          <w:szCs w:val="44"/>
        </w:rPr>
        <w:t>年度部门整体支出绩效评价报告</w:t>
      </w:r>
    </w:p>
    <w:p w14:paraId="41ABED29">
      <w:pPr>
        <w:ind w:firstLine="560" w:firstLineChars="200"/>
        <w:rPr>
          <w:rFonts w:ascii="仿宋_GB2312" w:eastAsia="仿宋_GB2312"/>
          <w:sz w:val="28"/>
          <w:szCs w:val="28"/>
        </w:rPr>
      </w:pPr>
    </w:p>
    <w:p w14:paraId="230C3324">
      <w:pPr>
        <w:ind w:firstLine="560" w:firstLineChars="200"/>
        <w:rPr>
          <w:rFonts w:ascii="仿宋_GB2312" w:eastAsia="仿宋_GB2312"/>
          <w:sz w:val="28"/>
          <w:szCs w:val="28"/>
        </w:rPr>
      </w:pPr>
      <w:r>
        <w:rPr>
          <w:rFonts w:hint="eastAsia" w:ascii="仿宋_GB2312" w:eastAsia="仿宋_GB2312"/>
          <w:sz w:val="28"/>
          <w:szCs w:val="28"/>
        </w:rPr>
        <w:t>为加强财政预算资金管理，进一步规范预算资金使用，提高财政资金使用效益，我</w:t>
      </w:r>
      <w:r>
        <w:rPr>
          <w:rFonts w:hint="eastAsia" w:ascii="仿宋_GB2312" w:eastAsia="仿宋_GB2312"/>
          <w:sz w:val="28"/>
          <w:szCs w:val="28"/>
          <w:lang w:eastAsia="zh-CN"/>
        </w:rPr>
        <w:t>办</w:t>
      </w:r>
      <w:r>
        <w:rPr>
          <w:rFonts w:hint="eastAsia" w:ascii="仿宋_GB2312" w:eastAsia="仿宋_GB2312"/>
          <w:sz w:val="28"/>
          <w:szCs w:val="28"/>
        </w:rPr>
        <w:t>积极组织，对</w:t>
      </w:r>
      <w:r>
        <w:rPr>
          <w:rFonts w:hint="eastAsia" w:ascii="仿宋_GB2312" w:eastAsia="仿宋_GB2312"/>
          <w:sz w:val="28"/>
          <w:szCs w:val="28"/>
          <w:lang w:val="en-US" w:eastAsia="zh-CN"/>
        </w:rPr>
        <w:t>2022</w:t>
      </w:r>
      <w:r>
        <w:rPr>
          <w:rFonts w:hint="eastAsia" w:ascii="仿宋_GB2312" w:eastAsia="仿宋_GB2312"/>
          <w:sz w:val="28"/>
          <w:szCs w:val="28"/>
        </w:rPr>
        <w:t>年度本单位整体支出进行了绩效自评，形成本绩效评价报告。</w:t>
      </w:r>
    </w:p>
    <w:p w14:paraId="04E3137D">
      <w:pPr>
        <w:ind w:firstLine="560" w:firstLineChars="200"/>
        <w:rPr>
          <w:rFonts w:ascii="黑体" w:hAnsi="黑体" w:eastAsia="黑体"/>
          <w:sz w:val="28"/>
          <w:szCs w:val="28"/>
        </w:rPr>
      </w:pPr>
      <w:r>
        <w:rPr>
          <w:rFonts w:hint="eastAsia" w:ascii="黑体" w:hAnsi="黑体" w:eastAsia="黑体"/>
          <w:sz w:val="28"/>
          <w:szCs w:val="28"/>
        </w:rPr>
        <w:t>一、基本情况　　</w:t>
      </w:r>
    </w:p>
    <w:p w14:paraId="1F599DD4">
      <w:pPr>
        <w:ind w:firstLine="560" w:firstLineChars="200"/>
        <w:rPr>
          <w:rFonts w:ascii="仿宋_GB2312" w:eastAsia="仿宋_GB2312"/>
          <w:sz w:val="28"/>
          <w:szCs w:val="28"/>
        </w:rPr>
      </w:pPr>
      <w:r>
        <w:rPr>
          <w:rFonts w:hint="eastAsia" w:ascii="仿宋_GB2312" w:eastAsia="仿宋_GB2312"/>
          <w:sz w:val="28"/>
          <w:szCs w:val="28"/>
          <w:lang w:eastAsia="zh-CN"/>
        </w:rPr>
        <w:t>中共桃江县委机构编制委员会办公室</w:t>
      </w:r>
      <w:r>
        <w:rPr>
          <w:rFonts w:hint="eastAsia" w:ascii="仿宋_GB2312" w:eastAsia="仿宋_GB2312"/>
          <w:sz w:val="28"/>
          <w:szCs w:val="28"/>
        </w:rPr>
        <w:t>是县</w:t>
      </w:r>
      <w:r>
        <w:rPr>
          <w:rFonts w:hint="eastAsia" w:ascii="仿宋_GB2312" w:eastAsia="仿宋_GB2312"/>
          <w:sz w:val="28"/>
          <w:szCs w:val="28"/>
          <w:lang w:eastAsia="zh-CN"/>
        </w:rPr>
        <w:t>委</w:t>
      </w:r>
      <w:r>
        <w:rPr>
          <w:rFonts w:hint="eastAsia" w:ascii="仿宋_GB2312" w:eastAsia="仿宋_GB2312"/>
          <w:sz w:val="28"/>
          <w:szCs w:val="28"/>
        </w:rPr>
        <w:t>部门。主要职责是贯彻执行党和国家关于行政管理体制、机构改革以及机构编制工作的法律法规和政策；研究拟订全县机构编制管理的政策规定；统一管理党政群机关、乡镇机关和事业单位的机构编制工作。</w:t>
      </w:r>
    </w:p>
    <w:p w14:paraId="2A5A6BA4">
      <w:pPr>
        <w:ind w:firstLine="560" w:firstLineChars="200"/>
        <w:rPr>
          <w:rFonts w:ascii="仿宋_GB2312" w:eastAsia="仿宋_GB2312"/>
          <w:sz w:val="28"/>
          <w:szCs w:val="28"/>
        </w:rPr>
      </w:pPr>
      <w:r>
        <w:rPr>
          <w:rFonts w:hint="eastAsia" w:ascii="仿宋_GB2312" w:eastAsia="仿宋_GB2312"/>
          <w:sz w:val="28"/>
          <w:szCs w:val="28"/>
          <w:lang w:val="en-US" w:eastAsia="zh-CN"/>
        </w:rPr>
        <w:t>2022</w:t>
      </w:r>
      <w:r>
        <w:rPr>
          <w:rFonts w:hint="eastAsia" w:ascii="仿宋_GB2312" w:eastAsia="仿宋_GB2312"/>
          <w:sz w:val="28"/>
          <w:szCs w:val="28"/>
        </w:rPr>
        <w:t>年我</w:t>
      </w:r>
      <w:r>
        <w:rPr>
          <w:rFonts w:hint="eastAsia" w:ascii="仿宋_GB2312" w:eastAsia="仿宋_GB2312"/>
          <w:sz w:val="28"/>
          <w:szCs w:val="28"/>
          <w:lang w:eastAsia="zh-CN"/>
        </w:rPr>
        <w:t>办</w:t>
      </w:r>
      <w:r>
        <w:rPr>
          <w:rFonts w:hint="eastAsia" w:ascii="仿宋_GB2312" w:eastAsia="仿宋_GB2312"/>
          <w:sz w:val="28"/>
          <w:szCs w:val="28"/>
        </w:rPr>
        <w:t>机关本级内设</w:t>
      </w:r>
      <w:r>
        <w:rPr>
          <w:rFonts w:hint="eastAsia" w:ascii="仿宋_GB2312" w:eastAsia="仿宋_GB2312"/>
          <w:sz w:val="28"/>
          <w:szCs w:val="28"/>
          <w:lang w:eastAsia="zh-CN"/>
        </w:rPr>
        <w:t>股</w:t>
      </w:r>
      <w:r>
        <w:rPr>
          <w:rFonts w:hint="eastAsia" w:ascii="仿宋_GB2312" w:eastAsia="仿宋_GB2312"/>
          <w:sz w:val="28"/>
          <w:szCs w:val="28"/>
        </w:rPr>
        <w:t>室</w:t>
      </w:r>
      <w:r>
        <w:rPr>
          <w:rFonts w:hint="eastAsia" w:ascii="仿宋_GB2312" w:eastAsia="仿宋_GB2312"/>
          <w:sz w:val="28"/>
          <w:szCs w:val="28"/>
          <w:lang w:val="en-US" w:eastAsia="zh-CN"/>
        </w:rPr>
        <w:t>6</w:t>
      </w:r>
      <w:r>
        <w:rPr>
          <w:rFonts w:hint="eastAsia" w:ascii="仿宋_GB2312" w:eastAsia="仿宋_GB2312"/>
          <w:sz w:val="28"/>
          <w:szCs w:val="28"/>
        </w:rPr>
        <w:t>个，行政在职人员编制</w:t>
      </w:r>
      <w:r>
        <w:rPr>
          <w:rFonts w:hint="eastAsia" w:ascii="仿宋_GB2312" w:eastAsia="仿宋_GB2312"/>
          <w:sz w:val="28"/>
          <w:szCs w:val="28"/>
          <w:lang w:val="en-US" w:eastAsia="zh-CN"/>
        </w:rPr>
        <w:t>9</w:t>
      </w:r>
      <w:r>
        <w:rPr>
          <w:rFonts w:hint="eastAsia" w:ascii="仿宋_GB2312" w:eastAsia="仿宋_GB2312"/>
          <w:sz w:val="28"/>
          <w:szCs w:val="28"/>
        </w:rPr>
        <w:t>名</w:t>
      </w:r>
      <w:r>
        <w:rPr>
          <w:rFonts w:hint="eastAsia" w:ascii="仿宋_GB2312" w:eastAsia="仿宋_GB2312"/>
          <w:sz w:val="28"/>
          <w:szCs w:val="28"/>
          <w:lang w:eastAsia="zh-CN"/>
        </w:rPr>
        <w:t>，</w:t>
      </w:r>
      <w:r>
        <w:rPr>
          <w:rFonts w:hint="eastAsia" w:ascii="仿宋_GB2312" w:eastAsia="仿宋_GB2312"/>
          <w:sz w:val="28"/>
          <w:szCs w:val="28"/>
          <w:lang w:val="en-US" w:eastAsia="zh-CN"/>
        </w:rPr>
        <w:t>事业在编人员3名</w:t>
      </w:r>
      <w:r>
        <w:rPr>
          <w:rFonts w:hint="eastAsia" w:ascii="仿宋_GB2312" w:eastAsia="仿宋_GB2312"/>
          <w:sz w:val="28"/>
          <w:szCs w:val="28"/>
        </w:rPr>
        <w:t>，离退休人员</w:t>
      </w:r>
      <w:r>
        <w:rPr>
          <w:rFonts w:hint="eastAsia" w:ascii="仿宋_GB2312" w:eastAsia="仿宋_GB2312"/>
          <w:sz w:val="28"/>
          <w:szCs w:val="28"/>
          <w:lang w:val="en-US" w:eastAsia="zh-CN"/>
        </w:rPr>
        <w:t>4</w:t>
      </w:r>
      <w:r>
        <w:rPr>
          <w:rFonts w:hint="eastAsia" w:ascii="仿宋_GB2312" w:eastAsia="仿宋_GB2312"/>
          <w:sz w:val="28"/>
          <w:szCs w:val="28"/>
        </w:rPr>
        <w:t>人。</w:t>
      </w:r>
    </w:p>
    <w:p w14:paraId="761930F8">
      <w:pPr>
        <w:ind w:firstLine="560" w:firstLineChars="200"/>
        <w:rPr>
          <w:rFonts w:hint="eastAsia" w:ascii="仿宋_GB2312" w:eastAsia="仿宋_GB2312"/>
          <w:sz w:val="28"/>
          <w:szCs w:val="28"/>
          <w:lang w:eastAsia="zh-CN"/>
        </w:rPr>
      </w:pPr>
      <w:r>
        <w:rPr>
          <w:rFonts w:ascii="仿宋_GB2312" w:eastAsia="仿宋_GB2312"/>
          <w:sz w:val="28"/>
          <w:szCs w:val="28"/>
        </w:rPr>
        <w:t>我</w:t>
      </w:r>
      <w:r>
        <w:rPr>
          <w:rFonts w:hint="eastAsia" w:ascii="仿宋_GB2312" w:eastAsia="仿宋_GB2312"/>
          <w:sz w:val="28"/>
          <w:szCs w:val="28"/>
          <w:lang w:eastAsia="zh-CN"/>
        </w:rPr>
        <w:t>办</w:t>
      </w:r>
      <w:r>
        <w:rPr>
          <w:rFonts w:ascii="仿宋_GB2312" w:eastAsia="仿宋_GB2312"/>
          <w:sz w:val="28"/>
          <w:szCs w:val="28"/>
        </w:rPr>
        <w:t>所属二级机构共</w:t>
      </w:r>
      <w:r>
        <w:rPr>
          <w:rFonts w:hint="eastAsia" w:ascii="仿宋_GB2312" w:eastAsia="仿宋_GB2312"/>
          <w:sz w:val="28"/>
          <w:szCs w:val="28"/>
          <w:lang w:val="en-US" w:eastAsia="zh-CN"/>
        </w:rPr>
        <w:t>1</w:t>
      </w:r>
      <w:r>
        <w:rPr>
          <w:rFonts w:ascii="仿宋_GB2312" w:eastAsia="仿宋_GB2312"/>
          <w:sz w:val="28"/>
          <w:szCs w:val="28"/>
        </w:rPr>
        <w:t>个，县</w:t>
      </w:r>
      <w:r>
        <w:rPr>
          <w:rFonts w:hint="eastAsia" w:ascii="仿宋_GB2312" w:eastAsia="仿宋_GB2312"/>
          <w:sz w:val="28"/>
          <w:szCs w:val="28"/>
          <w:lang w:eastAsia="zh-CN"/>
        </w:rPr>
        <w:t>机构编制</w:t>
      </w:r>
      <w:r>
        <w:rPr>
          <w:rFonts w:ascii="仿宋_GB2312" w:eastAsia="仿宋_GB2312"/>
          <w:sz w:val="28"/>
          <w:szCs w:val="28"/>
        </w:rPr>
        <w:t>事务中心全额拨款事业人员编制</w:t>
      </w:r>
      <w:r>
        <w:rPr>
          <w:rFonts w:hint="eastAsia" w:ascii="仿宋_GB2312" w:eastAsia="仿宋_GB2312"/>
          <w:sz w:val="28"/>
          <w:szCs w:val="28"/>
          <w:lang w:val="en-US" w:eastAsia="zh-CN"/>
        </w:rPr>
        <w:t>3</w:t>
      </w:r>
      <w:r>
        <w:rPr>
          <w:rFonts w:ascii="仿宋_GB2312" w:eastAsia="仿宋_GB2312"/>
          <w:sz w:val="28"/>
          <w:szCs w:val="28"/>
        </w:rPr>
        <w:t>名，年末在职实有人数</w:t>
      </w:r>
      <w:r>
        <w:rPr>
          <w:rFonts w:hint="eastAsia" w:ascii="仿宋_GB2312" w:eastAsia="仿宋_GB2312"/>
          <w:sz w:val="28"/>
          <w:szCs w:val="28"/>
          <w:lang w:val="en-US" w:eastAsia="zh-CN"/>
        </w:rPr>
        <w:t>3</w:t>
      </w:r>
      <w:r>
        <w:rPr>
          <w:rFonts w:ascii="仿宋_GB2312" w:eastAsia="仿宋_GB2312"/>
          <w:sz w:val="28"/>
          <w:szCs w:val="28"/>
        </w:rPr>
        <w:t>人</w:t>
      </w:r>
      <w:r>
        <w:rPr>
          <w:rFonts w:hint="eastAsia" w:ascii="仿宋_GB2312" w:eastAsia="仿宋_GB2312"/>
          <w:sz w:val="28"/>
          <w:szCs w:val="28"/>
          <w:lang w:eastAsia="zh-CN"/>
        </w:rPr>
        <w:t>。</w:t>
      </w:r>
    </w:p>
    <w:p w14:paraId="4376C7DE">
      <w:pPr>
        <w:ind w:firstLine="560" w:firstLineChars="200"/>
        <w:rPr>
          <w:rFonts w:ascii="黑体" w:hAnsi="黑体" w:eastAsia="黑体"/>
          <w:sz w:val="28"/>
          <w:szCs w:val="28"/>
        </w:rPr>
      </w:pPr>
      <w:r>
        <w:rPr>
          <w:rFonts w:hint="eastAsia" w:ascii="黑体" w:hAnsi="黑体" w:eastAsia="黑体"/>
          <w:sz w:val="28"/>
          <w:szCs w:val="28"/>
        </w:rPr>
        <w:t>二、部门整体支出情况</w:t>
      </w:r>
    </w:p>
    <w:p w14:paraId="6CDE26CE">
      <w:pPr>
        <w:ind w:firstLine="562" w:firstLineChars="200"/>
        <w:rPr>
          <w:rFonts w:ascii="仿宋_GB2312" w:eastAsia="仿宋_GB2312"/>
          <w:b/>
          <w:bCs/>
          <w:sz w:val="28"/>
          <w:szCs w:val="28"/>
        </w:rPr>
      </w:pPr>
      <w:r>
        <w:rPr>
          <w:rFonts w:hint="eastAsia" w:ascii="仿宋_GB2312" w:eastAsia="仿宋_GB2312"/>
          <w:b/>
          <w:bCs/>
          <w:sz w:val="28"/>
          <w:szCs w:val="28"/>
        </w:rPr>
        <w:t>1、基本支出</w:t>
      </w:r>
    </w:p>
    <w:p w14:paraId="007442F3">
      <w:pPr>
        <w:ind w:firstLine="560" w:firstLineChars="200"/>
        <w:rPr>
          <w:rFonts w:ascii="仿宋_GB2312" w:eastAsia="仿宋_GB2312"/>
          <w:sz w:val="28"/>
          <w:szCs w:val="28"/>
        </w:rPr>
      </w:pPr>
      <w:r>
        <w:rPr>
          <w:rFonts w:hint="eastAsia" w:ascii="仿宋_GB2312" w:eastAsia="仿宋_GB2312"/>
          <w:sz w:val="28"/>
          <w:szCs w:val="28"/>
        </w:rPr>
        <w:t>基本支出</w:t>
      </w:r>
      <w:r>
        <w:rPr>
          <w:rFonts w:hint="eastAsia" w:ascii="仿宋_GB2312" w:eastAsia="仿宋_GB2312"/>
          <w:sz w:val="28"/>
          <w:szCs w:val="28"/>
          <w:lang w:val="en-US" w:eastAsia="zh-CN"/>
        </w:rPr>
        <w:t>219.08</w:t>
      </w:r>
      <w:r>
        <w:rPr>
          <w:rFonts w:hint="eastAsia" w:ascii="仿宋_GB2312" w:eastAsia="仿宋_GB2312"/>
          <w:sz w:val="28"/>
          <w:szCs w:val="28"/>
        </w:rPr>
        <w:t>万元，其中人员经费支出</w:t>
      </w:r>
      <w:r>
        <w:rPr>
          <w:rFonts w:hint="eastAsia" w:ascii="仿宋_GB2312" w:eastAsia="仿宋_GB2312"/>
          <w:sz w:val="28"/>
          <w:szCs w:val="28"/>
          <w:lang w:val="en-US" w:eastAsia="zh-CN"/>
        </w:rPr>
        <w:t>145.34</w:t>
      </w:r>
      <w:r>
        <w:rPr>
          <w:rFonts w:hint="eastAsia" w:ascii="仿宋_GB2312" w:eastAsia="仿宋_GB2312"/>
          <w:sz w:val="28"/>
          <w:szCs w:val="28"/>
        </w:rPr>
        <w:t>万元；日常公用经费</w:t>
      </w:r>
      <w:r>
        <w:rPr>
          <w:rFonts w:hint="eastAsia" w:ascii="仿宋_GB2312" w:eastAsia="仿宋_GB2312"/>
          <w:sz w:val="28"/>
          <w:szCs w:val="28"/>
          <w:lang w:val="en-US" w:eastAsia="zh-CN"/>
        </w:rPr>
        <w:t>73.74</w:t>
      </w:r>
      <w:r>
        <w:rPr>
          <w:rFonts w:hint="eastAsia" w:ascii="仿宋_GB2312" w:eastAsia="仿宋_GB2312"/>
          <w:sz w:val="28"/>
          <w:szCs w:val="28"/>
        </w:rPr>
        <w:t>万元，主要包括办公费、水电费、人员培训学习费、差旅费、会议费和办公设备购置费等机关运行经费。</w:t>
      </w:r>
    </w:p>
    <w:p w14:paraId="7737FF09">
      <w:pPr>
        <w:ind w:firstLine="562" w:firstLineChars="200"/>
        <w:rPr>
          <w:rFonts w:ascii="仿宋_GB2312" w:eastAsia="仿宋_GB2312"/>
          <w:b/>
          <w:bCs/>
          <w:sz w:val="28"/>
          <w:szCs w:val="28"/>
        </w:rPr>
      </w:pPr>
      <w:r>
        <w:rPr>
          <w:rFonts w:hint="eastAsia" w:ascii="仿宋_GB2312" w:eastAsia="仿宋_GB2312"/>
          <w:b/>
          <w:bCs/>
          <w:sz w:val="28"/>
          <w:szCs w:val="28"/>
        </w:rPr>
        <w:t>2、项目支出</w:t>
      </w:r>
    </w:p>
    <w:p w14:paraId="04824039">
      <w:pPr>
        <w:ind w:firstLine="560" w:firstLineChars="200"/>
        <w:rPr>
          <w:rFonts w:ascii="仿宋_GB2312" w:eastAsia="仿宋_GB2312"/>
          <w:sz w:val="28"/>
          <w:szCs w:val="28"/>
        </w:rPr>
      </w:pPr>
      <w:r>
        <w:rPr>
          <w:rFonts w:hint="eastAsia" w:ascii="仿宋_GB2312" w:eastAsia="仿宋_GB2312"/>
          <w:sz w:val="28"/>
          <w:szCs w:val="28"/>
        </w:rPr>
        <w:t>项目支出</w:t>
      </w:r>
      <w:r>
        <w:rPr>
          <w:rFonts w:hint="eastAsia" w:ascii="仿宋_GB2312" w:eastAsia="仿宋_GB2312"/>
          <w:sz w:val="28"/>
          <w:szCs w:val="28"/>
          <w:lang w:val="en-US" w:eastAsia="zh-CN"/>
        </w:rPr>
        <w:t>15.99</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其中其他商品和服务支出</w:t>
      </w:r>
      <w:r>
        <w:rPr>
          <w:rFonts w:hint="eastAsia" w:ascii="仿宋_GB2312" w:eastAsia="仿宋_GB2312"/>
          <w:sz w:val="28"/>
          <w:szCs w:val="28"/>
          <w:lang w:val="en-US" w:eastAsia="zh-CN"/>
        </w:rPr>
        <w:t>15.99</w:t>
      </w:r>
      <w:r>
        <w:rPr>
          <w:rFonts w:hint="eastAsia" w:ascii="仿宋_GB2312" w:eastAsia="仿宋_GB2312"/>
          <w:sz w:val="28"/>
          <w:szCs w:val="28"/>
          <w:lang w:val="en-US" w:eastAsia="zh-CN"/>
        </w:rPr>
        <w:t>万元=</w:t>
      </w:r>
      <w:r>
        <w:rPr>
          <w:rFonts w:hint="eastAsia" w:ascii="仿宋_GB2312" w:eastAsia="仿宋_GB2312"/>
          <w:sz w:val="28"/>
          <w:szCs w:val="28"/>
        </w:rPr>
        <w:t>。我</w:t>
      </w:r>
      <w:r>
        <w:rPr>
          <w:rFonts w:hint="eastAsia" w:ascii="仿宋_GB2312" w:eastAsia="仿宋_GB2312"/>
          <w:sz w:val="28"/>
          <w:szCs w:val="28"/>
          <w:lang w:eastAsia="zh-CN"/>
        </w:rPr>
        <w:t>办</w:t>
      </w:r>
      <w:r>
        <w:rPr>
          <w:rFonts w:hint="eastAsia" w:ascii="仿宋_GB2312" w:eastAsia="仿宋_GB2312"/>
          <w:sz w:val="28"/>
          <w:szCs w:val="28"/>
        </w:rPr>
        <w:t>严格按照财经规定，贯彻执行“收支两条线”管理制度，做到专款专用，确保了资金支出的真实性、安全性和合理性。</w:t>
      </w:r>
    </w:p>
    <w:p w14:paraId="1F22A974">
      <w:pPr>
        <w:ind w:firstLine="560" w:firstLineChars="200"/>
        <w:rPr>
          <w:rFonts w:ascii="黑体" w:hAnsi="黑体" w:eastAsia="黑体"/>
          <w:sz w:val="28"/>
          <w:szCs w:val="28"/>
        </w:rPr>
      </w:pPr>
      <w:r>
        <w:rPr>
          <w:rFonts w:hint="eastAsia" w:ascii="黑体" w:hAnsi="黑体" w:eastAsia="黑体"/>
          <w:sz w:val="28"/>
          <w:szCs w:val="28"/>
        </w:rPr>
        <w:t>三、部门整体支出绩效情况</w:t>
      </w:r>
    </w:p>
    <w:p w14:paraId="2F3BDE20">
      <w:pPr>
        <w:ind w:firstLine="560" w:firstLineChars="200"/>
        <w:rPr>
          <w:rFonts w:ascii="仿宋_GB2312" w:eastAsia="仿宋_GB2312"/>
          <w:sz w:val="28"/>
          <w:szCs w:val="28"/>
        </w:rPr>
      </w:pPr>
      <w:r>
        <w:rPr>
          <w:rFonts w:hint="eastAsia" w:ascii="仿宋_GB2312" w:eastAsia="仿宋_GB2312"/>
          <w:sz w:val="28"/>
          <w:szCs w:val="28"/>
          <w:lang w:val="en-US" w:eastAsia="zh-CN"/>
        </w:rPr>
        <w:t>2022年，桃江县委编办在县委、县政府的正确领导和市委编办的具体指导下，按照省、市委编办机构编制管理工作的总体部署和要求，紧紧围绕年初制定的各项工作目标，强化机构编制管理，狠抓落实，努力工作，不断创新，较好的完成了全年的各项工作任务。</w:t>
      </w:r>
      <w:r>
        <w:rPr>
          <w:rFonts w:hint="eastAsia" w:ascii="仿宋_GB2312" w:eastAsia="仿宋_GB2312"/>
          <w:sz w:val="28"/>
          <w:szCs w:val="28"/>
        </w:rPr>
        <w:t>在财政预算资金管理上，我们根据年初工作规划和重点性工作，积极履职，强化管理，通过加强预算收支的管理，不断建立健全内部管理制度，梳理内部管理流程，部门整体支出管理情况得到了提升。</w:t>
      </w:r>
    </w:p>
    <w:p w14:paraId="2333715D">
      <w:pPr>
        <w:ind w:firstLine="562" w:firstLineChars="200"/>
        <w:rPr>
          <w:rFonts w:ascii="仿宋_GB2312" w:eastAsia="仿宋_GB2312"/>
          <w:b/>
          <w:bCs/>
          <w:sz w:val="28"/>
          <w:szCs w:val="28"/>
        </w:rPr>
      </w:pPr>
      <w:r>
        <w:rPr>
          <w:rFonts w:hint="eastAsia" w:ascii="仿宋_GB2312" w:eastAsia="仿宋_GB2312"/>
          <w:b/>
          <w:bCs/>
          <w:sz w:val="28"/>
          <w:szCs w:val="28"/>
        </w:rPr>
        <w:t>（一）经济性评价</w:t>
      </w:r>
    </w:p>
    <w:p w14:paraId="4194A24F">
      <w:pPr>
        <w:ind w:firstLine="560" w:firstLineChars="200"/>
        <w:rPr>
          <w:rFonts w:ascii="仿宋_GB2312" w:eastAsia="仿宋_GB2312"/>
          <w:sz w:val="28"/>
          <w:szCs w:val="28"/>
        </w:rPr>
      </w:pPr>
      <w:r>
        <w:rPr>
          <w:rFonts w:hint="eastAsia" w:ascii="仿宋_GB2312" w:eastAsia="仿宋_GB2312"/>
          <w:sz w:val="28"/>
          <w:szCs w:val="28"/>
        </w:rPr>
        <w:t>1、预算配置情况。我</w:t>
      </w:r>
      <w:r>
        <w:rPr>
          <w:rFonts w:hint="eastAsia" w:ascii="仿宋_GB2312" w:eastAsia="仿宋_GB2312"/>
          <w:sz w:val="28"/>
          <w:szCs w:val="28"/>
          <w:lang w:eastAsia="zh-CN"/>
        </w:rPr>
        <w:t>办</w:t>
      </w:r>
      <w:r>
        <w:rPr>
          <w:rFonts w:hint="eastAsia" w:ascii="仿宋_GB2312" w:eastAsia="仿宋_GB2312"/>
          <w:sz w:val="28"/>
          <w:szCs w:val="28"/>
          <w:lang w:val="en-US" w:eastAsia="zh-CN"/>
        </w:rPr>
        <w:t>2022</w:t>
      </w:r>
      <w:r>
        <w:rPr>
          <w:rFonts w:hint="eastAsia" w:ascii="仿宋_GB2312" w:eastAsia="仿宋_GB2312"/>
          <w:sz w:val="28"/>
          <w:szCs w:val="28"/>
        </w:rPr>
        <w:t>年预算配置控制较好，编制内在职人员控制率小于100%，控制在预算编制以内。　　</w:t>
      </w:r>
    </w:p>
    <w:p w14:paraId="599DBFED">
      <w:pPr>
        <w:ind w:firstLine="560" w:firstLineChars="200"/>
        <w:rPr>
          <w:rFonts w:ascii="仿宋_GB2312" w:eastAsia="仿宋_GB2312"/>
          <w:sz w:val="28"/>
          <w:szCs w:val="28"/>
        </w:rPr>
      </w:pPr>
      <w:r>
        <w:rPr>
          <w:rFonts w:hint="eastAsia" w:ascii="仿宋_GB2312" w:eastAsia="仿宋_GB2312"/>
          <w:sz w:val="28"/>
          <w:szCs w:val="28"/>
        </w:rPr>
        <w:t>2、预算执行方面。严格落实《预算法》和预算管理相关规定，各项支出按照批准的预算审核列支，支出总额控制在预算总额以内。</w:t>
      </w:r>
    </w:p>
    <w:p w14:paraId="163BE297">
      <w:pPr>
        <w:ind w:firstLine="560" w:firstLineChars="200"/>
        <w:rPr>
          <w:rFonts w:ascii="仿宋_GB2312" w:eastAsia="仿宋_GB2312"/>
          <w:sz w:val="28"/>
          <w:szCs w:val="28"/>
        </w:rPr>
      </w:pPr>
      <w:r>
        <w:rPr>
          <w:rFonts w:hint="eastAsia" w:ascii="仿宋_GB2312" w:eastAsia="仿宋_GB2312"/>
          <w:sz w:val="28"/>
          <w:szCs w:val="28"/>
        </w:rPr>
        <w:t>3、预算管理情况。部门整体支出能有效按照预算要求基本执行，预算支出范围合理，预算支出项目细化资金使用方向明确，管理合规。</w:t>
      </w:r>
    </w:p>
    <w:p w14:paraId="1D418133">
      <w:pPr>
        <w:ind w:firstLine="560" w:firstLineChars="200"/>
        <w:rPr>
          <w:rFonts w:ascii="仿宋_GB2312" w:eastAsia="仿宋_GB2312"/>
          <w:sz w:val="28"/>
          <w:szCs w:val="28"/>
        </w:rPr>
      </w:pPr>
      <w:r>
        <w:rPr>
          <w:rFonts w:hint="eastAsia" w:ascii="仿宋_GB2312" w:eastAsia="仿宋_GB2312"/>
          <w:sz w:val="28"/>
          <w:szCs w:val="28"/>
        </w:rPr>
        <w:t>进一步加强资产管理，制定了《</w:t>
      </w:r>
      <w:r>
        <w:rPr>
          <w:rFonts w:hint="eastAsia" w:ascii="仿宋_GB2312" w:eastAsia="仿宋_GB2312"/>
          <w:sz w:val="28"/>
          <w:szCs w:val="28"/>
          <w:lang w:eastAsia="zh-CN"/>
        </w:rPr>
        <w:t>中共桃江县委机构编制委员会办公室</w:t>
      </w:r>
      <w:r>
        <w:rPr>
          <w:rFonts w:hint="eastAsia" w:ascii="仿宋_GB2312" w:eastAsia="仿宋_GB2312"/>
          <w:sz w:val="28"/>
          <w:szCs w:val="28"/>
          <w:lang w:val="en-US" w:eastAsia="zh-CN"/>
        </w:rPr>
        <w:t>内控</w:t>
      </w:r>
      <w:r>
        <w:rPr>
          <w:rFonts w:hint="eastAsia" w:ascii="仿宋_GB2312" w:eastAsia="仿宋_GB2312"/>
          <w:sz w:val="28"/>
          <w:szCs w:val="28"/>
        </w:rPr>
        <w:t>制度》，明确了具体责任人，完善了固定资产卡片，严格报批、审批等手续。</w:t>
      </w:r>
    </w:p>
    <w:p w14:paraId="378D9D77">
      <w:pPr>
        <w:ind w:firstLine="562" w:firstLineChars="200"/>
        <w:rPr>
          <w:rFonts w:ascii="仿宋_GB2312" w:eastAsia="仿宋_GB2312"/>
          <w:b/>
          <w:bCs/>
          <w:sz w:val="28"/>
          <w:szCs w:val="28"/>
        </w:rPr>
      </w:pPr>
      <w:r>
        <w:rPr>
          <w:rFonts w:hint="eastAsia" w:ascii="仿宋_GB2312" w:eastAsia="仿宋_GB2312"/>
          <w:b/>
          <w:bCs/>
          <w:sz w:val="28"/>
          <w:szCs w:val="28"/>
        </w:rPr>
        <w:t>（二）行政效能评价</w:t>
      </w:r>
    </w:p>
    <w:p w14:paraId="3A99125F">
      <w:pPr>
        <w:ind w:firstLine="560" w:firstLineChars="200"/>
        <w:rPr>
          <w:rFonts w:ascii="仿宋_GB2312" w:eastAsia="仿宋_GB2312"/>
          <w:sz w:val="28"/>
          <w:szCs w:val="28"/>
        </w:rPr>
      </w:pPr>
      <w:r>
        <w:rPr>
          <w:rFonts w:hint="eastAsia" w:ascii="仿宋_GB2312" w:eastAsia="仿宋_GB2312"/>
          <w:sz w:val="28"/>
          <w:szCs w:val="28"/>
        </w:rPr>
        <w:t xml:space="preserve">为强化部门整体支出，加强国有资产管理，提高资金使用效益，提升财务管理， </w:t>
      </w:r>
      <w:r>
        <w:rPr>
          <w:rFonts w:hint="eastAsia" w:ascii="仿宋_GB2312" w:eastAsia="仿宋_GB2312"/>
          <w:sz w:val="28"/>
          <w:szCs w:val="28"/>
          <w:lang w:val="en-US" w:eastAsia="zh-CN"/>
        </w:rPr>
        <w:t>2022</w:t>
      </w:r>
      <w:r>
        <w:rPr>
          <w:rFonts w:hint="eastAsia" w:ascii="仿宋_GB2312" w:eastAsia="仿宋_GB2312"/>
          <w:sz w:val="28"/>
          <w:szCs w:val="28"/>
        </w:rPr>
        <w:t>年我</w:t>
      </w:r>
      <w:r>
        <w:rPr>
          <w:rFonts w:hint="eastAsia" w:ascii="仿宋_GB2312" w:eastAsia="仿宋_GB2312"/>
          <w:sz w:val="28"/>
          <w:szCs w:val="28"/>
          <w:lang w:eastAsia="zh-CN"/>
        </w:rPr>
        <w:t>办</w:t>
      </w:r>
      <w:r>
        <w:rPr>
          <w:rFonts w:hint="eastAsia" w:ascii="仿宋_GB2312" w:eastAsia="仿宋_GB2312"/>
          <w:sz w:val="28"/>
          <w:szCs w:val="28"/>
        </w:rPr>
        <w:t>在强化业务管理、财务管理和厉行节约方面开展了大量工作，机关工作作风进一步改变，行政效能进一步提高。具体工作情况简要如下：</w:t>
      </w:r>
    </w:p>
    <w:p w14:paraId="1E401018">
      <w:pPr>
        <w:ind w:firstLine="560" w:firstLineChars="200"/>
        <w:rPr>
          <w:rFonts w:ascii="仿宋_GB2312" w:eastAsia="仿宋_GB2312"/>
          <w:sz w:val="28"/>
          <w:szCs w:val="28"/>
        </w:rPr>
      </w:pPr>
      <w:r>
        <w:rPr>
          <w:rFonts w:hint="eastAsia" w:ascii="仿宋_GB2312" w:eastAsia="仿宋_GB2312"/>
          <w:sz w:val="28"/>
          <w:szCs w:val="28"/>
        </w:rPr>
        <w:t>1、严格执行财务管理制度。严格执行中央和上级有关部门出台的财经纪律相关规定，严控“三公经费”、会议费、培训费、差旅费等，做到一是与公务无关的接待不予报销，严格按标准接待，二是从严从紧控制因公出省国（境）人数和批次；严格报账程序，严把票据审核关，要求发票合法合规，相关资料真实完整，不符合要求的不予报账，没有按规定及程序审批的不予报账，超出预算限额的不予报账，减少现金支付；认真做好会计核算，做到账账相符、帐实相符。</w:t>
      </w:r>
    </w:p>
    <w:p w14:paraId="13018258">
      <w:pPr>
        <w:ind w:firstLine="560" w:firstLineChars="200"/>
        <w:rPr>
          <w:rFonts w:ascii="仿宋_GB2312" w:eastAsia="仿宋_GB2312"/>
          <w:sz w:val="28"/>
          <w:szCs w:val="28"/>
        </w:rPr>
      </w:pPr>
      <w:r>
        <w:rPr>
          <w:rFonts w:hint="eastAsia" w:ascii="仿宋_GB2312" w:eastAsia="仿宋_GB2312"/>
          <w:sz w:val="28"/>
          <w:szCs w:val="28"/>
        </w:rPr>
        <w:t>2、加强政府采购管理。严格按照《政府采购法》和《政府采购法实施条例》等相关管理规定，根据省采购目录和财政部门预算管理要求，编制政府采购计划。采购前,做好采购政策咨询，了解相关业务规范；采购中,合理选择采购方式，确保采购流程合理合规，做好采购项目信息的公开公示工作；采购后,抓好采购项目的监管工作，严把质量关力求实效。</w:t>
      </w:r>
    </w:p>
    <w:p w14:paraId="3F2F63B0">
      <w:pPr>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加强固定资产管理。严格按照相关文件要求，做好固定资产采买、报废、调整等相关管理工作。录入固定资产管理系统,建立资产管理卡片, 及时更新资产管理信息系统数据，做到账实相符、账卡相符，每月上报固定资产管理情况。</w:t>
      </w:r>
    </w:p>
    <w:p w14:paraId="3553EECB">
      <w:pPr>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加强政府信息公开，经费支出的公开透明性得到提高。按照县财政局要求对部门预算、决算、三公经费等相关信息进行公示，根据经费支出情况，我局办公室定期进行经费支出财务统计和分析，定期向分管领导进行汇报，对经费支出的管理状况提出财务建议。　　</w:t>
      </w:r>
    </w:p>
    <w:p w14:paraId="0F6EF9AB">
      <w:pPr>
        <w:ind w:firstLine="562" w:firstLineChars="200"/>
        <w:rPr>
          <w:rFonts w:ascii="仿宋_GB2312" w:eastAsia="仿宋_GB2312"/>
          <w:b/>
          <w:bCs/>
          <w:sz w:val="28"/>
          <w:szCs w:val="28"/>
        </w:rPr>
      </w:pPr>
      <w:r>
        <w:rPr>
          <w:rFonts w:hint="eastAsia" w:ascii="仿宋_GB2312" w:eastAsia="仿宋_GB2312"/>
          <w:b/>
          <w:bCs/>
          <w:sz w:val="28"/>
          <w:szCs w:val="28"/>
        </w:rPr>
        <w:t>（三）社会效益评价</w:t>
      </w:r>
    </w:p>
    <w:p w14:paraId="24762123">
      <w:pPr>
        <w:numPr>
          <w:ilvl w:val="0"/>
          <w:numId w:val="0"/>
        </w:num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2022年，桃江县委编办在县委、县政府的正确领导和市委编办的具体指导下，按照省、市委编办机构编制管理工作的总体部署和要求，紧紧围绕年初制定的各项工作目标，强化机构编制管理，狠抓落实，努力工作，不断创新，较好的完成了全年的各项工作任务。</w:t>
      </w:r>
    </w:p>
    <w:p w14:paraId="45E783A2">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一是狠抓政策法规宣传。</w:t>
      </w:r>
      <w:r>
        <w:rPr>
          <w:rFonts w:hint="default" w:ascii="仿宋_GB2312" w:eastAsia="仿宋_GB2312"/>
          <w:sz w:val="28"/>
          <w:szCs w:val="28"/>
          <w:lang w:val="en-US" w:eastAsia="zh-CN"/>
        </w:rPr>
        <w:t>县委编办领导班子始终以习近平新时代中国特色社会主义思想为指导，结合领导班子中心组学习和机关党支部党员学习，切实把学习贯彻习近平总书记有关机构编制工作的重要论述贯穿到机构编制工作始终，把加强党的领导贯穿到机构编制工作的各方面各环节</w:t>
      </w:r>
      <w:r>
        <w:rPr>
          <w:rFonts w:hint="eastAsia" w:ascii="仿宋_GB2312" w:eastAsia="仿宋_GB2312"/>
          <w:sz w:val="28"/>
          <w:szCs w:val="28"/>
          <w:lang w:val="en-US" w:eastAsia="zh-CN"/>
        </w:rPr>
        <w:t>。</w:t>
      </w:r>
      <w:r>
        <w:rPr>
          <w:rFonts w:hint="default" w:ascii="仿宋_GB2312" w:eastAsia="仿宋_GB2312"/>
          <w:sz w:val="28"/>
          <w:szCs w:val="28"/>
          <w:lang w:val="en-US" w:eastAsia="zh-CN"/>
        </w:rPr>
        <w:t>通过</w:t>
      </w:r>
      <w:r>
        <w:rPr>
          <w:rFonts w:hint="eastAsia" w:ascii="仿宋_GB2312" w:eastAsia="仿宋_GB2312"/>
          <w:sz w:val="28"/>
          <w:szCs w:val="28"/>
          <w:lang w:val="en-US" w:eastAsia="zh-CN"/>
        </w:rPr>
        <w:t>提请</w:t>
      </w:r>
      <w:r>
        <w:rPr>
          <w:rFonts w:hint="eastAsia" w:ascii="仿宋_GB2312" w:eastAsia="仿宋_GB2312"/>
          <w:sz w:val="28"/>
          <w:szCs w:val="28"/>
          <w:lang w:eastAsia="zh-CN"/>
        </w:rPr>
        <w:t>县委常委会、县委编委会研究，党校学员主体班主动宣传等多种机会，</w:t>
      </w:r>
      <w:r>
        <w:rPr>
          <w:rFonts w:hint="default" w:ascii="仿宋_GB2312" w:eastAsia="仿宋_GB2312"/>
          <w:sz w:val="28"/>
          <w:szCs w:val="28"/>
          <w:lang w:val="en-US" w:eastAsia="zh-CN"/>
        </w:rPr>
        <w:t>多种措施加大机构编制政策法规宣传力度，</w:t>
      </w:r>
      <w:r>
        <w:rPr>
          <w:rFonts w:hint="eastAsia" w:ascii="仿宋_GB2312" w:eastAsia="仿宋_GB2312"/>
          <w:sz w:val="28"/>
          <w:szCs w:val="28"/>
          <w:lang w:eastAsia="zh-CN"/>
        </w:rPr>
        <w:t>要求各单位将《条例》《规则》纳入党组（党委、工委）理论学习中心组学习，</w:t>
      </w:r>
      <w:r>
        <w:rPr>
          <w:rFonts w:hint="default" w:ascii="仿宋_GB2312" w:eastAsia="仿宋_GB2312"/>
          <w:sz w:val="28"/>
          <w:szCs w:val="28"/>
          <w:lang w:val="en-US" w:eastAsia="zh-CN"/>
        </w:rPr>
        <w:t>强化了各级各部门的机构编制意识</w:t>
      </w:r>
      <w:r>
        <w:rPr>
          <w:rFonts w:hint="eastAsia" w:ascii="仿宋_GB2312" w:eastAsia="仿宋_GB2312"/>
          <w:sz w:val="28"/>
          <w:szCs w:val="28"/>
          <w:lang w:eastAsia="zh-CN"/>
        </w:rPr>
        <w:t>；2022年6月举办机构编制业务培训班，认真学习了《条例》，进行了机构编制违纪违规问题通报。</w:t>
      </w:r>
    </w:p>
    <w:p w14:paraId="78D96EC2">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二是计划先行，</w:t>
      </w:r>
      <w:r>
        <w:rPr>
          <w:rFonts w:hint="eastAsia" w:ascii="仿宋_GB2312" w:eastAsia="仿宋_GB2312"/>
          <w:sz w:val="28"/>
          <w:szCs w:val="28"/>
          <w:lang w:eastAsia="zh-CN"/>
        </w:rPr>
        <w:t>拟定并严格落实全</w:t>
      </w:r>
      <w:r>
        <w:rPr>
          <w:rFonts w:hint="eastAsia" w:ascii="仿宋_GB2312" w:eastAsia="仿宋_GB2312"/>
          <w:sz w:val="28"/>
          <w:szCs w:val="28"/>
        </w:rPr>
        <w:t>年编制使用计划</w:t>
      </w:r>
      <w:r>
        <w:rPr>
          <w:rFonts w:hint="eastAsia" w:ascii="仿宋_GB2312" w:eastAsia="仿宋_GB2312"/>
          <w:sz w:val="28"/>
          <w:szCs w:val="28"/>
          <w:lang w:eastAsia="zh-CN"/>
        </w:rPr>
        <w:t>。</w:t>
      </w:r>
      <w:r>
        <w:rPr>
          <w:rFonts w:hint="eastAsia" w:ascii="仿宋_GB2312" w:eastAsia="仿宋_GB2312"/>
          <w:sz w:val="28"/>
          <w:szCs w:val="28"/>
        </w:rPr>
        <w:t>通过单位报送—编办初审—编委会审定的程序，确定了</w:t>
      </w:r>
      <w:r>
        <w:rPr>
          <w:rFonts w:hint="eastAsia" w:ascii="仿宋_GB2312" w:eastAsia="仿宋_GB2312"/>
          <w:sz w:val="28"/>
          <w:szCs w:val="28"/>
          <w:lang w:eastAsia="zh-CN"/>
        </w:rPr>
        <w:t>桃江县</w:t>
      </w:r>
      <w:r>
        <w:rPr>
          <w:rFonts w:hint="eastAsia" w:ascii="仿宋_GB2312" w:eastAsia="仿宋_GB2312"/>
          <w:sz w:val="28"/>
          <w:szCs w:val="28"/>
        </w:rPr>
        <w:t>2022年编制使用计划，全县共</w:t>
      </w:r>
      <w:r>
        <w:rPr>
          <w:rFonts w:hint="eastAsia" w:ascii="仿宋_GB2312" w:eastAsia="仿宋_GB2312"/>
          <w:sz w:val="28"/>
          <w:szCs w:val="28"/>
          <w:lang w:eastAsia="zh-CN"/>
        </w:rPr>
        <w:t>计划</w:t>
      </w:r>
      <w:r>
        <w:rPr>
          <w:rFonts w:hint="eastAsia" w:ascii="仿宋_GB2312" w:eastAsia="仿宋_GB2312"/>
          <w:sz w:val="28"/>
          <w:szCs w:val="28"/>
        </w:rPr>
        <w:t>使用编制721名</w:t>
      </w:r>
      <w:r>
        <w:rPr>
          <w:rFonts w:hint="eastAsia" w:ascii="仿宋_GB2312" w:eastAsia="仿宋_GB2312"/>
          <w:sz w:val="28"/>
          <w:szCs w:val="28"/>
          <w:lang w:eastAsia="zh-CN"/>
        </w:rPr>
        <w:t>（不含领导干部调整）。截至</w:t>
      </w:r>
      <w:r>
        <w:rPr>
          <w:rFonts w:hint="eastAsia" w:ascii="仿宋_GB2312" w:eastAsia="仿宋_GB2312"/>
          <w:sz w:val="28"/>
          <w:szCs w:val="28"/>
          <w:lang w:val="en-US" w:eastAsia="zh-CN"/>
        </w:rPr>
        <w:t>12月15日，</w:t>
      </w:r>
      <w:r>
        <w:rPr>
          <w:rFonts w:hint="eastAsia" w:ascii="仿宋_GB2312" w:eastAsia="仿宋_GB2312"/>
          <w:sz w:val="28"/>
          <w:szCs w:val="28"/>
          <w:lang w:eastAsia="zh-CN"/>
        </w:rPr>
        <w:t>实际新招录（招聘）到位</w:t>
      </w:r>
      <w:r>
        <w:rPr>
          <w:rFonts w:hint="eastAsia" w:ascii="仿宋_GB2312" w:eastAsia="仿宋_GB2312"/>
          <w:sz w:val="28"/>
          <w:szCs w:val="28"/>
          <w:lang w:val="en-US" w:eastAsia="zh-CN"/>
        </w:rPr>
        <w:t>399人，县直单位遴选到位55人。另有教育系统面向社会的第二批计划招聘50人的考试已安排在本月24日考试；2022年11月原计划招聘一批事业编制人员，因疫情原因，尚未发布公告。以上所有用编计划</w:t>
      </w:r>
      <w:r>
        <w:rPr>
          <w:rFonts w:hint="eastAsia" w:ascii="仿宋_GB2312" w:eastAsia="仿宋_GB2312"/>
          <w:sz w:val="28"/>
          <w:szCs w:val="28"/>
          <w:lang w:eastAsia="zh-CN"/>
        </w:rPr>
        <w:t>均在限额内。</w:t>
      </w:r>
    </w:p>
    <w:p w14:paraId="65CE1705">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三是强化约束，努力提高机构编制管理质量。6月30日，组织全县84家单位（含15个乡镇）共计145人开展机构编制专题业务培训。围绕“机构编制基础知识培训”“湖南省机构编制平台管理操作培训”“湖南省事业单位登记管理系统操作培训”《中国共产党机构编制工作条例》的宣传、机构编制违纪违规问题通报四个方面进行。通过培训，各单位人事政工的业务水平得到了大幅提升，为全面提升全县机构编制管理水平提供了基础。印发《关于进一步规范机构编制动议事项的函》，要求各单位党组在动议机关及其所属事业单位机构、职能、编制、领导职数等事项时，必须提供政策依据，并论证符合政策法规情况、申请必要性情况、周边区县比对情况、机构编制管理规范性情况和其他需要评估的事项，文件印发后，收到的各单位机构编制事项动议报告质量有了显著提高。</w:t>
      </w:r>
    </w:p>
    <w:p w14:paraId="0EFBA6C0">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四是坚持协同督查，维护机构编制制度权威。利用机构编制专题业务培训会的机会，认真组织学习了《规则》。召开办公会学习落实《机构编制违规违纪违法问题清理整治工作实施方案》（以下简称《方案》）， 并迅速跟相关领导作了汇报。7月28日，以县委编办的名义印发《关于开展机构编制违规违纪违法问题清理整治工作的通知》，在全县范围内部署开展清理整治工作。9月5日，根据市委编办培训会议精神，印发了《关于机构编制违规违纪违法问题清理整治工作的提示》，进一步强化清理整治工作目标，细化自查自纠口径。并将机构编制违规违纪违法问题清理整治工作纳入各单位年终绩效考核。</w:t>
      </w:r>
    </w:p>
    <w:p w14:paraId="7784EEF3">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五坚持搞好登记，切实完成登记相关工作。事业单位登记管理股按照全国事业单位法人年度报告报送统一进度启动年度报告工作，完成年度报告378家，总体进度完成100%，在桃江县政府网上公示100%。</w:t>
      </w:r>
    </w:p>
    <w:p w14:paraId="0BA7CA75">
      <w:pPr>
        <w:ind w:firstLine="560" w:firstLineChars="200"/>
        <w:rPr>
          <w:rFonts w:ascii="黑体" w:hAnsi="黑体" w:eastAsia="黑体"/>
          <w:sz w:val="28"/>
          <w:szCs w:val="28"/>
        </w:rPr>
      </w:pPr>
      <w:r>
        <w:rPr>
          <w:rFonts w:hint="eastAsia" w:ascii="黑体" w:hAnsi="黑体" w:eastAsia="黑体"/>
          <w:sz w:val="28"/>
          <w:szCs w:val="28"/>
        </w:rPr>
        <w:t>四、存在的问题</w:t>
      </w:r>
    </w:p>
    <w:p w14:paraId="6137EB38">
      <w:pPr>
        <w:ind w:firstLine="560" w:firstLineChars="200"/>
        <w:rPr>
          <w:rFonts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lang w:eastAsia="zh-CN"/>
        </w:rPr>
        <w:t>办</w:t>
      </w:r>
      <w:r>
        <w:rPr>
          <w:rFonts w:hint="eastAsia" w:ascii="仿宋_GB2312" w:eastAsia="仿宋_GB2312"/>
          <w:sz w:val="28"/>
          <w:szCs w:val="28"/>
        </w:rPr>
        <w:t>机关虽然在绩效考核上取得一定成绩，但目前在整体支出的预算编制、执行和管理过程中，依然存在一些问题和不足：</w:t>
      </w:r>
    </w:p>
    <w:p w14:paraId="453DA5C8">
      <w:pPr>
        <w:ind w:firstLine="560" w:firstLineChars="200"/>
        <w:rPr>
          <w:rFonts w:ascii="仿宋_GB2312" w:eastAsia="仿宋_GB2312"/>
          <w:sz w:val="28"/>
          <w:szCs w:val="28"/>
        </w:rPr>
      </w:pPr>
      <w:r>
        <w:rPr>
          <w:rFonts w:hint="eastAsia" w:ascii="仿宋_GB2312" w:eastAsia="仿宋_GB2312"/>
          <w:sz w:val="28"/>
          <w:szCs w:val="28"/>
        </w:rPr>
        <w:t>1、由于经费预算编制方面的不完善、不系统、不精细，预算执行的灵活度相对较大，预算管理的指导性和管理性作用不强。</w:t>
      </w:r>
    </w:p>
    <w:p w14:paraId="109D7913">
      <w:pPr>
        <w:ind w:firstLine="560" w:firstLineChars="200"/>
        <w:rPr>
          <w:rFonts w:ascii="仿宋_GB2312" w:eastAsia="仿宋_GB2312"/>
          <w:sz w:val="28"/>
          <w:szCs w:val="28"/>
        </w:rPr>
      </w:pPr>
      <w:r>
        <w:rPr>
          <w:rFonts w:hint="eastAsia" w:ascii="仿宋_GB2312" w:eastAsia="仿宋_GB2312"/>
          <w:sz w:val="28"/>
          <w:szCs w:val="28"/>
        </w:rPr>
        <w:t>2、部分指标下达时间晚，造成年终资金结余，影响项目的支付进度。</w:t>
      </w:r>
    </w:p>
    <w:p w14:paraId="42A10684">
      <w:pPr>
        <w:ind w:firstLine="560" w:firstLineChars="200"/>
        <w:rPr>
          <w:rFonts w:ascii="仿宋_GB2312" w:eastAsia="仿宋_GB2312"/>
          <w:sz w:val="28"/>
          <w:szCs w:val="28"/>
        </w:rPr>
      </w:pPr>
      <w:r>
        <w:rPr>
          <w:rFonts w:hint="eastAsia" w:ascii="仿宋_GB2312" w:eastAsia="仿宋_GB2312"/>
          <w:sz w:val="28"/>
          <w:szCs w:val="28"/>
        </w:rPr>
        <w:t>3、上年结余和本年追加项目预算没有进行预算的编制，不便于对经费实行深入、细化的预算管理。</w:t>
      </w:r>
    </w:p>
    <w:p w14:paraId="1874F234">
      <w:pPr>
        <w:ind w:firstLine="560" w:firstLineChars="200"/>
        <w:rPr>
          <w:rFonts w:ascii="黑体" w:hAnsi="黑体" w:eastAsia="黑体"/>
          <w:sz w:val="28"/>
          <w:szCs w:val="28"/>
        </w:rPr>
      </w:pPr>
      <w:r>
        <w:rPr>
          <w:rFonts w:hint="eastAsia" w:ascii="黑体" w:hAnsi="黑体" w:eastAsia="黑体"/>
          <w:sz w:val="28"/>
          <w:szCs w:val="28"/>
        </w:rPr>
        <w:t>五、改进措施和建议</w:t>
      </w:r>
    </w:p>
    <w:p w14:paraId="53A5F44C">
      <w:pPr>
        <w:ind w:firstLine="560" w:firstLineChars="200"/>
        <w:rPr>
          <w:rFonts w:ascii="仿宋_GB2312" w:eastAsia="仿宋_GB2312"/>
          <w:sz w:val="28"/>
          <w:szCs w:val="28"/>
        </w:rPr>
      </w:pPr>
      <w:r>
        <w:rPr>
          <w:rFonts w:hint="eastAsia" w:ascii="仿宋_GB2312" w:eastAsia="仿宋_GB2312"/>
          <w:sz w:val="28"/>
          <w:szCs w:val="28"/>
        </w:rPr>
        <w:t>1、细化预算编制工作，认真做好预算的编制。进一步加强机关各股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122534DB">
      <w:pPr>
        <w:ind w:firstLine="560" w:firstLineChars="200"/>
        <w:rPr>
          <w:rFonts w:ascii="仿宋_GB2312" w:eastAsia="仿宋_GB2312"/>
          <w:sz w:val="28"/>
          <w:szCs w:val="28"/>
        </w:rPr>
      </w:pPr>
      <w:r>
        <w:rPr>
          <w:rFonts w:hint="eastAsia" w:ascii="仿宋_GB2312" w:eastAsia="仿宋_GB2312"/>
          <w:sz w:val="28"/>
          <w:szCs w:val="28"/>
        </w:rPr>
        <w:t>2、遵循预算管理办法，对于年度无法预计的临时追加的相关工作所需费用和结余资金确保资金严格按照预算专项资金使用程序申报及使用，按照预算项目和使用用途执行。</w:t>
      </w:r>
    </w:p>
    <w:p w14:paraId="7FE084E9">
      <w:pPr>
        <w:ind w:firstLine="560" w:firstLineChars="200"/>
        <w:rPr>
          <w:rFonts w:ascii="仿宋_GB2312" w:eastAsia="仿宋_GB2312"/>
          <w:sz w:val="28"/>
          <w:szCs w:val="28"/>
        </w:rPr>
      </w:pPr>
      <w:r>
        <w:rPr>
          <w:rFonts w:hint="eastAsia" w:ascii="仿宋_GB2312" w:eastAsia="仿宋_GB2312"/>
          <w:sz w:val="28"/>
          <w:szCs w:val="28"/>
        </w:rPr>
        <w:t>3、预算财务分析常态化。定期做好支出预算财务分析，及时对费用预算执行情况进行通报，定期对预算执行情况进行检查，做好部门整体支出预算评价工作。</w:t>
      </w:r>
    </w:p>
    <w:p w14:paraId="685AFB90">
      <w:pPr>
        <w:ind w:firstLine="560" w:firstLineChars="200"/>
        <w:rPr>
          <w:rFonts w:ascii="仿宋_GB2312" w:eastAsia="仿宋_GB2312"/>
          <w:sz w:val="28"/>
          <w:szCs w:val="28"/>
        </w:rPr>
      </w:pPr>
      <w:r>
        <w:rPr>
          <w:rFonts w:hint="eastAsia" w:ascii="仿宋_GB2312" w:eastAsia="仿宋_GB2312"/>
          <w:sz w:val="28"/>
          <w:szCs w:val="28"/>
        </w:rPr>
        <w:t>4、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14:paraId="23265610">
      <w:pPr>
        <w:ind w:firstLine="560" w:firstLineChars="200"/>
        <w:rPr>
          <w:rFonts w:ascii="仿宋_GB2312" w:eastAsia="仿宋_GB2312"/>
          <w:sz w:val="28"/>
          <w:szCs w:val="28"/>
        </w:rPr>
      </w:pPr>
      <w:r>
        <w:rPr>
          <w:rFonts w:hint="eastAsia" w:ascii="仿宋_GB2312" w:eastAsia="仿宋_GB2312"/>
          <w:sz w:val="28"/>
          <w:szCs w:val="28"/>
        </w:rPr>
        <w:t>5、根据中央、省、市党政机关厉行节约工作的精神， 进一步严控三公经费支出，严格控制规模和比例、审核审批流程，进一步细化三公经费的管理，进一步压缩三公经</w:t>
      </w:r>
      <w:bookmarkStart w:id="0" w:name="_GoBack"/>
      <w:bookmarkEnd w:id="0"/>
      <w:r>
        <w:rPr>
          <w:rFonts w:hint="eastAsia" w:ascii="仿宋_GB2312" w:eastAsia="仿宋_GB2312"/>
          <w:sz w:val="28"/>
          <w:szCs w:val="28"/>
        </w:rPr>
        <w:t>费支出。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5029162"/>
      <w:docPartObj>
        <w:docPartGallery w:val="autotext"/>
      </w:docPartObj>
    </w:sdtPr>
    <w:sdtEndPr>
      <w:rPr>
        <w:rFonts w:ascii="Times New Roman" w:hAnsi="Times New Roman" w:cs="Times New Roman"/>
        <w:sz w:val="21"/>
        <w:szCs w:val="21"/>
      </w:rPr>
    </w:sdtEndPr>
    <w:sdtContent>
      <w:p w14:paraId="04780DB2">
        <w:pPr>
          <w:pStyle w:val="5"/>
          <w:jc w:val="center"/>
          <w:rPr>
            <w:rFonts w:ascii="Times New Roman" w:hAnsi="Times New Roman" w:cs="Times New Roman"/>
            <w:sz w:val="21"/>
            <w:szCs w:val="21"/>
          </w:rPr>
        </w:pPr>
      </w:p>
    </w:sdtContent>
  </w:sdt>
  <w:p w14:paraId="087485F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NmJiOWY5MTVmNzgyMmUzYzk0ZTgzM2Y4OWVjYjEifQ=="/>
  </w:docVars>
  <w:rsids>
    <w:rsidRoot w:val="00845F21"/>
    <w:rsid w:val="00063AF2"/>
    <w:rsid w:val="001E62E3"/>
    <w:rsid w:val="0022422A"/>
    <w:rsid w:val="002E43DA"/>
    <w:rsid w:val="0038474C"/>
    <w:rsid w:val="003C046B"/>
    <w:rsid w:val="004540F6"/>
    <w:rsid w:val="0056245D"/>
    <w:rsid w:val="006426D8"/>
    <w:rsid w:val="006923C4"/>
    <w:rsid w:val="00835AB3"/>
    <w:rsid w:val="00845F21"/>
    <w:rsid w:val="00950D2B"/>
    <w:rsid w:val="00952662"/>
    <w:rsid w:val="00992A9F"/>
    <w:rsid w:val="009F0A55"/>
    <w:rsid w:val="00A3082D"/>
    <w:rsid w:val="00BA0A60"/>
    <w:rsid w:val="00BC3DCB"/>
    <w:rsid w:val="00C90A7A"/>
    <w:rsid w:val="00D65977"/>
    <w:rsid w:val="00DE6244"/>
    <w:rsid w:val="00E6160A"/>
    <w:rsid w:val="00FC0DF3"/>
    <w:rsid w:val="01B34E22"/>
    <w:rsid w:val="031F4AE4"/>
    <w:rsid w:val="039D49B9"/>
    <w:rsid w:val="06C67278"/>
    <w:rsid w:val="08C571E9"/>
    <w:rsid w:val="0B2E127A"/>
    <w:rsid w:val="0C344DB1"/>
    <w:rsid w:val="0C48260B"/>
    <w:rsid w:val="0D16276D"/>
    <w:rsid w:val="0D705975"/>
    <w:rsid w:val="0E6F3C78"/>
    <w:rsid w:val="0ED65290"/>
    <w:rsid w:val="137E0C01"/>
    <w:rsid w:val="13A85D27"/>
    <w:rsid w:val="14E465ED"/>
    <w:rsid w:val="1740089C"/>
    <w:rsid w:val="180571ED"/>
    <w:rsid w:val="189D495F"/>
    <w:rsid w:val="18BF5A03"/>
    <w:rsid w:val="196D1903"/>
    <w:rsid w:val="1BCB46BE"/>
    <w:rsid w:val="1D745E6C"/>
    <w:rsid w:val="1E6A5966"/>
    <w:rsid w:val="1F0E4FEE"/>
    <w:rsid w:val="1F16103F"/>
    <w:rsid w:val="1F813B73"/>
    <w:rsid w:val="215020D0"/>
    <w:rsid w:val="22D67B10"/>
    <w:rsid w:val="25162E4E"/>
    <w:rsid w:val="271E423C"/>
    <w:rsid w:val="29620F33"/>
    <w:rsid w:val="297921A2"/>
    <w:rsid w:val="2A6D1762"/>
    <w:rsid w:val="2BED0A6B"/>
    <w:rsid w:val="2C9D1721"/>
    <w:rsid w:val="2CB371D5"/>
    <w:rsid w:val="314B5F01"/>
    <w:rsid w:val="31DD71CE"/>
    <w:rsid w:val="37F0752F"/>
    <w:rsid w:val="3A1309C2"/>
    <w:rsid w:val="3BBF752E"/>
    <w:rsid w:val="3E3D6B75"/>
    <w:rsid w:val="3E9C5E59"/>
    <w:rsid w:val="45A66202"/>
    <w:rsid w:val="4662784A"/>
    <w:rsid w:val="4C0F0AEC"/>
    <w:rsid w:val="4C977B37"/>
    <w:rsid w:val="4F695803"/>
    <w:rsid w:val="527E4058"/>
    <w:rsid w:val="561C4141"/>
    <w:rsid w:val="57C7233A"/>
    <w:rsid w:val="57EF2F07"/>
    <w:rsid w:val="5AC010AA"/>
    <w:rsid w:val="5BF24DF7"/>
    <w:rsid w:val="5DB97B6E"/>
    <w:rsid w:val="5E5742FD"/>
    <w:rsid w:val="5FA354E3"/>
    <w:rsid w:val="6031230F"/>
    <w:rsid w:val="61746C21"/>
    <w:rsid w:val="663C7C5F"/>
    <w:rsid w:val="676E5BF7"/>
    <w:rsid w:val="67FC3B0F"/>
    <w:rsid w:val="696265B4"/>
    <w:rsid w:val="6A7A0D56"/>
    <w:rsid w:val="6B8F438D"/>
    <w:rsid w:val="704020FA"/>
    <w:rsid w:val="71C72AD3"/>
    <w:rsid w:val="73706C9F"/>
    <w:rsid w:val="75752CF9"/>
    <w:rsid w:val="75EF43A6"/>
    <w:rsid w:val="7601232C"/>
    <w:rsid w:val="76581E16"/>
    <w:rsid w:val="77084735"/>
    <w:rsid w:val="781520BE"/>
    <w:rsid w:val="78300CA6"/>
    <w:rsid w:val="7AE707BB"/>
    <w:rsid w:val="7D470F6C"/>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eastAsia="宋体" w:cs="Times New Roman"/>
      <w:sz w:val="21"/>
      <w:szCs w:val="22"/>
    </w:rPr>
  </w:style>
  <w:style w:type="paragraph" w:styleId="3">
    <w:name w:val="Body Text Indent"/>
    <w:basedOn w:val="1"/>
    <w:next w:val="1"/>
    <w:qFormat/>
    <w:uiPriority w:val="99"/>
    <w:pPr>
      <w:ind w:firstLine="200" w:firstLineChars="200"/>
    </w:pPr>
    <w:rPr>
      <w:rFonts w:ascii="仿宋_GB2312" w:hAnsi="Calibri" w:eastAsia="仿宋_GB2312" w:cs="Times New Roman"/>
      <w:kern w:val="0"/>
      <w:sz w:val="24"/>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customStyle="1" w:styleId="10">
    <w:name w:val="样式 文字 + 首行缩进:  2 字符3"/>
    <w:basedOn w:val="1"/>
    <w:qFormat/>
    <w:uiPriority w:val="99"/>
    <w:pPr>
      <w:spacing w:line="360" w:lineRule="auto"/>
      <w:jc w:val="left"/>
    </w:pPr>
    <w:rPr>
      <w:sz w:val="28"/>
      <w:szCs w:val="28"/>
    </w:rPr>
  </w:style>
  <w:style w:type="character" w:customStyle="1" w:styleId="11">
    <w:name w:val="批注框文本 字符"/>
    <w:basedOn w:val="9"/>
    <w:link w:val="4"/>
    <w:semiHidden/>
    <w:qFormat/>
    <w:uiPriority w:val="99"/>
    <w:rPr>
      <w:sz w:val="18"/>
      <w:szCs w:val="18"/>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3551</Words>
  <Characters>3666</Characters>
  <Lines>26</Lines>
  <Paragraphs>7</Paragraphs>
  <TotalTime>2</TotalTime>
  <ScaleCrop>false</ScaleCrop>
  <LinksUpToDate>false</LinksUpToDate>
  <CharactersWithSpaces>3679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2020-04-20T08:02:00Z</dcterms:created>
  <dc:creator>Administrator</dc:creator>
  <cp:lastModifiedBy>笑薇薇 高</cp:lastModifiedBy>
  <cp:lastPrinted>2020-04-29T08:07:00Z</cp:lastPrinted>
  <dcterms:modified xsi:type="dcterms:W3CDTF">2024-10-16T02:02:56Z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3FCDE8DCB35E49D082FC3BDAE2123580_13</vt:lpwstr>
  </property>
</Properties>
</file>