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spacing w:line="586" w:lineRule="exact"/>
        <w:ind w:firstLine="649" w:firstLineChars="147"/>
        <w:jc w:val="center"/>
        <w:rPr>
          <w:rFonts w:hint="eastAsia" w:ascii="楷体_GB2312" w:eastAsia="楷体_GB2312" w:cs="Times New Roman"/>
          <w:b/>
          <w:sz w:val="44"/>
          <w:szCs w:val="44"/>
          <w:lang w:eastAsia="zh-CN"/>
        </w:rPr>
      </w:pPr>
      <w:r>
        <w:rPr>
          <w:rFonts w:hint="eastAsia" w:ascii="楷体_GB2312" w:eastAsia="楷体_GB2312" w:cs="Times New Roman"/>
          <w:b/>
          <w:sz w:val="44"/>
          <w:szCs w:val="44"/>
          <w:lang w:eastAsia="zh-CN"/>
        </w:rPr>
        <w:t>桃江县乡</w:t>
      </w:r>
      <w:bookmarkStart w:id="0" w:name="_GoBack"/>
      <w:bookmarkEnd w:id="0"/>
      <w:r>
        <w:rPr>
          <w:rFonts w:hint="eastAsia" w:ascii="楷体_GB2312" w:eastAsia="楷体_GB2312" w:cs="Times New Roman"/>
          <w:b/>
          <w:sz w:val="44"/>
          <w:szCs w:val="44"/>
          <w:lang w:eastAsia="zh-CN"/>
        </w:rPr>
        <w:t>村振兴局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spacing w:line="586" w:lineRule="exact"/>
        <w:ind w:firstLine="649" w:firstLineChars="147"/>
        <w:jc w:val="center"/>
        <w:rPr>
          <w:rFonts w:hint="eastAsia" w:ascii="楷体_GB2312" w:eastAsia="楷体_GB2312"/>
          <w:b/>
          <w:sz w:val="44"/>
          <w:szCs w:val="44"/>
        </w:rPr>
      </w:pPr>
      <w:r>
        <w:rPr>
          <w:rFonts w:hint="eastAsia" w:ascii="楷体_GB2312" w:eastAsia="楷体_GB2312" w:cs="Times New Roman"/>
          <w:b/>
          <w:sz w:val="44"/>
          <w:szCs w:val="44"/>
        </w:rPr>
        <w:t>20</w:t>
      </w:r>
      <w:r>
        <w:rPr>
          <w:rFonts w:hint="eastAsia" w:ascii="楷体_GB2312" w:eastAsia="楷体_GB2312" w:cs="Times New Roman"/>
          <w:b/>
          <w:sz w:val="44"/>
          <w:szCs w:val="44"/>
          <w:lang w:val="en-US" w:eastAsia="zh-CN"/>
        </w:rPr>
        <w:t>2</w:t>
      </w:r>
      <w:r>
        <w:rPr>
          <w:rFonts w:ascii="楷体_GB2312" w:eastAsia="楷体_GB2312" w:cs="Times New Roman"/>
          <w:b/>
          <w:sz w:val="44"/>
          <w:szCs w:val="44"/>
          <w:lang w:val="en-US" w:eastAsia="zh-CN"/>
        </w:rPr>
        <w:t>2</w:t>
      </w:r>
      <w:r>
        <w:rPr>
          <w:rFonts w:hint="eastAsia" w:ascii="楷体_GB2312" w:eastAsia="楷体_GB2312" w:cs="Times New Roman"/>
          <w:b/>
          <w:sz w:val="44"/>
          <w:szCs w:val="44"/>
        </w:rPr>
        <w:t>年部门整体支出绩效报告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为进一步加强财政支出的监督管理，规范支出预算执行，提高财政资金使用效益，切实发挥财政资金资源配置作用，全面推行预算绩效管理，根据《桃江县财政局关于开展20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年度财政资金绩效自评工作的通知》（桃财</w:t>
      </w:r>
      <w:r>
        <w:rPr>
          <w:rFonts w:ascii="仿宋_GB2312" w:eastAsia="仿宋_GB2312"/>
          <w:sz w:val="32"/>
          <w:szCs w:val="32"/>
        </w:rPr>
        <w:t>监</w:t>
      </w:r>
      <w:r>
        <w:rPr>
          <w:rFonts w:hint="eastAsia" w:ascii="仿宋_GB2312" w:eastAsia="仿宋_GB2312"/>
          <w:sz w:val="32"/>
          <w:szCs w:val="32"/>
        </w:rPr>
        <w:t>【20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号）的要求，我</w:t>
      </w:r>
      <w:r>
        <w:rPr>
          <w:rFonts w:hint="eastAsia" w:ascii="仿宋_GB2312" w:eastAsia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对20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年度财政性资金整体使用情况进行了绩效自评，现将有关情况报告如下：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一、部门概况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（一）部门基本情况（包括部门的在职人员情况、机构设置、主要职能及重点工作计划等）。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1.机构设置及人员构成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桃江县乡村振兴局，为</w:t>
      </w:r>
      <w:r>
        <w:rPr>
          <w:rFonts w:hint="eastAsia" w:ascii="仿宋_GB2312" w:eastAsia="仿宋_GB2312" w:cs="Times New Roman"/>
          <w:sz w:val="32"/>
          <w:szCs w:val="32"/>
        </w:rPr>
        <w:t>一级预算单位。核定人员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行政</w:t>
      </w:r>
      <w:r>
        <w:rPr>
          <w:rFonts w:hint="eastAsia" w:ascii="仿宋_GB2312" w:eastAsia="仿宋_GB2312" w:cs="Times New Roman"/>
          <w:sz w:val="32"/>
          <w:szCs w:val="32"/>
        </w:rPr>
        <w:t>编制数10人，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机关工勤编制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1人，事业编制10人。</w:t>
      </w:r>
      <w:r>
        <w:rPr>
          <w:rFonts w:hint="eastAsia" w:ascii="仿宋_GB2312" w:eastAsia="仿宋_GB2312" w:cs="Times New Roman"/>
          <w:sz w:val="32"/>
          <w:szCs w:val="32"/>
        </w:rPr>
        <w:t>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sz w:val="32"/>
          <w:szCs w:val="32"/>
        </w:rPr>
        <w:t>年实有工作人员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sz w:val="32"/>
          <w:szCs w:val="32"/>
        </w:rPr>
        <w:t>人（其中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在编在岗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Times New Roman"/>
          <w:sz w:val="32"/>
          <w:szCs w:val="32"/>
        </w:rPr>
        <w:t>人，由于工作需要，从其他单位抽调了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sz w:val="32"/>
          <w:szCs w:val="32"/>
        </w:rPr>
        <w:t>人到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局村振兴局</w:t>
      </w:r>
      <w:r>
        <w:rPr>
          <w:rFonts w:hint="eastAsia" w:ascii="仿宋_GB2312" w:eastAsia="仿宋_GB2312" w:cs="Times New Roman"/>
          <w:sz w:val="32"/>
          <w:szCs w:val="32"/>
        </w:rPr>
        <w:t>集中办公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），</w:t>
      </w:r>
      <w:r>
        <w:rPr>
          <w:rFonts w:hint="eastAsia" w:ascii="仿宋_GB2312" w:eastAsia="仿宋_GB2312" w:cs="Times New Roman"/>
          <w:sz w:val="32"/>
          <w:szCs w:val="32"/>
        </w:rPr>
        <w:t>他们的基本工资由原单位发放，出差补助，伙食补助，法定节日补助，绩效考核奖励等由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局村振兴局</w:t>
      </w:r>
      <w:r>
        <w:rPr>
          <w:rFonts w:hint="eastAsia" w:ascii="仿宋_GB2312" w:eastAsia="仿宋_GB2312" w:cs="Times New Roman"/>
          <w:sz w:val="32"/>
          <w:szCs w:val="32"/>
        </w:rPr>
        <w:t>发放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，他们的工作经费由县局村振兴局保障。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2.主要职能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桃江县乡村振兴局</w:t>
      </w:r>
      <w:r>
        <w:rPr>
          <w:rFonts w:hint="eastAsia" w:ascii="仿宋_GB2312" w:eastAsia="仿宋_GB2312" w:cs="Times New Roman"/>
          <w:sz w:val="32"/>
          <w:szCs w:val="32"/>
        </w:rPr>
        <w:t>隶属桃江县人民政府辖下的正科级行政单位，单位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统一社会信用</w:t>
      </w:r>
      <w:r>
        <w:rPr>
          <w:rFonts w:hint="eastAsia" w:ascii="仿宋_GB2312" w:eastAsia="仿宋_GB2312" w:cs="Times New Roman"/>
          <w:sz w:val="32"/>
          <w:szCs w:val="32"/>
        </w:rPr>
        <w:t>代码为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11430922MB17219344</w:t>
      </w:r>
      <w:r>
        <w:rPr>
          <w:rFonts w:hint="eastAsia" w:ascii="仿宋_GB2312" w:eastAsia="仿宋_GB2312" w:cs="Times New Roman"/>
          <w:sz w:val="32"/>
          <w:szCs w:val="32"/>
        </w:rPr>
        <w:t>，办公地点设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桃江县谷山路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107号</w:t>
      </w:r>
      <w:r>
        <w:rPr>
          <w:rFonts w:hint="eastAsia" w:ascii="仿宋_GB2312" w:eastAsia="仿宋_GB2312" w:cs="Times New Roman"/>
          <w:sz w:val="32"/>
          <w:szCs w:val="32"/>
        </w:rPr>
        <w:t>。其主要职责为：</w:t>
      </w:r>
    </w:p>
    <w:p>
      <w:pPr>
        <w:pStyle w:val="9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（一）负责组织、协调、指导全县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村振兴工作。 </w:t>
      </w:r>
    </w:p>
    <w:p>
      <w:pPr>
        <w:pStyle w:val="9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（二）负责拟定全县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村振兴战略、中长期规划和全县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村振兴的政策、措施和规范性文件；负责制定各类专项规划和年度计划，并组织实施和监督检查；负责协调解决扶贫开发工作中的重大问题。 </w:t>
      </w:r>
    </w:p>
    <w:p>
      <w:pPr>
        <w:pStyle w:val="9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（三）负责组织开展全县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村振兴工作，动态调整和贫困监测工作。 </w:t>
      </w:r>
    </w:p>
    <w:p>
      <w:pPr>
        <w:pStyle w:val="9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（四）根据相关规定协调管理中央、省、市和县级财政衔接资金；会同有关部门研究拟定全县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村振兴专项资金分配方案，指导监督和检查扶贫资金的使用；负责组织财政衔接资金项目的规划、设计、论证、筛选、审批和组织实施；负责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村振兴项目库建设。 </w:t>
      </w:r>
    </w:p>
    <w:p>
      <w:pPr>
        <w:pStyle w:val="9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（五）负责制定全县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村振兴科技推广和培训计划；组织指导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村振兴有关培训工作；负责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村振兴有关的信息和宣传工作。 </w:t>
      </w:r>
    </w:p>
    <w:p>
      <w:pPr>
        <w:pStyle w:val="9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（六）协助指导全县驻村帮扶和结对帮扶工作、扶贫协作和对口支援工作。 </w:t>
      </w:r>
    </w:p>
    <w:p>
      <w:pPr>
        <w:pStyle w:val="9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（七）负责并协调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村振兴工作，涉贫信访和舆情处置。 </w:t>
      </w:r>
    </w:p>
    <w:p>
      <w:pPr>
        <w:pStyle w:val="9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（八）负责组织全县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村振兴调研、督查、考核工作。 </w:t>
      </w:r>
    </w:p>
    <w:p>
      <w:pPr>
        <w:pStyle w:val="9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（九）负责县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村振兴领导小组的日常工作和交办的其他事项。 </w:t>
      </w:r>
    </w:p>
    <w:p>
      <w:pPr>
        <w:pStyle w:val="9"/>
        <w:spacing w:before="0" w:beforeAutospacing="0" w:after="2" w:afterAutospacing="0"/>
        <w:ind w:left="0" w:firstLine="641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（十）负责指导、协调全县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村振兴工作。指导有关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村振兴的项目的实施和管理。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（十一）承办县委、县人民政府交办的其他事项。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（二）部门整体支出规模、使用方向和主要内容、涉及范围等。</w:t>
      </w:r>
    </w:p>
    <w:p>
      <w:pPr>
        <w:widowControl/>
        <w:shd w:val="clear" w:color="auto" w:fill="FFFFFF"/>
        <w:spacing w:before="150" w:after="2" w:line="540" w:lineRule="atLeast"/>
        <w:ind w:firstLine="641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桃江县乡村振兴局2022年度收、支总计19946.59万元。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其中一般公共预算财政拨款收入为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2546.592466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万元，政府性基金拨款收入为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17400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万元。本年支出总额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19946.59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其中：基本支出176.27万元，占0.88 %；项目支出19770.32万元，占99.12 %。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176.27万元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是为保障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机关日常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正常运转、完成日常工作任务而发生的各项支出，主要包括：人员经费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146.57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83.15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29.69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16.85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%，主要包括：办公费、印刷费、水费、电费、物业管理费、差旅费、维修（护）费、公务接待费、劳务费、工会经费、其他商品和服务支出。</w:t>
      </w:r>
    </w:p>
    <w:p>
      <w:pPr>
        <w:numPr>
          <w:ilvl w:val="0"/>
          <w:numId w:val="0"/>
        </w:numPr>
        <w:ind w:leftChars="200"/>
        <w:rPr>
          <w:rFonts w:hint="eastAsia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项目支出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19770.32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春季雨露计划和秋季雨露计划385.8万元，小额信贷贴息547.11万元，公益性岗位补贴96万元，稳岗就业补贴25.1万元，其他地方自行试点项目收益专项债券收入安排的支出（桃花江竹海示范区）17400万元，新（改）户用厕所支出721.61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（三）项目绩效目标设立情况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Chars="20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中央、省、市、县各级财政安排，2022年度项目资金决算19770.32万元，分产业扶贫、农村基础设施建设、扶贫小额信贷贴息、雨露计划、扶贫特惠保、致富带头人培训、对口帮扶等项目，项目决策具有规范性、合理性、明确性，资金预算已分配到局镇或项目实施单位，并制定了年度绩效目标.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二、部门整体支出管理及使用情况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（一）基本支出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1、基本支出的主要用途、范围等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基本支出的范围和主要用途包括机关的人员经费和日常公用经费。主要用于全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 w:cs="Times New Roman"/>
          <w:sz w:val="32"/>
          <w:szCs w:val="32"/>
        </w:rPr>
        <w:t>名在职行政事业单位工作人员工资、津补贴、绩效工资、目标考核奖及医保、伙食费补助等方面的开支和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sz w:val="32"/>
          <w:szCs w:val="32"/>
        </w:rPr>
        <w:t>名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跟班学习人员</w:t>
      </w:r>
      <w:r>
        <w:rPr>
          <w:rFonts w:hint="eastAsia" w:ascii="仿宋_GB2312" w:eastAsia="仿宋_GB2312" w:cs="Times New Roman"/>
          <w:sz w:val="32"/>
          <w:szCs w:val="32"/>
        </w:rPr>
        <w:t>的绩效工资、目标考核奖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、工会福利、</w:t>
      </w:r>
      <w:r>
        <w:rPr>
          <w:rFonts w:hint="eastAsia" w:ascii="仿宋_GB2312" w:eastAsia="仿宋_GB2312" w:cs="Times New Roman"/>
          <w:sz w:val="32"/>
          <w:szCs w:val="32"/>
        </w:rPr>
        <w:t>伙食费补助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等开支</w:t>
      </w:r>
      <w:r>
        <w:rPr>
          <w:rFonts w:hint="eastAsia" w:ascii="仿宋_GB2312" w:eastAsia="仿宋_GB2312" w:cs="Times New Roman"/>
          <w:sz w:val="32"/>
          <w:szCs w:val="32"/>
        </w:rPr>
        <w:t>。具体包括：工资福利支出、对个人和家庭的补助、商品和服务支出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、资本性支出</w:t>
      </w:r>
      <w:r>
        <w:rPr>
          <w:rFonts w:hint="eastAsia" w:ascii="仿宋_GB2312" w:eastAsia="仿宋_GB2312" w:cs="Times New Roman"/>
          <w:sz w:val="32"/>
          <w:szCs w:val="32"/>
        </w:rPr>
        <w:t>。基本支出的管理和使用情况如下：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基本支出本年预算指标可用及执行情况（单位：万元）</w:t>
      </w:r>
    </w:p>
    <w:tbl>
      <w:tblPr>
        <w:tblStyle w:val="6"/>
        <w:tblW w:w="841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9"/>
        <w:gridCol w:w="1560"/>
        <w:gridCol w:w="1710"/>
        <w:gridCol w:w="2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560" w:firstLineChars="200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预算项目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本年预算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本年追加</w:t>
            </w:r>
          </w:p>
        </w:tc>
        <w:tc>
          <w:tcPr>
            <w:tcW w:w="26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本年决算金额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工资福利支出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131.13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15.44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146.57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商品和服务支出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24.1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5.59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29.69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对个人和家庭补助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48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560" w:firstLineChars="200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合 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155.23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21.03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176.26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根据本年预算、本年预算追加及本年决算执行情况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 w:cs="Times New Roman"/>
          <w:sz w:val="32"/>
          <w:szCs w:val="32"/>
        </w:rPr>
        <w:t>年我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基本支出比预算增加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21.03</w:t>
      </w:r>
      <w:r>
        <w:rPr>
          <w:rFonts w:hint="eastAsia" w:ascii="仿宋_GB2312" w:eastAsia="仿宋_GB2312" w:cs="Times New Roman"/>
          <w:sz w:val="32"/>
          <w:szCs w:val="32"/>
        </w:rPr>
        <w:t>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left="0" w:firstLine="640" w:firstLineChars="200"/>
        <w:rPr>
          <w:rFonts w:hint="eastAsia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2、</w:t>
      </w:r>
      <w:r>
        <w:rPr>
          <w:rFonts w:hint="eastAsia" w:ascii="仿宋_GB2312" w:eastAsia="仿宋_GB2312" w:cs="Times New Roman"/>
          <w:sz w:val="32"/>
          <w:szCs w:val="32"/>
        </w:rPr>
        <w:t>“三公”经费使用管理情况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sz w:val="32"/>
          <w:szCs w:val="32"/>
        </w:rPr>
        <w:t>年“三公”经费预算情况（单位：万元）</w:t>
      </w:r>
    </w:p>
    <w:tbl>
      <w:tblPr>
        <w:tblStyle w:val="6"/>
        <w:tblW w:w="861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  <w:gridCol w:w="2112"/>
        <w:gridCol w:w="2073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3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费用项目</w:t>
            </w:r>
          </w:p>
        </w:tc>
        <w:tc>
          <w:tcPr>
            <w:tcW w:w="21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基本支出</w:t>
            </w:r>
          </w:p>
        </w:tc>
        <w:tc>
          <w:tcPr>
            <w:tcW w:w="2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项目支出</w:t>
            </w:r>
          </w:p>
        </w:tc>
        <w:tc>
          <w:tcPr>
            <w:tcW w:w="20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2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公务接待费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23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ind w:firstLine="560" w:firstLineChars="200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合计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0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exact"/>
              <w:jc w:val="center"/>
              <w:textAlignment w:val="auto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sz w:val="32"/>
          <w:szCs w:val="32"/>
        </w:rPr>
        <w:t>年“三公”经费预算金额为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/>
          <w:sz w:val="32"/>
          <w:szCs w:val="32"/>
        </w:rPr>
        <w:t>万元，全部为财政拨款资金。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rPr>
          <w:rFonts w:hint="eastAsia" w:ascii="仿宋_GB2312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jc w:val="both"/>
        <w:rPr>
          <w:rFonts w:hint="eastAsia" w:ascii="仿宋_GB2312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jc w:val="both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“三公”经费预算执行情况（单位：万元）</w:t>
      </w:r>
    </w:p>
    <w:p>
      <w:pPr>
        <w:rPr>
          <w:rFonts w:hint="eastAsia"/>
        </w:rPr>
      </w:pPr>
    </w:p>
    <w:tbl>
      <w:tblPr>
        <w:tblStyle w:val="6"/>
        <w:tblW w:w="9146" w:type="dxa"/>
        <w:tblInd w:w="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1206"/>
        <w:gridCol w:w="1506"/>
        <w:gridCol w:w="1260"/>
        <w:gridCol w:w="1260"/>
        <w:gridCol w:w="121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费用项目</w:t>
            </w:r>
          </w:p>
        </w:tc>
        <w:tc>
          <w:tcPr>
            <w:tcW w:w="271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预算金额</w:t>
            </w:r>
          </w:p>
        </w:tc>
        <w:tc>
          <w:tcPr>
            <w:tcW w:w="252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决算金额</w:t>
            </w:r>
          </w:p>
        </w:tc>
        <w:tc>
          <w:tcPr>
            <w:tcW w:w="26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差额（预-决）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/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基本支出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项目支出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基本支出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项目支出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基本支出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项目支出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公务接待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0.96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合计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2.04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jc w:val="center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jc w:val="center"/>
              <w:rPr>
                <w:rFonts w:hint="default" w:asci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0.96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86" w:lineRule="exact"/>
              <w:ind w:firstLine="480" w:firstLineChars="200"/>
              <w:rPr>
                <w:rFonts w:hint="eastAsia"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</w:rPr>
              <w:t>0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sz w:val="32"/>
          <w:szCs w:val="32"/>
        </w:rPr>
        <w:t>年度“三公”经费预算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Times New Roman"/>
          <w:sz w:val="32"/>
          <w:szCs w:val="32"/>
        </w:rPr>
        <w:t>万元，实际支出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2.04</w:t>
      </w:r>
      <w:r>
        <w:rPr>
          <w:rFonts w:hint="eastAsia" w:ascii="仿宋_GB2312" w:eastAsia="仿宋_GB2312" w:cs="Times New Roman"/>
          <w:sz w:val="32"/>
          <w:szCs w:val="32"/>
        </w:rPr>
        <w:t>万元，结余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0.96</w:t>
      </w:r>
      <w:r>
        <w:rPr>
          <w:rFonts w:hint="eastAsia" w:ascii="仿宋_GB2312" w:eastAsia="仿宋_GB2312" w:cs="Times New Roman"/>
          <w:sz w:val="32"/>
          <w:szCs w:val="32"/>
        </w:rPr>
        <w:t>万元，结余率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 w:cs="Times New Roman"/>
          <w:sz w:val="32"/>
          <w:szCs w:val="32"/>
        </w:rPr>
        <w:t>%，实现了对“三公”经费的严格把控与费用节约。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（二）项目支出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1、专项资金支出管理和使用情况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</w:rPr>
        <w:t>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sz w:val="32"/>
          <w:szCs w:val="32"/>
        </w:rPr>
        <w:t>年我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项目支出预算数为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Times New Roman"/>
          <w:sz w:val="32"/>
          <w:szCs w:val="32"/>
        </w:rPr>
        <w:t>万元，决算数为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19770.33</w:t>
      </w:r>
      <w:r>
        <w:rPr>
          <w:rFonts w:hint="eastAsia" w:ascii="仿宋_GB2312" w:eastAsia="仿宋_GB2312" w:cs="Times New Roman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包含：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22022年春季雨露计划和秋季雨露计划385.8万元，小额信贷贴息547.11万元，公益性岗位补贴96万元，稳岗就业补贴25.1万元，其他地方自行试点项目收益专项债券收入安排的支出（桃花江竹海示范区）17400万元，新（改）户用厕所支出721.62万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三、专项资金管理和组织实施情况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局对乡村振兴衔接资金</w:t>
      </w:r>
      <w:r>
        <w:rPr>
          <w:rFonts w:hint="eastAsia" w:ascii="仿宋_GB2312" w:eastAsia="仿宋_GB2312" w:cs="Times New Roman"/>
          <w:sz w:val="32"/>
          <w:szCs w:val="32"/>
        </w:rPr>
        <w:t>按照通用财务管理制度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和《桃江县财政专项扶贫资金管理办法》</w:t>
      </w:r>
      <w:r>
        <w:rPr>
          <w:rFonts w:hint="eastAsia" w:ascii="仿宋_GB2312" w:eastAsia="仿宋_GB2312" w:cs="Times New Roman"/>
          <w:sz w:val="32"/>
          <w:szCs w:val="32"/>
        </w:rPr>
        <w:t>进行了业务管理，设有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专项科目</w:t>
      </w:r>
      <w:r>
        <w:rPr>
          <w:rFonts w:hint="eastAsia" w:ascii="仿宋_GB2312" w:eastAsia="仿宋_GB2312" w:cs="Times New Roman"/>
          <w:sz w:val="32"/>
          <w:szCs w:val="32"/>
        </w:rPr>
        <w:t>核算，纳入财政统一核算管理，财务上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由规划财务股</w:t>
      </w:r>
      <w:r>
        <w:rPr>
          <w:rFonts w:hint="eastAsia" w:ascii="仿宋_GB2312" w:eastAsia="仿宋_GB2312" w:cs="Times New Roman"/>
          <w:sz w:val="32"/>
          <w:szCs w:val="32"/>
        </w:rPr>
        <w:t>负责管理，业务执行情况好，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项</w:t>
      </w:r>
      <w:r>
        <w:rPr>
          <w:rFonts w:hint="eastAsia" w:ascii="仿宋_GB2312" w:eastAsia="仿宋_GB2312" w:cs="Times New Roman"/>
          <w:sz w:val="32"/>
          <w:szCs w:val="32"/>
        </w:rPr>
        <w:t>目资金管理到位。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四、部门整体支出绩效情况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sz w:val="32"/>
          <w:szCs w:val="32"/>
        </w:rPr>
        <w:t>年，根据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年初工作规划和重点性工作，围绕县委、县政府经济工作会议精神，积极履职，强化管理，较好的完成了年度工作目标。通过加强预算收支管理，不断建立健全内部管理制度，梳理内部管理流程，部门整体支出管理情况得到提升。根据20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Times New Roman"/>
          <w:sz w:val="32"/>
          <w:szCs w:val="32"/>
        </w:rPr>
        <w:t>年度部门整体支出状况的概述和分析，部门整体支出绩效情况如下：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</w:rPr>
        <w:t>（一）经济效益评价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1. 本年预算配置控制较好。财政供养人员控制在预算编制以内，编制内在职人员控制率小于100%；“三公”经费实际执行相较于预算总额结余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0.96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万元，实现了对“三公”经费的严格把控与费用节约。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2. 预算执行方面。支出总额控制在预算总额以内，投入进度正常；“三公”经费总体控制较好。预算管理方面，制度执行总体较为有效，仍需进一步强化；资金使用管理需进一步加强。资产管理方面，建立了资产管理制度，定期进行了盘点和资产清理，总体执行较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根据部门整体支出绩效评价指标体系，本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年度评价得分为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99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分。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（二）效率性评价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color w:val="FF0000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预算安排的基本支出保障了我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正常的工作运转，体现了县委县政府对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桃江县乡村振兴局</w:t>
      </w:r>
      <w:r>
        <w:rPr>
          <w:rFonts w:hint="eastAsia" w:ascii="仿宋_GB2312" w:eastAsia="仿宋_GB2312" w:cs="Times New Roman"/>
          <w:sz w:val="32"/>
          <w:szCs w:val="32"/>
        </w:rPr>
        <w:t>的关心和重视，预算安排的项目支出是非常必要的，我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严格遵守各项财经纪律执行的，在财政资金的管理和使用上，严守法律底线、纪律底线、道德底线。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</w:rPr>
        <w:t>五、绩效评价工作情况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color w:val="auto"/>
          <w:sz w:val="32"/>
          <w:szCs w:val="32"/>
        </w:rPr>
        <w:t>（一）绩效评价目的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本次绩效评价的目的是为了全面分析和综合评价我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本级财政预算资金的使用管理情况，为切实提高财政资金使用效益，强化预算支出的责任和效率提供参考依据。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（二）绩效评价工作过程，主要包括前期准备、组织实施和分析评价等内容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我们按照县财政局绩效评价工作要求，第一阶段为前期准备：由我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局规划财务股</w:t>
      </w:r>
      <w:r>
        <w:rPr>
          <w:rFonts w:hint="eastAsia" w:ascii="仿宋_GB2312" w:eastAsia="仿宋_GB2312" w:cs="Times New Roman"/>
          <w:sz w:val="32"/>
          <w:szCs w:val="32"/>
        </w:rPr>
        <w:t>牵头，组织有关业务部门制定了详细的工作方案，明确部门责任；第二阶段开展自评：根据上一阶段任务布置，按照要求展开自评工作；第三阶段为定性终评，并出具评价报告：我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局规划财务股</w:t>
      </w:r>
      <w:r>
        <w:rPr>
          <w:rFonts w:hint="eastAsia" w:ascii="仿宋_GB2312" w:eastAsia="仿宋_GB2312" w:cs="Times New Roman"/>
          <w:sz w:val="32"/>
          <w:szCs w:val="32"/>
        </w:rPr>
        <w:t>联合相关部门查阅相关文件资料和财务凭证，对收集资料进行定量定性分析，综合评议后形成评价结论，出具绩效评价报告。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六、存在的主要问题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预算制度执行总体较为有效，但仍需进一步强化，资金使用管理需进一步加强。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3" w:firstLineChars="20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七、有关建议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针对上述存在的问题及我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局</w:t>
      </w:r>
      <w:r>
        <w:rPr>
          <w:rFonts w:hint="eastAsia" w:ascii="仿宋_GB2312" w:eastAsia="仿宋_GB2312" w:cs="Times New Roman"/>
          <w:sz w:val="32"/>
          <w:szCs w:val="32"/>
        </w:rPr>
        <w:t>整体支出管理工作的需要，拟实施的改进措施如下：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 w:cs="Times New Roman"/>
          <w:sz w:val="32"/>
          <w:szCs w:val="32"/>
        </w:rPr>
        <w:t>细化预算编制工作，认真做好预算的编制。进一步加强预算管理意识，严格按照预算编制的相关制度和要求进行预算编制；进一步提高预算编制的科学性、严谨性和可控性。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（二）加强财务管理，严格财务审核。在费用报账支付时，按照预算规定的费用项目和用途进行资金使用审核、列报支付、财务核算，杜绝超支现象的发生。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（三）持续抓好“三公”经费控制管理。严格控制“三公”经费的规模和比例，把关“三公”经费支出的审核、审批，杜绝挪用和挤占其他预算资金行为。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6" w:lineRule="exact"/>
        <w:ind w:firstLine="640" w:firstLineChars="200"/>
        <w:rPr>
          <w:rFonts w:hint="eastAsia"/>
        </w:rPr>
      </w:pPr>
      <w:r>
        <w:rPr>
          <w:rFonts w:hint="eastAsia" w:ascii="仿宋_GB2312" w:eastAsia="仿宋_GB2312" w:cs="Times New Roman"/>
          <w:sz w:val="32"/>
          <w:szCs w:val="32"/>
        </w:rPr>
        <w:t>（四）认真展开绩效管理。加强项目开展进度的跟踪，开展项目绩效评价，确保项目绩效目标的完成。</w:t>
      </w:r>
    </w:p>
    <w:p>
      <w:pPr>
        <w:rPr>
          <w:rFonts w:hint="eastAsia" w:ascii="仿宋_GB2312" w:eastAsia="仿宋_GB2312" w:cs="Times New Roman"/>
          <w:sz w:val="32"/>
          <w:szCs w:val="32"/>
        </w:rPr>
      </w:pPr>
    </w:p>
    <w:p>
      <w:pPr>
        <w:pStyle w:val="5"/>
        <w:jc w:val="right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                    桃江县乡村振兴局</w:t>
      </w:r>
    </w:p>
    <w:p>
      <w:pPr>
        <w:jc w:val="right"/>
        <w:rPr>
          <w:rFonts w:hint="default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                               2023年5月5日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91" w:right="1417" w:bottom="1191" w:left="141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 w:val="en-US" w:eastAsia="zh-CN"/>
      </w:rPr>
      <w:t>8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B8E37"/>
    <w:multiLevelType w:val="singleLevel"/>
    <w:tmpl w:val="474B8E3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NzVlOWI3MDBiNmU2NGY4YTlmM2ZlMzk4YmVkMzMifQ=="/>
  </w:docVars>
  <w:rsids>
    <w:rsidRoot w:val="5CBA2D06"/>
    <w:rsid w:val="07693529"/>
    <w:rsid w:val="0BCB2D68"/>
    <w:rsid w:val="166F7508"/>
    <w:rsid w:val="1D077978"/>
    <w:rsid w:val="1FD91AA0"/>
    <w:rsid w:val="24514947"/>
    <w:rsid w:val="24FD5DC3"/>
    <w:rsid w:val="262A0F92"/>
    <w:rsid w:val="271B75ED"/>
    <w:rsid w:val="27BA6BCB"/>
    <w:rsid w:val="2A5549C9"/>
    <w:rsid w:val="2A831D35"/>
    <w:rsid w:val="2BC2163A"/>
    <w:rsid w:val="32823817"/>
    <w:rsid w:val="359F1D02"/>
    <w:rsid w:val="36C73B5D"/>
    <w:rsid w:val="39146E2E"/>
    <w:rsid w:val="3CBC28BB"/>
    <w:rsid w:val="42FF312C"/>
    <w:rsid w:val="45637299"/>
    <w:rsid w:val="464402D5"/>
    <w:rsid w:val="464F7254"/>
    <w:rsid w:val="4C9E5BFF"/>
    <w:rsid w:val="55724743"/>
    <w:rsid w:val="58A65D36"/>
    <w:rsid w:val="5CBA2D06"/>
    <w:rsid w:val="5D864D5E"/>
    <w:rsid w:val="5DD90BA3"/>
    <w:rsid w:val="5E785A05"/>
    <w:rsid w:val="5F866E00"/>
    <w:rsid w:val="65660CAD"/>
    <w:rsid w:val="71754026"/>
    <w:rsid w:val="737E5B13"/>
    <w:rsid w:val="7508619A"/>
    <w:rsid w:val="78CD4747"/>
    <w:rsid w:val="7BBD7E4B"/>
    <w:rsid w:val="7D19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仿宋_GB2312"/>
      <w:bCs/>
      <w:sz w:val="32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rPr>
      <w:rFonts w:ascii="Calibri" w:hAnsi="Calibri"/>
    </w:rPr>
  </w:style>
  <w:style w:type="character" w:styleId="8">
    <w:name w:val="page number"/>
    <w:basedOn w:val="7"/>
    <w:qFormat/>
    <w:uiPriority w:val="0"/>
  </w:style>
  <w:style w:type="paragraph" w:customStyle="1" w:styleId="9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4165</Words>
  <Characters>4632</Characters>
  <Lines>0</Lines>
  <Paragraphs>0</Paragraphs>
  <TotalTime>14</TotalTime>
  <ScaleCrop>false</ScaleCrop>
  <LinksUpToDate>false</LinksUpToDate>
  <CharactersWithSpaces>4710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2023-05-15T01:45:00Z</dcterms:created>
  <dc:creator>Administrator</dc:creator>
  <cp:lastModifiedBy>Administrator</cp:lastModifiedBy>
  <dcterms:modified xsi:type="dcterms:W3CDTF">2023-11-08T02:18:01Z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245E06D9E0EA4569A9498F215BBEA6E7_11</vt:lpwstr>
  </property>
</Properties>
</file>