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2022年部门整体绩效自评报告</w:t>
      </w:r>
    </w:p>
    <w:p>
      <w:pPr>
        <w:pStyle w:val="3"/>
        <w:bidi w:val="0"/>
        <w:jc w:val="center"/>
        <w:rPr>
          <w:rFonts w:hint="eastAsia" w:ascii="宋体" w:hAnsi="宋体" w:eastAsia="宋体" w:cs="宋体"/>
          <w:lang w:val="en-US" w:eastAsia="zh-CN"/>
        </w:rPr>
      </w:pPr>
      <w:r>
        <w:rPr>
          <w:rFonts w:hint="eastAsia" w:ascii="宋体" w:hAnsi="宋体" w:eastAsia="宋体" w:cs="宋体"/>
          <w:lang w:val="en-US" w:eastAsia="zh-CN"/>
        </w:rPr>
        <w:t>桃江县科学技术协会</w:t>
      </w:r>
    </w:p>
    <w:p>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2023年4月12日</w:t>
      </w:r>
    </w:p>
    <w:p>
      <w:pPr>
        <w:numPr>
          <w:ilvl w:val="0"/>
          <w:numId w:val="1"/>
        </w:numPr>
        <w:ind w:left="420" w:leftChars="0" w:firstLine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部门概况</w:t>
      </w:r>
    </w:p>
    <w:p>
      <w:pPr>
        <w:pStyle w:val="2"/>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（一）单位基本情况</w:t>
      </w:r>
    </w:p>
    <w:p>
      <w:pPr>
        <w:pStyle w:val="11"/>
        <w:spacing w:before="0" w:beforeAutospacing="0" w:after="2" w:afterAutospacing="0"/>
        <w:ind w:firstLine="900" w:firstLineChars="300"/>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rPr>
        <w:t>桃江县科学技术协会</w:t>
      </w:r>
      <w:r>
        <w:rPr>
          <w:rFonts w:hint="eastAsia" w:ascii="仿宋" w:hAnsi="仿宋" w:eastAsia="仿宋" w:cs="仿宋"/>
          <w:color w:val="000000"/>
          <w:kern w:val="2"/>
          <w:sz w:val="30"/>
          <w:szCs w:val="30"/>
          <w:lang w:val="en-US" w:eastAsia="zh-CN"/>
        </w:rPr>
        <w:t>属行政单位，</w:t>
      </w:r>
      <w:r>
        <w:rPr>
          <w:rFonts w:hint="eastAsia" w:ascii="仿宋" w:hAnsi="仿宋" w:eastAsia="仿宋" w:cs="仿宋"/>
          <w:color w:val="000000"/>
          <w:kern w:val="2"/>
          <w:sz w:val="30"/>
          <w:szCs w:val="30"/>
        </w:rPr>
        <w:t>共有编制人数</w:t>
      </w:r>
      <w:r>
        <w:rPr>
          <w:rFonts w:hint="eastAsia" w:ascii="仿宋" w:hAnsi="仿宋" w:eastAsia="仿宋" w:cs="仿宋"/>
          <w:color w:val="000000"/>
          <w:kern w:val="2"/>
          <w:sz w:val="30"/>
          <w:szCs w:val="30"/>
          <w:lang w:val="en-US" w:eastAsia="zh-CN"/>
        </w:rPr>
        <w:t>9</w:t>
      </w:r>
      <w:r>
        <w:rPr>
          <w:rFonts w:hint="eastAsia" w:ascii="仿宋" w:hAnsi="仿宋" w:eastAsia="仿宋" w:cs="仿宋"/>
          <w:color w:val="000000"/>
          <w:kern w:val="2"/>
          <w:sz w:val="30"/>
          <w:szCs w:val="30"/>
        </w:rPr>
        <w:t>人，实有人数</w:t>
      </w:r>
      <w:r>
        <w:rPr>
          <w:rFonts w:hint="eastAsia" w:ascii="仿宋" w:hAnsi="仿宋" w:eastAsia="仿宋" w:cs="仿宋"/>
          <w:color w:val="000000"/>
          <w:kern w:val="2"/>
          <w:sz w:val="30"/>
          <w:szCs w:val="30"/>
          <w:lang w:val="en-US" w:eastAsia="zh-CN"/>
        </w:rPr>
        <w:t>9</w:t>
      </w:r>
      <w:r>
        <w:rPr>
          <w:rFonts w:hint="eastAsia" w:ascii="仿宋" w:hAnsi="仿宋" w:eastAsia="仿宋" w:cs="仿宋"/>
          <w:color w:val="000000"/>
          <w:kern w:val="2"/>
          <w:sz w:val="30"/>
          <w:szCs w:val="30"/>
        </w:rPr>
        <w:t>人。内设股室2个，分别为办公室和学会部。</w:t>
      </w:r>
      <w:r>
        <w:rPr>
          <w:rFonts w:hint="eastAsia" w:ascii="仿宋" w:hAnsi="仿宋" w:eastAsia="仿宋" w:cs="仿宋"/>
          <w:color w:val="000000"/>
          <w:kern w:val="2"/>
          <w:sz w:val="30"/>
          <w:szCs w:val="30"/>
          <w:lang w:val="en-US" w:eastAsia="zh-CN"/>
        </w:rPr>
        <w:t>主要职责为：</w:t>
      </w:r>
      <w:r>
        <w:rPr>
          <w:rFonts w:hint="eastAsia" w:ascii="仿宋" w:hAnsi="仿宋" w:eastAsia="仿宋" w:cs="仿宋"/>
          <w:color w:val="000000"/>
          <w:kern w:val="2"/>
          <w:sz w:val="30"/>
          <w:szCs w:val="30"/>
          <w:lang w:eastAsia="zh-CN"/>
        </w:rPr>
        <w:t>（</w:t>
      </w:r>
      <w:r>
        <w:rPr>
          <w:rFonts w:hint="eastAsia" w:ascii="仿宋" w:hAnsi="仿宋" w:eastAsia="仿宋" w:cs="仿宋"/>
          <w:color w:val="000000"/>
          <w:kern w:val="2"/>
          <w:sz w:val="30"/>
          <w:szCs w:val="30"/>
        </w:rPr>
        <w:t xml:space="preserve">一）密切联系科学技术工作者，宣传党的路线方针政策，反映科学技术工作者的建议、意见和诉求，维护科学技术工作者的合法权益，建设科技工作者之家。 （二）开展学术交流，活跃学术思想，倡导学术民主，优化学术环境，促进学科发展，推进全县创新体系建设;负责桃江籍院士专家和为桃江服务的院士专家的联络服务；做好院士专家科技成果转化、院士专家宣传和院士专家工作站的申报、指导、组织认定等工作。 （三）组织科学技术工作者开展科技创新，参与科学论证和咨询服务，加快科学技术成果转化应用，助力创新发展，增强企业自主创新。 </w:t>
      </w:r>
      <w:r>
        <w:rPr>
          <w:rFonts w:hint="eastAsia" w:ascii="仿宋" w:hAnsi="仿宋" w:eastAsia="仿宋" w:cs="仿宋"/>
          <w:color w:val="000000"/>
          <w:kern w:val="2"/>
          <w:sz w:val="30"/>
          <w:szCs w:val="30"/>
          <w:lang w:eastAsia="zh-CN"/>
        </w:rPr>
        <w:t>（</w:t>
      </w:r>
      <w:r>
        <w:rPr>
          <w:rFonts w:hint="eastAsia" w:ascii="仿宋" w:hAnsi="仿宋" w:eastAsia="仿宋" w:cs="仿宋"/>
          <w:color w:val="000000"/>
          <w:kern w:val="2"/>
          <w:sz w:val="30"/>
          <w:szCs w:val="30"/>
        </w:rPr>
        <w:t>四）组织推动全县城乡科学技术普及工作；协助制定科普工作规划，编制科普专项经费预算。弘扬科学精神，普及科学知识，推广先进技术，传播科学思想和科学方法，捍卫科学尊严，提高全民科学素质。（五）组织科学技术工作者为县委、县政府制定科学技术政策、法规提供咨询，组织科学技术工作者参与地方事务的政治协商、科学决策、民主监督工作。（六）会同有关部门开展科技工作者的继续教育和培训，注重激发青少年科技兴趣，发现培养杰出青年科技工作者和创新团队，表彰奖励优秀科学技术工作者，举荐科学技术人才。（七）协调县级自然科学专门学会之间，学会与乡镇科协之间的关系，加强与社会科学的学科联系，编辑出版科普和学术刊物，举办为科技工作者和科技活动服务的公益事业。</w:t>
      </w:r>
      <w:r>
        <w:rPr>
          <w:rFonts w:hint="eastAsia" w:ascii="仿宋" w:hAnsi="仿宋" w:eastAsia="仿宋" w:cs="仿宋"/>
          <w:color w:val="000000"/>
          <w:kern w:val="2"/>
          <w:sz w:val="30"/>
          <w:szCs w:val="30"/>
          <w:lang w:eastAsia="zh-CN"/>
        </w:rPr>
        <w:t>（</w:t>
      </w:r>
      <w:r>
        <w:rPr>
          <w:rFonts w:hint="eastAsia" w:ascii="仿宋" w:hAnsi="仿宋" w:eastAsia="仿宋" w:cs="仿宋"/>
          <w:color w:val="000000"/>
          <w:kern w:val="2"/>
          <w:sz w:val="30"/>
          <w:szCs w:val="30"/>
        </w:rPr>
        <w:t>八）管理、指导、协调各类科学技术协会，组织厂会协作、厂校协作活动，组织开展农村科普示范创建工作</w:t>
      </w:r>
      <w:r>
        <w:rPr>
          <w:rFonts w:hint="eastAsia" w:ascii="仿宋" w:hAnsi="仿宋" w:eastAsia="仿宋" w:cs="仿宋"/>
          <w:color w:val="000000"/>
          <w:kern w:val="2"/>
          <w:sz w:val="30"/>
          <w:szCs w:val="30"/>
          <w:lang w:eastAsia="zh-CN"/>
        </w:rPr>
        <w:t>。</w:t>
      </w:r>
      <w:r>
        <w:rPr>
          <w:rFonts w:hint="eastAsia" w:ascii="仿宋" w:hAnsi="仿宋" w:eastAsia="仿宋" w:cs="仿宋"/>
          <w:color w:val="000000"/>
          <w:kern w:val="2"/>
          <w:sz w:val="30"/>
          <w:szCs w:val="30"/>
        </w:rPr>
        <w:t xml:space="preserve"> </w:t>
      </w:r>
    </w:p>
    <w:p>
      <w:pPr>
        <w:pStyle w:val="11"/>
        <w:numPr>
          <w:ilvl w:val="0"/>
          <w:numId w:val="2"/>
        </w:numPr>
        <w:spacing w:before="0" w:beforeAutospacing="0" w:after="2" w:afterAutospacing="0"/>
        <w:ind w:firstLine="963" w:firstLineChars="300"/>
        <w:rPr>
          <w:rFonts w:hint="eastAsia" w:ascii="仿宋" w:hAnsi="仿宋" w:eastAsia="仿宋" w:cs="仿宋"/>
          <w:b/>
          <w:bCs/>
          <w:color w:val="000000"/>
          <w:kern w:val="2"/>
          <w:sz w:val="32"/>
          <w:szCs w:val="32"/>
          <w:lang w:val="en-US" w:eastAsia="zh-CN"/>
        </w:rPr>
      </w:pPr>
      <w:r>
        <w:rPr>
          <w:rFonts w:hint="eastAsia" w:ascii="仿宋" w:hAnsi="仿宋" w:eastAsia="仿宋" w:cs="仿宋"/>
          <w:b/>
          <w:bCs/>
          <w:color w:val="000000"/>
          <w:kern w:val="2"/>
          <w:sz w:val="32"/>
          <w:szCs w:val="32"/>
          <w:lang w:val="en-US" w:eastAsia="zh-CN"/>
        </w:rPr>
        <w:t>部门整体支出情况</w:t>
      </w:r>
    </w:p>
    <w:p>
      <w:pPr>
        <w:pStyle w:val="11"/>
        <w:numPr>
          <w:ilvl w:val="0"/>
          <w:numId w:val="0"/>
        </w:numPr>
        <w:spacing w:before="0" w:beforeAutospacing="0" w:after="2" w:afterAutospacing="0"/>
        <w:ind w:leftChars="300" w:right="0" w:rightChars="0" w:firstLine="300" w:firstLineChars="100"/>
        <w:rPr>
          <w:rFonts w:hint="default" w:ascii="仿宋" w:hAnsi="仿宋" w:eastAsia="仿宋" w:cs="仿宋"/>
          <w:color w:val="000000"/>
          <w:kern w:val="2"/>
          <w:sz w:val="30"/>
          <w:szCs w:val="30"/>
          <w:lang w:val="en-US" w:eastAsia="zh-CN"/>
        </w:rPr>
      </w:pPr>
      <w:r>
        <w:rPr>
          <w:rFonts w:hint="eastAsia" w:ascii="仿宋" w:hAnsi="仿宋" w:eastAsia="仿宋" w:cs="仿宋"/>
          <w:color w:val="000000"/>
          <w:kern w:val="2"/>
          <w:sz w:val="30"/>
          <w:szCs w:val="30"/>
          <w:lang w:val="en-US" w:eastAsia="zh-CN"/>
        </w:rPr>
        <w:t>2022年，县财政批复年初预算186.51万元，全年预算调整为258.82万元，全年预算收入合计258.82万元，全年整体支出258.82万元，其中基本支出159.64万元（人员经费124.83万元，公用经费33.09万元，对个人和家庭的补助1.72万元），项目支出99.18万元，（其中科普活动与科技馆巡展费96.55万元;一般行政管理事务1.04万元；其他巩固脱贫衔接乡村振兴支出1.59万元。）</w:t>
      </w:r>
    </w:p>
    <w:p>
      <w:pPr>
        <w:pStyle w:val="11"/>
        <w:numPr>
          <w:ilvl w:val="0"/>
          <w:numId w:val="2"/>
        </w:numPr>
        <w:spacing w:before="0" w:beforeAutospacing="0" w:after="2" w:afterAutospacing="0"/>
        <w:ind w:left="0" w:leftChars="0" w:firstLine="963" w:firstLineChars="300"/>
        <w:rPr>
          <w:rFonts w:hint="eastAsia" w:ascii="仿宋" w:hAnsi="仿宋" w:eastAsia="仿宋" w:cs="仿宋"/>
          <w:b/>
          <w:bCs/>
          <w:color w:val="000000"/>
          <w:kern w:val="2"/>
          <w:sz w:val="32"/>
          <w:szCs w:val="32"/>
          <w:lang w:val="en-US" w:eastAsia="zh-CN"/>
        </w:rPr>
      </w:pPr>
      <w:r>
        <w:rPr>
          <w:rFonts w:hint="eastAsia" w:ascii="仿宋" w:hAnsi="仿宋" w:eastAsia="仿宋" w:cs="仿宋"/>
          <w:b/>
          <w:bCs/>
          <w:color w:val="000000"/>
          <w:kern w:val="2"/>
          <w:sz w:val="32"/>
          <w:szCs w:val="32"/>
          <w:lang w:val="en-US" w:eastAsia="zh-CN"/>
        </w:rPr>
        <w:t>绩效目标设立情况</w:t>
      </w:r>
    </w:p>
    <w:p>
      <w:pPr>
        <w:pStyle w:val="11"/>
        <w:numPr>
          <w:ilvl w:val="0"/>
          <w:numId w:val="0"/>
        </w:numPr>
        <w:spacing w:before="0" w:beforeAutospacing="0" w:after="2" w:afterAutospacing="0"/>
        <w:ind w:leftChars="300" w:right="0" w:rightChars="0"/>
        <w:rPr>
          <w:rFonts w:hint="eastAsia" w:ascii="仿宋" w:hAnsi="仿宋" w:eastAsia="仿宋" w:cs="仿宋"/>
          <w:color w:val="000000"/>
          <w:kern w:val="2"/>
          <w:sz w:val="30"/>
          <w:szCs w:val="30"/>
          <w:lang w:val="en-US" w:eastAsia="zh-CN"/>
        </w:rPr>
      </w:pPr>
      <w:r>
        <w:rPr>
          <w:rFonts w:hint="eastAsia" w:ascii="仿宋" w:hAnsi="仿宋" w:eastAsia="仿宋" w:cs="仿宋"/>
          <w:color w:val="000000"/>
          <w:kern w:val="2"/>
          <w:sz w:val="30"/>
          <w:szCs w:val="30"/>
          <w:lang w:val="en-US" w:eastAsia="zh-CN"/>
        </w:rPr>
        <w:t xml:space="preserve"> 年初，根据县财政局关于开展绩效目标评价的要求，我协会以合理使用部门整体预算资金为目的，确定主要完成以下工作任务：一是按财政预算资金保证干职工工资的正常发放和协会日常工作的正常运转。二是坚持服务公民科学素质提升，科学编制《桃江县全民科学素质行动规划纲要实施方案（2021-2025）》。三是认真开展全国科普日系列活动。四是扎实开展青少年科技活动。五</w:t>
      </w:r>
      <w:r>
        <w:rPr>
          <w:rFonts w:hint="eastAsia" w:ascii="仿宋" w:hAnsi="仿宋" w:eastAsia="仿宋" w:cs="仿宋"/>
          <w:sz w:val="30"/>
          <w:szCs w:val="30"/>
        </w:rPr>
        <w:t>是认真组织实施五项科普提升行动</w:t>
      </w:r>
      <w:r>
        <w:rPr>
          <w:rFonts w:hint="eastAsia" w:ascii="仿宋" w:hAnsi="仿宋" w:eastAsia="仿宋" w:cs="仿宋"/>
          <w:sz w:val="30"/>
          <w:szCs w:val="30"/>
          <w:lang w:eastAsia="zh-CN"/>
        </w:rPr>
        <w:t>。</w:t>
      </w:r>
    </w:p>
    <w:p>
      <w:pPr>
        <w:keepNext w:val="0"/>
        <w:keepLines w:val="0"/>
        <w:widowControl w:val="0"/>
        <w:numPr>
          <w:ilvl w:val="0"/>
          <w:numId w:val="0"/>
        </w:numPr>
        <w:suppressLineNumbers w:val="0"/>
        <w:adjustRightInd w:val="0"/>
        <w:snapToGrid w:val="0"/>
        <w:spacing w:before="0" w:beforeAutospacing="0" w:after="0" w:afterAutospacing="0" w:line="600" w:lineRule="exact"/>
        <w:ind w:right="0" w:rightChars="0" w:firstLine="963" w:firstLineChars="300"/>
        <w:jc w:val="both"/>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二、部门整体支出管理及使用情况分析</w:t>
      </w:r>
    </w:p>
    <w:p>
      <w:pPr>
        <w:keepNext w:val="0"/>
        <w:keepLines w:val="0"/>
        <w:widowControl w:val="0"/>
        <w:numPr>
          <w:ilvl w:val="0"/>
          <w:numId w:val="0"/>
        </w:numPr>
        <w:suppressLineNumbers w:val="0"/>
        <w:adjustRightInd w:val="0"/>
        <w:snapToGrid w:val="0"/>
        <w:spacing w:before="0" w:beforeAutospacing="0" w:after="0" w:afterAutospacing="0" w:line="600" w:lineRule="exact"/>
        <w:ind w:right="0" w:rightChars="0" w:firstLine="600" w:firstLineChars="2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1、预算平衡情况：2022年本部门一般公共预算拨款收入支出258.82万元，收支平衡。</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预算支出情况分析：2022年部门预算财政拨款基本支出159.64万元，均为单位机构进行的正常运转和完成时常工作而发生的各项支出，包括用于基本工资，津补贴、养老保险等人员经费，以及办公费、印刷费、劳务费。工会经费、差旅费等其他日常公用支出，其中：工资福利支出124.83万元，其他商品服务支出33.09万元，对个人和家庭的补助1.72万元。</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3、2022年部门项目整体支出99.18万元。其中科普活动与科技馆巡展费96.55万元，一般行政管理事务1.04万元，（日常工作经费）乡村振兴支出1.59万元。</w:t>
      </w:r>
      <w:r>
        <w:rPr>
          <w:rFonts w:hint="eastAsia" w:ascii="仿宋" w:hAnsi="仿宋" w:eastAsia="仿宋" w:cs="仿宋"/>
          <w:kern w:val="2"/>
          <w:sz w:val="30"/>
          <w:szCs w:val="30"/>
          <w:lang w:val="en-US" w:eastAsia="zh-CN" w:bidi="ar"/>
        </w:rPr>
        <w:t>科普宣传活动费与科技馆巡展费严格按照年初预算专项使用。2022年我单位根据年初工作规划和重点性工作，围绕县委县政府，积极履行，强化管理，较好的完成了年度工作目标。通过加强预算收支管理。建立健全了单位内部财务制度，梳理了内部管理流程，部门整体支出管理情况得到提升。</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4、“三公”经费预算：2022年机关运行经费33.09万元，“三公”经费预算1.58万元，实际支出1.04万元，没有超过年初预算</w:t>
      </w:r>
    </w:p>
    <w:p>
      <w:pPr>
        <w:pStyle w:val="2"/>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三、部门整体支出绩效评价</w:t>
      </w:r>
    </w:p>
    <w:p>
      <w:pPr>
        <w:pStyle w:val="2"/>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桃江县科学技术协会2022年根据年初工作计划和县政府重点工作安排，积极履行职责职能，强化内部管理，较好的完成了年初制定的工作目标，通过加强预算收支管理，不断建立健全了内部管理制度，部门整体支出情况得到了进一步提升，部门整体支出绩效完成情况如下：</w:t>
      </w:r>
    </w:p>
    <w:p>
      <w:pPr>
        <w:autoSpaceDE w:val="0"/>
        <w:adjustRightInd w:val="0"/>
        <w:snapToGrid w:val="0"/>
        <w:spacing w:line="5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坚持服务公民科学素质提升</w:t>
      </w:r>
    </w:p>
    <w:p>
      <w:pPr>
        <w:autoSpaceDE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一是科学编制《桃江县全民科学素质行动规划纲要实施方案(2021-2025）》。</w:t>
      </w:r>
      <w:r>
        <w:rPr>
          <w:rFonts w:hint="eastAsia" w:ascii="仿宋" w:hAnsi="仿宋" w:eastAsia="仿宋" w:cs="仿宋"/>
          <w:color w:val="000000"/>
          <w:sz w:val="30"/>
          <w:szCs w:val="30"/>
        </w:rPr>
        <w:t>根据国务院发布的规划纲要以及省市实施方案，县科协起草了《桃江县全民科学素质行动规划纲要实施方案(2021-2025）》（草案），通过县政府组织召开专题会议征求纲要办成员单位的意见建议、网上发布征求社会各界的意见建议、法制审查等程序，由县政府第八次常务会议审议通过，并由县政府办发布实施。</w:t>
      </w:r>
      <w:r>
        <w:rPr>
          <w:rFonts w:hint="eastAsia" w:ascii="仿宋" w:hAnsi="仿宋" w:eastAsia="仿宋" w:cs="仿宋"/>
          <w:sz w:val="30"/>
          <w:szCs w:val="30"/>
        </w:rPr>
        <w:t>目前，我们正在积极推动纲要实施方案的宣传和组织实施工作。二是认真开展全国科普日系列活动。9月16日，联合县委宣传部、县农业农村局等15个部门和单位，举行了“喜迎二十大 科普向未来”桃江县 2022年全国科普日主场活动暨科普助力乡村振兴联合行动启动仪式，各部门围绕乡村振兴、创新创造、文明创建、保护环境等方面的举办了10余项科普活动，此外，县科协还组织了安全生产、医学保健知识讲座、义诊、以及乡村振兴知识抢答赛，发放科普宣传资料3000多份。三是扎实开展青少年科技活动。正在联合教育局、科工局等单位组织选派优秀作品加第44届益阳市青少年科技创新大赛。开展了中学生奥林匹克“五项”学科竞赛，并选派优秀学生参加省级联赛。四是认真组织实施五项科普提升行动。针对青少年、农民、产业工人、老年人、领导干部和公务员五大科普重点人群，深入开展各类科普行动，着力提升科学素质。积极构建“互联网+科普”模式，不断深化桃江科普网、科普e站、“科普桃江”微信公众号和科普短信平台建设，推动了科普工作创新发展，着力解决科普信息传播“最后一公里”问题。通过科普活动周、爱国卫生月、防灾减灾日等主题活动，以“科普防疫”、“防灾减灾日”、“防溺水”、“创建百岁健康县”等系列科普活动为主题，对各类群体，进行应急避灾、食品安全、健康养生等知识普及。</w:t>
      </w:r>
    </w:p>
    <w:p>
      <w:pPr>
        <w:autoSpaceDE w:val="0"/>
        <w:adjustRightInd w:val="0"/>
        <w:snapToGrid w:val="0"/>
        <w:spacing w:line="5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坚持服务科技工作者</w:t>
      </w:r>
    </w:p>
    <w:p>
      <w:pPr>
        <w:autoSpaceDE w:val="0"/>
        <w:adjustRightInd w:val="0"/>
        <w:snapToGrid w:val="0"/>
        <w:spacing w:line="580" w:lineRule="exact"/>
        <w:ind w:firstLine="645"/>
        <w:rPr>
          <w:rFonts w:hint="eastAsia" w:ascii="仿宋" w:hAnsi="仿宋" w:eastAsia="仿宋" w:cs="仿宋"/>
          <w:color w:val="4F81BD"/>
          <w:sz w:val="30"/>
          <w:szCs w:val="30"/>
        </w:rPr>
      </w:pPr>
      <w:r>
        <w:rPr>
          <w:rFonts w:hint="eastAsia" w:ascii="仿宋" w:hAnsi="仿宋" w:eastAsia="仿宋" w:cs="仿宋"/>
          <w:sz w:val="30"/>
          <w:szCs w:val="30"/>
        </w:rPr>
        <w:t>精心组织科技工作者日系列活动。今年的全国科技工作者日以“创新争先、自立自强”为主题，重点宣传我县广大科技工作者投身“三高四新”战略、服务推动高质量发展，建设富饶美丽幸福新桃江所取得的成就，表彰了莫军等6最美科技工作者和昌盛等6名最美科学传播者，并在桃江公众信息网、科普桃江微信公众号对先进典型和事迹进行了宣传报道，提升了科协组织的凝聚力，增强科技工作者的自豪感、获得感和使命感。积极举才荐才</w:t>
      </w:r>
      <w:r>
        <w:rPr>
          <w:rFonts w:hint="eastAsia" w:ascii="仿宋" w:hAnsi="仿宋" w:eastAsia="仿宋" w:cs="仿宋"/>
          <w:sz w:val="30"/>
          <w:szCs w:val="30"/>
          <w:lang w:eastAsia="zh-CN"/>
        </w:rPr>
        <w:t>，</w:t>
      </w:r>
      <w:r>
        <w:rPr>
          <w:rFonts w:hint="eastAsia" w:ascii="仿宋" w:hAnsi="仿宋" w:eastAsia="仿宋" w:cs="仿宋"/>
          <w:sz w:val="30"/>
          <w:szCs w:val="30"/>
        </w:rPr>
        <w:t>积极举荐桃花江竹材料科技股份有限公司技术开发总监胡进波博士参评湖南省科技工作者，成功推荐桃花江竹材料科技股份有限公司技术研发人员李婷获评益阳市“小荷人才”计划，推选基层科协的优秀代表马迹塘镇科协主席黄海龙为湖南省科学技术协会第十一次全省代表大会代表，推荐湖南农业大学桃江籍在职博士王刚加入湖南省青年科技工作者协会会员，并参加了博鳌亚洲论坛“全球经济发展与安全论坛”。通过评优评先，激发广大科技工作者创新创造热情，营造了“尊重知识尊重人才”的良好社会风尚。</w:t>
      </w:r>
    </w:p>
    <w:p>
      <w:pPr>
        <w:autoSpaceDE w:val="0"/>
        <w:adjustRightInd w:val="0"/>
        <w:snapToGrid w:val="0"/>
        <w:spacing w:line="5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坚持服务创新驱动发展</w:t>
      </w:r>
    </w:p>
    <w:p>
      <w:pPr>
        <w:autoSpaceDE w:val="0"/>
        <w:adjustRightInd w:val="0"/>
        <w:snapToGrid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实施科技助力乡村振兴项目。针对竹笋加工企业在发展中存在的突出问题，牵头组织湖南微生物学会与惊石农业、亿阳仑公司、罗溪生态农业专业合作社签订“1+3”科技助力乡村振兴项目，通过凝聚科技人才，推进产学研深度融合，为竹笋产业发展提供“加速新引擎”。签约以来，湖南农业大学、湖南师大等高校的专家教授已到相关企业开展科技攻关和科普培训10余次，新产品开发有了一定的进展，正逐步向市场导入。目前该项目已通过了市科协考核验收。另外，积极争取中国（桃江）竹文化科普基地授予竹文化湖南省科普基地。院士专家工作取得新突破。8月4日，经市科协引荐，中国工程院一局副局长左家和，中国工程院院士、中南林业科技大学校长吴义强一行来桃考察竹产业。考察团对桃江竹产业发展现状给予高度赞赏，并表示将积极搭建院企、校企合作平台，在科研服务、人才培养、技术咨询等方面全力支持桃江竹产业发展。近年来，县科协积极推动院士专家工作站培育和建设工作，促进了谢胜全院士工作站落户湖南福德电气有限公司，加强了吴义强院士团队与湖南桃花江竹材科技有限公司科研合作；2022年成功建成长沙理工大学校长曹一家专家工作站（设湖南福德电气有限公司）、湖南工业大学国务院特殊津贴专家张昌凡专家工作站（设桃江鑫辰实业发展有限公司）、中南林业科技大学研究生院院长李贤军专家工作站（设湖南桃花江竹材科技有限公司）三家市级专家工作站，三个市级专家工作站均已成功申报省级专家工作站，我县创建省级专家工作站在益阳市所有区县市中排名第一。</w:t>
      </w:r>
    </w:p>
    <w:p>
      <w:pPr>
        <w:autoSpaceDE w:val="0"/>
        <w:adjustRightInd w:val="0"/>
        <w:snapToGrid w:val="0"/>
        <w:spacing w:line="5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坚持服务县委县政府科学决策</w:t>
      </w:r>
    </w:p>
    <w:p>
      <w:pPr>
        <w:autoSpaceDE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完善桃江籍人才专家库。通过与县政协、乡镇科协以及县直单位的联系对接，补充完善了160多名桃江籍院士专家名录，按照研究方向进行了梳理，并结合与教育部门、卫健部门以及县内企业的需求，进行了初步对接，特别是在科普教育合作等方面达成了一定的共识。引导专家献计献策。通过参与异地的经促会、乡友会、招商会，开展院士专家工作联络活动，对家乡的项目建设和企业科技需求进行了推介，实现科技供需精准对接，目前中南大学教授周向阳成立的企业已在灰山港工业集中区落户。积极宣传桃江籍杰出科技工作者的成就和事迹，盛情邀请桃江籍专家教授为家乡的发展献智献策。此外，还通过传统节假日慰问、专家座谈会、微信群等形式，听取专家教授对家乡经济社会发展的建议意见</w:t>
      </w:r>
    </w:p>
    <w:p>
      <w:pPr>
        <w:keepNext w:val="0"/>
        <w:keepLines w:val="0"/>
        <w:widowControl w:val="0"/>
        <w:numPr>
          <w:ilvl w:val="0"/>
          <w:numId w:val="0"/>
        </w:numPr>
        <w:suppressLineNumbers w:val="0"/>
        <w:adjustRightInd w:val="0"/>
        <w:snapToGrid w:val="0"/>
        <w:spacing w:before="0" w:beforeAutospacing="0" w:after="0" w:afterAutospacing="0" w:line="600" w:lineRule="exact"/>
        <w:ind w:right="0" w:rightChars="0" w:firstLine="642" w:firstLineChars="200"/>
        <w:jc w:val="both"/>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四、经济效益评价</w:t>
      </w:r>
    </w:p>
    <w:p>
      <w:pPr>
        <w:keepNext w:val="0"/>
        <w:keepLines w:val="0"/>
        <w:widowControl w:val="0"/>
        <w:numPr>
          <w:ilvl w:val="0"/>
          <w:numId w:val="0"/>
        </w:numPr>
        <w:suppressLineNumbers w:val="0"/>
        <w:adjustRightInd w:val="0"/>
        <w:snapToGrid w:val="0"/>
        <w:spacing w:before="0" w:beforeAutospacing="0" w:after="0" w:afterAutospacing="0" w:line="600" w:lineRule="exact"/>
        <w:ind w:right="0" w:rightChars="0" w:firstLine="600" w:firstLineChars="2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1、  我协会根据年初预算安排全面分析综合评价本级财政资金使用管理情况，切实提高了财政资金的使用效益，强化预算资金支出的正确使用，预算配置控制较好。“三公”经费实际支出1.04万元，本单位以厉行节约为本，严格控制在预算指标内。</w:t>
      </w:r>
    </w:p>
    <w:p>
      <w:pPr>
        <w:keepNext w:val="0"/>
        <w:keepLines w:val="0"/>
        <w:widowControl w:val="0"/>
        <w:numPr>
          <w:ilvl w:val="0"/>
          <w:numId w:val="0"/>
        </w:numPr>
        <w:suppressLineNumbers w:val="0"/>
        <w:adjustRightInd w:val="0"/>
        <w:snapToGrid w:val="0"/>
        <w:spacing w:before="0" w:beforeAutospacing="0" w:after="0" w:afterAutospacing="0" w:line="600" w:lineRule="exact"/>
        <w:ind w:right="0" w:rightChars="0" w:firstLine="600" w:firstLineChars="2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2、预算执行方面。2022年预算收支总额控制在预算总额以内。本年本部门预算未进行相关事项的调整。“三公”经费整体控制较好，未超过年初预算。</w:t>
      </w:r>
    </w:p>
    <w:p>
      <w:pPr>
        <w:pStyle w:val="2"/>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3、预算管理方面，各项预算收支 管理制度整体执行较为有效，有待进一步加强。</w:t>
      </w:r>
    </w:p>
    <w:p>
      <w:pPr>
        <w:pStyle w:val="2"/>
        <w:ind w:left="0" w:leftChars="0" w:firstLine="0" w:firstLineChars="0"/>
        <w:rPr>
          <w:rFonts w:hint="eastAsia" w:ascii="仿宋" w:hAnsi="仿宋" w:eastAsia="仿宋" w:cs="仿宋"/>
          <w:b/>
          <w:bCs/>
          <w:kern w:val="2"/>
          <w:sz w:val="32"/>
          <w:szCs w:val="32"/>
          <w:lang w:val="en-US" w:eastAsia="zh-CN" w:bidi="ar"/>
        </w:rPr>
      </w:pPr>
      <w:r>
        <w:rPr>
          <w:rFonts w:hint="eastAsia" w:ascii="仿宋" w:hAnsi="仿宋" w:eastAsia="仿宋" w:cs="仿宋"/>
          <w:kern w:val="2"/>
          <w:sz w:val="30"/>
          <w:szCs w:val="30"/>
          <w:lang w:val="en-US" w:eastAsia="zh-CN" w:bidi="ar"/>
        </w:rPr>
        <w:t xml:space="preserve">   </w:t>
      </w:r>
      <w:r>
        <w:rPr>
          <w:rFonts w:hint="eastAsia" w:ascii="仿宋" w:hAnsi="仿宋" w:eastAsia="仿宋" w:cs="仿宋"/>
          <w:b/>
          <w:bCs/>
          <w:kern w:val="2"/>
          <w:sz w:val="30"/>
          <w:szCs w:val="30"/>
          <w:lang w:val="en-US" w:eastAsia="zh-CN" w:bidi="ar"/>
        </w:rPr>
        <w:t xml:space="preserve"> </w:t>
      </w:r>
      <w:r>
        <w:rPr>
          <w:rFonts w:hint="eastAsia" w:ascii="仿宋" w:hAnsi="仿宋" w:eastAsia="仿宋" w:cs="仿宋"/>
          <w:b/>
          <w:bCs/>
          <w:kern w:val="2"/>
          <w:sz w:val="32"/>
          <w:szCs w:val="32"/>
          <w:lang w:val="en-US" w:eastAsia="zh-CN" w:bidi="ar"/>
        </w:rPr>
        <w:t xml:space="preserve">  五、有效性评价和效率性评价</w:t>
      </w:r>
    </w:p>
    <w:p>
      <w:pPr>
        <w:pStyle w:val="2"/>
        <w:ind w:left="0" w:leftChars="0" w:firstLine="0" w:firstLineChars="0"/>
        <w:rPr>
          <w:rFonts w:hint="eastAsia" w:ascii="仿宋" w:hAnsi="仿宋" w:eastAsia="仿宋" w:cs="仿宋"/>
          <w:b w:val="0"/>
          <w:bCs w:val="0"/>
          <w:kern w:val="2"/>
          <w:sz w:val="30"/>
          <w:szCs w:val="30"/>
          <w:lang w:val="en-US" w:eastAsia="zh-CN" w:bidi="ar"/>
        </w:rPr>
      </w:pPr>
      <w:r>
        <w:rPr>
          <w:rFonts w:hint="eastAsia" w:ascii="仿宋" w:hAnsi="仿宋" w:eastAsia="仿宋" w:cs="仿宋"/>
          <w:b/>
          <w:bCs/>
          <w:kern w:val="2"/>
          <w:sz w:val="30"/>
          <w:szCs w:val="30"/>
          <w:lang w:val="en-US" w:eastAsia="zh-CN" w:bidi="ar"/>
        </w:rPr>
        <w:t xml:space="preserve">     有效性方面：</w:t>
      </w:r>
      <w:r>
        <w:rPr>
          <w:rFonts w:hint="eastAsia" w:ascii="仿宋" w:hAnsi="仿宋" w:eastAsia="仿宋" w:cs="仿宋"/>
          <w:b w:val="0"/>
          <w:bCs w:val="0"/>
          <w:kern w:val="2"/>
          <w:sz w:val="30"/>
          <w:szCs w:val="30"/>
          <w:lang w:val="en-US" w:eastAsia="zh-CN" w:bidi="ar"/>
        </w:rPr>
        <w:t>我协会一般预算安排的基本支出保障了协会正常工作的运转，在预算执行方面严格遵守了各项财政性法规，严守了财政纪律，在资金使用和管理上，严格按照法律法规去执行。</w:t>
      </w:r>
    </w:p>
    <w:p>
      <w:pPr>
        <w:pStyle w:val="2"/>
        <w:ind w:left="0" w:leftChars="0" w:firstLine="600" w:firstLineChars="0"/>
        <w:rPr>
          <w:rFonts w:hint="eastAsia" w:ascii="仿宋" w:hAnsi="仿宋" w:eastAsia="仿宋" w:cs="仿宋"/>
          <w:b w:val="0"/>
          <w:bCs w:val="0"/>
          <w:kern w:val="2"/>
          <w:sz w:val="30"/>
          <w:szCs w:val="30"/>
          <w:lang w:val="en-US" w:eastAsia="zh-CN" w:bidi="ar"/>
        </w:rPr>
      </w:pPr>
      <w:r>
        <w:rPr>
          <w:rFonts w:hint="eastAsia" w:ascii="仿宋" w:hAnsi="仿宋" w:eastAsia="仿宋" w:cs="仿宋"/>
          <w:b w:val="0"/>
          <w:bCs w:val="0"/>
          <w:kern w:val="2"/>
          <w:sz w:val="30"/>
          <w:szCs w:val="30"/>
          <w:lang w:val="en-US" w:eastAsia="zh-CN" w:bidi="ar"/>
        </w:rPr>
        <w:t>保障了资金的使用效益。主要表现在一是干职工工资、津补贴等及时发放和干职工养老保险的及时缴纳。二是保障了协会正常工作的运转和各项工作的顺利开展。三是财政资金使用较规范无虚列支出现象。</w:t>
      </w:r>
    </w:p>
    <w:p>
      <w:pPr>
        <w:pStyle w:val="2"/>
        <w:ind w:firstLine="903" w:firstLineChars="300"/>
        <w:rPr>
          <w:rFonts w:hint="eastAsia" w:ascii="仿宋" w:hAnsi="仿宋" w:eastAsia="仿宋" w:cs="仿宋"/>
          <w:b/>
          <w:bCs/>
          <w:kern w:val="2"/>
          <w:sz w:val="30"/>
          <w:szCs w:val="30"/>
          <w:lang w:val="en-US" w:eastAsia="zh-CN" w:bidi="ar"/>
        </w:rPr>
      </w:pPr>
      <w:r>
        <w:rPr>
          <w:rFonts w:hint="eastAsia" w:ascii="仿宋" w:hAnsi="仿宋" w:eastAsia="仿宋" w:cs="仿宋"/>
          <w:b/>
          <w:bCs/>
          <w:kern w:val="2"/>
          <w:sz w:val="30"/>
          <w:szCs w:val="30"/>
          <w:lang w:val="en-US" w:eastAsia="zh-CN" w:bidi="ar"/>
        </w:rPr>
        <w:t>效率性立面：</w:t>
      </w:r>
      <w:r>
        <w:rPr>
          <w:rFonts w:hint="eastAsia" w:ascii="仿宋" w:hAnsi="仿宋" w:eastAsia="仿宋" w:cs="仿宋"/>
          <w:b w:val="0"/>
          <w:bCs w:val="0"/>
          <w:kern w:val="2"/>
          <w:sz w:val="30"/>
          <w:szCs w:val="30"/>
          <w:lang w:val="en-US" w:eastAsia="zh-CN" w:bidi="ar"/>
        </w:rPr>
        <w:t>财政资金使用效率较高，用有限的资金保障了协会正常工作运转和</w:t>
      </w:r>
      <w:r>
        <w:rPr>
          <w:rFonts w:hint="eastAsia" w:ascii="仿宋" w:hAnsi="仿宋" w:eastAsia="仿宋" w:cs="仿宋"/>
          <w:sz w:val="30"/>
          <w:szCs w:val="30"/>
        </w:rPr>
        <w:t>全国科普日系列活动</w:t>
      </w:r>
      <w:r>
        <w:rPr>
          <w:rFonts w:hint="eastAsia" w:ascii="仿宋" w:hAnsi="仿宋" w:eastAsia="仿宋" w:cs="仿宋"/>
          <w:sz w:val="30"/>
          <w:szCs w:val="30"/>
          <w:lang w:val="en-US" w:eastAsia="zh-CN"/>
        </w:rPr>
        <w:t>的开展。</w:t>
      </w:r>
    </w:p>
    <w:p>
      <w:pPr>
        <w:pStyle w:val="5"/>
        <w:keepNext w:val="0"/>
        <w:keepLines w:val="0"/>
        <w:pageBreakBefore w:val="0"/>
        <w:kinsoku/>
        <w:wordWrap/>
        <w:overflowPunct/>
        <w:autoSpaceDE/>
        <w:autoSpaceDN/>
        <w:bidi w:val="0"/>
        <w:snapToGrid/>
        <w:spacing w:beforeAutospacing="0" w:afterAutospacing="0" w:line="620" w:lineRule="exact"/>
        <w:ind w:firstLine="963" w:firstLineChars="3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、绩效评价</w:t>
      </w:r>
      <w:r>
        <w:rPr>
          <w:rFonts w:hint="eastAsia" w:ascii="仿宋" w:hAnsi="仿宋" w:eastAsia="仿宋" w:cs="仿宋"/>
          <w:b/>
          <w:bCs/>
          <w:color w:val="auto"/>
          <w:sz w:val="32"/>
          <w:szCs w:val="32"/>
          <w:lang w:val="en-US" w:eastAsia="zh-CN"/>
        </w:rPr>
        <w:t>工作</w:t>
      </w:r>
      <w:r>
        <w:rPr>
          <w:rFonts w:hint="eastAsia" w:ascii="仿宋" w:hAnsi="仿宋" w:eastAsia="仿宋" w:cs="仿宋"/>
          <w:b/>
          <w:bCs/>
          <w:color w:val="auto"/>
          <w:sz w:val="32"/>
          <w:szCs w:val="32"/>
        </w:rPr>
        <w:t>开展情况</w:t>
      </w:r>
    </w:p>
    <w:p>
      <w:pPr>
        <w:pStyle w:val="5"/>
        <w:keepNext w:val="0"/>
        <w:keepLines w:val="0"/>
        <w:pageBreakBefore w:val="0"/>
        <w:kinsoku/>
        <w:wordWrap/>
        <w:overflowPunct/>
        <w:autoSpaceDE/>
        <w:autoSpaceDN/>
        <w:bidi w:val="0"/>
        <w:snapToGrid/>
        <w:spacing w:beforeAutospacing="0" w:afterAutospacing="0" w:line="620" w:lineRule="exact"/>
        <w:ind w:left="0" w:leftChars="0" w:firstLine="600" w:firstLineChars="200"/>
        <w:jc w:val="both"/>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根据县部门整体支出绩效评价的工作方案、评价指标。我们组织人员对20</w:t>
      </w:r>
      <w:r>
        <w:rPr>
          <w:rFonts w:hint="eastAsia" w:ascii="仿宋" w:hAnsi="仿宋" w:eastAsia="仿宋" w:cs="仿宋"/>
          <w:b w:val="0"/>
          <w:bCs/>
          <w:color w:val="auto"/>
          <w:sz w:val="30"/>
          <w:szCs w:val="30"/>
          <w:lang w:val="en-US" w:eastAsia="zh-CN"/>
        </w:rPr>
        <w:t>22</w:t>
      </w:r>
      <w:r>
        <w:rPr>
          <w:rFonts w:hint="eastAsia" w:ascii="仿宋" w:hAnsi="仿宋" w:eastAsia="仿宋" w:cs="仿宋"/>
          <w:b w:val="0"/>
          <w:bCs/>
          <w:color w:val="auto"/>
          <w:sz w:val="30"/>
          <w:szCs w:val="30"/>
        </w:rPr>
        <w:t>年度整体支出进行了评价工作，绩效评价工作主要有：</w:t>
      </w:r>
    </w:p>
    <w:p>
      <w:pPr>
        <w:pStyle w:val="5"/>
        <w:keepNext w:val="0"/>
        <w:keepLines w:val="0"/>
        <w:pageBreakBefore w:val="0"/>
        <w:numPr>
          <w:ilvl w:val="0"/>
          <w:numId w:val="3"/>
        </w:numPr>
        <w:kinsoku/>
        <w:wordWrap/>
        <w:overflowPunct/>
        <w:autoSpaceDE/>
        <w:autoSpaceDN/>
        <w:bidi w:val="0"/>
        <w:snapToGrid/>
        <w:spacing w:beforeAutospacing="0" w:afterAutospacing="0" w:line="62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b w:val="0"/>
          <w:bCs/>
          <w:color w:val="auto"/>
          <w:sz w:val="30"/>
          <w:szCs w:val="30"/>
        </w:rPr>
        <w:t>核实数据。对20</w:t>
      </w:r>
      <w:r>
        <w:rPr>
          <w:rFonts w:hint="eastAsia" w:ascii="仿宋" w:hAnsi="仿宋" w:eastAsia="仿宋" w:cs="仿宋"/>
          <w:b w:val="0"/>
          <w:bCs/>
          <w:color w:val="auto"/>
          <w:sz w:val="30"/>
          <w:szCs w:val="30"/>
          <w:lang w:val="en-US" w:eastAsia="zh-CN"/>
        </w:rPr>
        <w:t>22</w:t>
      </w:r>
      <w:r>
        <w:rPr>
          <w:rFonts w:hint="eastAsia" w:ascii="仿宋" w:hAnsi="仿宋" w:eastAsia="仿宋" w:cs="仿宋"/>
          <w:b w:val="0"/>
          <w:bCs/>
          <w:color w:val="auto"/>
          <w:sz w:val="30"/>
          <w:szCs w:val="30"/>
        </w:rPr>
        <w:t>年度部门整体支出数据的准确性、真实性进行核实。</w:t>
      </w:r>
    </w:p>
    <w:p>
      <w:pPr>
        <w:pStyle w:val="5"/>
        <w:keepNext w:val="0"/>
        <w:keepLines w:val="0"/>
        <w:pageBreakBefore w:val="0"/>
        <w:numPr>
          <w:ilvl w:val="0"/>
          <w:numId w:val="3"/>
        </w:numPr>
        <w:kinsoku/>
        <w:wordWrap/>
        <w:overflowPunct/>
        <w:autoSpaceDE/>
        <w:autoSpaceDN/>
        <w:bidi w:val="0"/>
        <w:snapToGrid/>
        <w:spacing w:beforeAutospacing="0" w:afterAutospacing="0" w:line="62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b w:val="0"/>
          <w:bCs/>
          <w:color w:val="auto"/>
          <w:sz w:val="30"/>
          <w:szCs w:val="30"/>
        </w:rPr>
        <w:t>结合整体支出评价要求进行综合分析、归纳汇总。</w:t>
      </w:r>
      <w:r>
        <w:rPr>
          <w:rFonts w:hint="eastAsia" w:ascii="仿宋" w:hAnsi="仿宋" w:eastAsia="仿宋" w:cs="仿宋"/>
          <w:b w:val="0"/>
          <w:bCs/>
          <w:color w:val="auto"/>
          <w:sz w:val="30"/>
          <w:szCs w:val="30"/>
          <w:lang w:val="en-US" w:eastAsia="zh-CN"/>
        </w:rPr>
        <w:t>加强了预算执行管理，按照预算规定的费用项目和用途统筹安排支出，在预算金额内严格控制费用支出，控制超支现象的发生，加强了整体支出开展进度的跟踪，确保了整体绩效目标的完成。</w:t>
      </w:r>
    </w:p>
    <w:p>
      <w:pPr>
        <w:keepNext w:val="0"/>
        <w:keepLines w:val="0"/>
        <w:pageBreakBefore w:val="0"/>
        <w:kinsoku/>
        <w:wordWrap/>
        <w:overflowPunct/>
        <w:topLinePunct w:val="0"/>
        <w:autoSpaceDE/>
        <w:autoSpaceDN/>
        <w:bidi w:val="0"/>
        <w:adjustRightInd/>
        <w:snapToGrid/>
        <w:spacing w:beforeAutospacing="0" w:afterAutospacing="0" w:line="620" w:lineRule="exact"/>
        <w:ind w:firstLine="64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七、</w:t>
      </w:r>
      <w:r>
        <w:rPr>
          <w:rFonts w:hint="eastAsia" w:ascii="仿宋" w:hAnsi="仿宋" w:eastAsia="仿宋" w:cs="仿宋"/>
          <w:b/>
          <w:bCs/>
          <w:color w:val="auto"/>
          <w:sz w:val="32"/>
          <w:szCs w:val="32"/>
        </w:rPr>
        <w:t>改进措施和有关建议</w:t>
      </w:r>
    </w:p>
    <w:p>
      <w:pPr>
        <w:keepNext w:val="0"/>
        <w:keepLines w:val="0"/>
        <w:pageBreakBefore w:val="0"/>
        <w:kinsoku/>
        <w:wordWrap/>
        <w:overflowPunct/>
        <w:topLinePunct w:val="0"/>
        <w:autoSpaceDE/>
        <w:autoSpaceDN/>
        <w:bidi w:val="0"/>
        <w:adjustRightInd/>
        <w:snapToGrid/>
        <w:spacing w:beforeAutospacing="0" w:afterAutospacing="0" w:line="620" w:lineRule="exact"/>
        <w:ind w:left="0" w:leftChars="0" w:firstLine="600" w:firstLineChars="200"/>
        <w:jc w:val="both"/>
        <w:textAlignment w:val="auto"/>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1、加强对绩效管理的重视程度，强化预算编制，进一步提高预算编制的科学性、严谨性和可靠性。</w:t>
      </w:r>
    </w:p>
    <w:p>
      <w:pPr>
        <w:keepNext w:val="0"/>
        <w:keepLines w:val="0"/>
        <w:pageBreakBefore w:val="0"/>
        <w:kinsoku/>
        <w:wordWrap/>
        <w:overflowPunct/>
        <w:topLinePunct w:val="0"/>
        <w:autoSpaceDE/>
        <w:autoSpaceDN/>
        <w:bidi w:val="0"/>
        <w:adjustRightInd/>
        <w:snapToGrid/>
        <w:spacing w:beforeAutospacing="0" w:afterAutospacing="0" w:line="620" w:lineRule="exact"/>
        <w:ind w:left="0" w:leftChars="0" w:firstLine="600" w:firstLineChars="200"/>
        <w:jc w:val="both"/>
        <w:textAlignment w:val="auto"/>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2、加强财务管理，严格财务审核，事项管理方面，进一步完善项目管理制度，按照预算规定的费用项目和用途进行资金使用审核、报批支付。</w:t>
      </w:r>
    </w:p>
    <w:p>
      <w:pPr>
        <w:keepNext w:val="0"/>
        <w:keepLines w:val="0"/>
        <w:pageBreakBefore w:val="0"/>
        <w:kinsoku/>
        <w:wordWrap/>
        <w:overflowPunct/>
        <w:topLinePunct w:val="0"/>
        <w:autoSpaceDE/>
        <w:autoSpaceDN/>
        <w:bidi w:val="0"/>
        <w:adjustRightInd/>
        <w:snapToGrid/>
        <w:spacing w:beforeAutospacing="0" w:afterAutospacing="0" w:line="620" w:lineRule="exact"/>
        <w:ind w:left="0" w:leftChars="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val="0"/>
          <w:bCs/>
          <w:color w:val="auto"/>
          <w:sz w:val="30"/>
          <w:szCs w:val="30"/>
          <w:lang w:val="en-US" w:eastAsia="zh-CN"/>
        </w:rPr>
        <w:t>3、持续抓好“三公”经费的控制管理，把关“三公”经费支出的审核、审批，合理压缩“三公”经费支出，</w:t>
      </w:r>
      <w:r>
        <w:rPr>
          <w:rFonts w:hint="eastAsia" w:ascii="仿宋" w:hAnsi="仿宋" w:eastAsia="仿宋" w:cs="仿宋"/>
          <w:color w:val="auto"/>
          <w:sz w:val="30"/>
          <w:szCs w:val="30"/>
          <w:lang w:val="en-US" w:eastAsia="zh-CN"/>
        </w:rPr>
        <w:t>杜绝挪用和其他预算资金行为。</w:t>
      </w:r>
    </w:p>
    <w:p>
      <w:pPr>
        <w:pStyle w:val="2"/>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w:t>
      </w:r>
    </w:p>
    <w:p>
      <w:pPr>
        <w:keepNext w:val="0"/>
        <w:keepLines w:val="0"/>
        <w:pageBreakBefore w:val="0"/>
        <w:kinsoku/>
        <w:wordWrap/>
        <w:overflowPunct/>
        <w:topLinePunct/>
        <w:autoSpaceDE/>
        <w:autoSpaceDN/>
        <w:bidi w:val="0"/>
        <w:snapToGrid/>
        <w:spacing w:beforeAutospacing="0" w:afterAutospacing="0" w:line="620" w:lineRule="exact"/>
        <w:ind w:left="0" w:leftChars="0" w:firstLine="600" w:firstLineChars="200"/>
        <w:jc w:val="both"/>
        <w:textAlignment w:val="auto"/>
        <w:rPr>
          <w:rFonts w:hint="eastAsia" w:ascii="仿宋" w:hAnsi="仿宋" w:eastAsia="仿宋" w:cs="仿宋"/>
          <w:b/>
          <w:color w:val="auto"/>
          <w:spacing w:val="-11"/>
          <w:sz w:val="30"/>
          <w:szCs w:val="30"/>
        </w:rPr>
      </w:pPr>
      <w:r>
        <w:rPr>
          <w:rFonts w:hint="eastAsia" w:ascii="仿宋" w:hAnsi="仿宋" w:eastAsia="仿宋" w:cs="仿宋"/>
          <w:color w:val="auto"/>
          <w:sz w:val="30"/>
          <w:szCs w:val="30"/>
        </w:rPr>
        <w:t>附件：1.</w:t>
      </w:r>
      <w:r>
        <w:rPr>
          <w:rFonts w:hint="eastAsia" w:ascii="仿宋" w:hAnsi="仿宋" w:eastAsia="仿宋" w:cs="仿宋"/>
          <w:color w:val="auto"/>
          <w:spacing w:val="-11"/>
          <w:sz w:val="30"/>
          <w:szCs w:val="30"/>
        </w:rPr>
        <w:t>桃江县202</w:t>
      </w:r>
      <w:r>
        <w:rPr>
          <w:rFonts w:hint="eastAsia" w:ascii="仿宋" w:hAnsi="仿宋" w:eastAsia="仿宋" w:cs="仿宋"/>
          <w:color w:val="auto"/>
          <w:spacing w:val="-11"/>
          <w:sz w:val="30"/>
          <w:szCs w:val="30"/>
          <w:lang w:val="en-US" w:eastAsia="zh-CN"/>
        </w:rPr>
        <w:t>2</w:t>
      </w:r>
      <w:r>
        <w:rPr>
          <w:rFonts w:hint="eastAsia" w:ascii="仿宋" w:hAnsi="仿宋" w:eastAsia="仿宋" w:cs="仿宋"/>
          <w:color w:val="auto"/>
          <w:spacing w:val="-11"/>
          <w:sz w:val="30"/>
          <w:szCs w:val="30"/>
        </w:rPr>
        <w:t>年度部门整体支出绩效评价基础数据表</w:t>
      </w:r>
    </w:p>
    <w:p>
      <w:pPr>
        <w:keepNext w:val="0"/>
        <w:keepLines w:val="0"/>
        <w:pageBreakBefore w:val="0"/>
        <w:numPr>
          <w:ilvl w:val="0"/>
          <w:numId w:val="4"/>
        </w:numPr>
        <w:kinsoku/>
        <w:wordWrap/>
        <w:overflowPunct/>
        <w:topLinePunct/>
        <w:autoSpaceDE/>
        <w:autoSpaceDN/>
        <w:bidi w:val="0"/>
        <w:snapToGrid/>
        <w:spacing w:beforeAutospacing="0" w:afterAutospacing="0" w:line="620" w:lineRule="exact"/>
        <w:ind w:left="1500" w:leftChars="0" w:firstLine="0" w:firstLineChars="0"/>
        <w:jc w:val="both"/>
        <w:textAlignment w:val="auto"/>
        <w:rPr>
          <w:rFonts w:hint="eastAsia" w:ascii="仿宋" w:hAnsi="仿宋" w:eastAsia="仿宋" w:cs="仿宋"/>
          <w:color w:val="auto"/>
          <w:spacing w:val="-17"/>
          <w:sz w:val="30"/>
          <w:szCs w:val="30"/>
        </w:rPr>
      </w:pPr>
      <w:r>
        <w:rPr>
          <w:rFonts w:hint="eastAsia" w:ascii="仿宋" w:hAnsi="仿宋" w:eastAsia="仿宋" w:cs="仿宋"/>
          <w:color w:val="auto"/>
          <w:spacing w:val="-17"/>
          <w:sz w:val="30"/>
          <w:szCs w:val="30"/>
        </w:rPr>
        <w:t>桃江县202</w:t>
      </w:r>
      <w:r>
        <w:rPr>
          <w:rFonts w:hint="eastAsia" w:ascii="仿宋" w:hAnsi="仿宋" w:eastAsia="仿宋" w:cs="仿宋"/>
          <w:color w:val="auto"/>
          <w:spacing w:val="-17"/>
          <w:sz w:val="30"/>
          <w:szCs w:val="30"/>
          <w:lang w:val="en-US" w:eastAsia="zh-CN"/>
        </w:rPr>
        <w:t>2</w:t>
      </w:r>
      <w:r>
        <w:rPr>
          <w:rFonts w:hint="eastAsia" w:ascii="仿宋" w:hAnsi="仿宋" w:eastAsia="仿宋" w:cs="仿宋"/>
          <w:color w:val="auto"/>
          <w:spacing w:val="-17"/>
          <w:sz w:val="30"/>
          <w:szCs w:val="30"/>
        </w:rPr>
        <w:t>年度部门整体支出绩效评价指标及评分表</w:t>
      </w:r>
    </w:p>
    <w:p>
      <w:pPr>
        <w:pStyle w:val="2"/>
        <w:numPr>
          <w:ilvl w:val="0"/>
          <w:numId w:val="0"/>
        </w:numPr>
        <w:ind w:left="1500" w:leftChars="0"/>
        <w:rPr>
          <w:rFonts w:hint="eastAsia"/>
        </w:rPr>
      </w:pPr>
    </w:p>
    <w:p>
      <w:pPr>
        <w:pStyle w:val="2"/>
      </w:pPr>
    </w:p>
    <w:p>
      <w:pPr>
        <w:widowControl/>
        <w:spacing w:line="594" w:lineRule="exact"/>
        <w:jc w:val="left"/>
        <w:rPr>
          <w:rFonts w:eastAsia="黑体"/>
          <w:bCs/>
          <w:kern w:val="0"/>
          <w:sz w:val="24"/>
          <w:szCs w:val="24"/>
        </w:rPr>
      </w:pPr>
      <w:r>
        <w:rPr>
          <w:rFonts w:eastAsia="黑体"/>
          <w:bCs/>
          <w:kern w:val="0"/>
          <w:sz w:val="24"/>
          <w:szCs w:val="24"/>
        </w:rPr>
        <w:t>附件1</w:t>
      </w:r>
    </w:p>
    <w:p>
      <w:pPr>
        <w:widowControl/>
        <w:spacing w:line="594" w:lineRule="exact"/>
        <w:ind w:firstLine="2880" w:firstLineChars="900"/>
        <w:jc w:val="both"/>
        <w:rPr>
          <w:rFonts w:eastAsia="方正小标宋简体"/>
          <w:bCs/>
          <w:kern w:val="0"/>
          <w:sz w:val="32"/>
          <w:szCs w:val="32"/>
        </w:rPr>
      </w:pPr>
      <w:r>
        <w:rPr>
          <w:rFonts w:eastAsia="方正小标宋简体"/>
          <w:bCs/>
          <w:kern w:val="0"/>
          <w:sz w:val="32"/>
          <w:szCs w:val="32"/>
        </w:rPr>
        <w:t>桃江县20</w:t>
      </w:r>
      <w:r>
        <w:rPr>
          <w:rFonts w:hint="eastAsia" w:eastAsia="方正小标宋简体"/>
          <w:bCs/>
          <w:kern w:val="0"/>
          <w:sz w:val="32"/>
          <w:szCs w:val="32"/>
        </w:rPr>
        <w:t>2</w:t>
      </w:r>
      <w:r>
        <w:rPr>
          <w:rFonts w:hint="eastAsia" w:eastAsia="方正小标宋简体"/>
          <w:bCs/>
          <w:kern w:val="0"/>
          <w:sz w:val="32"/>
          <w:szCs w:val="32"/>
          <w:lang w:val="en-US" w:eastAsia="zh-CN"/>
        </w:rPr>
        <w:t>2</w:t>
      </w:r>
      <w:r>
        <w:rPr>
          <w:rFonts w:eastAsia="方正小标宋简体"/>
          <w:bCs/>
          <w:kern w:val="0"/>
          <w:sz w:val="32"/>
          <w:szCs w:val="32"/>
        </w:rPr>
        <w:t>年度部门整体支出绩效评价基础数据表</w:t>
      </w:r>
    </w:p>
    <w:p>
      <w:pPr>
        <w:widowControl/>
        <w:spacing w:line="594" w:lineRule="exact"/>
        <w:jc w:val="left"/>
        <w:rPr>
          <w:rFonts w:eastAsia="宋体"/>
          <w:kern w:val="0"/>
          <w:sz w:val="21"/>
          <w:szCs w:val="21"/>
        </w:rPr>
      </w:pPr>
      <w:r>
        <w:rPr>
          <w:rFonts w:eastAsia="宋体"/>
          <w:kern w:val="0"/>
          <w:sz w:val="21"/>
          <w:szCs w:val="21"/>
        </w:rPr>
        <w:t>单位名称（盖章）：</w:t>
      </w:r>
      <w:r>
        <w:rPr>
          <w:rFonts w:hint="eastAsia" w:eastAsia="宋体"/>
          <w:kern w:val="0"/>
          <w:sz w:val="21"/>
          <w:szCs w:val="21"/>
          <w:lang w:eastAsia="zh-CN"/>
        </w:rPr>
        <w:t>桃江县科学技术协会</w:t>
      </w:r>
      <w:r>
        <w:rPr>
          <w:rFonts w:eastAsia="宋体"/>
          <w:kern w:val="0"/>
          <w:sz w:val="21"/>
          <w:szCs w:val="21"/>
        </w:rPr>
        <w:t xml:space="preserve">        </w:t>
      </w:r>
      <w:r>
        <w:rPr>
          <w:rFonts w:hint="eastAsia" w:eastAsia="宋体"/>
          <w:kern w:val="0"/>
          <w:sz w:val="21"/>
          <w:szCs w:val="21"/>
          <w:lang w:val="en-US" w:eastAsia="zh-CN"/>
        </w:rPr>
        <w:t xml:space="preserve"> </w:t>
      </w:r>
      <w:r>
        <w:rPr>
          <w:rFonts w:eastAsia="宋体"/>
          <w:kern w:val="0"/>
          <w:sz w:val="21"/>
          <w:szCs w:val="21"/>
        </w:rPr>
        <w:t xml:space="preserve"> 填报日期</w:t>
      </w:r>
      <w:r>
        <w:rPr>
          <w:rFonts w:hint="eastAsia" w:eastAsia="宋体"/>
          <w:kern w:val="0"/>
          <w:sz w:val="21"/>
          <w:szCs w:val="21"/>
          <w:lang w:eastAsia="zh-CN"/>
        </w:rPr>
        <w:t>：</w:t>
      </w:r>
      <w:r>
        <w:rPr>
          <w:rFonts w:hint="eastAsia" w:eastAsia="宋体"/>
          <w:kern w:val="0"/>
          <w:sz w:val="21"/>
          <w:szCs w:val="21"/>
          <w:lang w:val="en-US" w:eastAsia="zh-CN"/>
        </w:rPr>
        <w:t>2022</w:t>
      </w:r>
      <w:r>
        <w:rPr>
          <w:rFonts w:eastAsia="宋体"/>
          <w:kern w:val="0"/>
          <w:sz w:val="21"/>
          <w:szCs w:val="21"/>
        </w:rPr>
        <w:t>年</w:t>
      </w:r>
      <w:r>
        <w:rPr>
          <w:rFonts w:hint="eastAsia" w:eastAsia="宋体"/>
          <w:kern w:val="0"/>
          <w:sz w:val="21"/>
          <w:szCs w:val="21"/>
          <w:lang w:val="en-US" w:eastAsia="zh-CN"/>
        </w:rPr>
        <w:t>4</w:t>
      </w:r>
      <w:r>
        <w:rPr>
          <w:rFonts w:eastAsia="宋体"/>
          <w:kern w:val="0"/>
          <w:sz w:val="21"/>
          <w:szCs w:val="21"/>
        </w:rPr>
        <w:t>月</w:t>
      </w:r>
      <w:r>
        <w:rPr>
          <w:rFonts w:hint="eastAsia" w:eastAsia="宋体"/>
          <w:kern w:val="0"/>
          <w:sz w:val="21"/>
          <w:szCs w:val="21"/>
          <w:lang w:val="en-US" w:eastAsia="zh-CN"/>
        </w:rPr>
        <w:t>12</w:t>
      </w:r>
      <w:r>
        <w:rPr>
          <w:rFonts w:eastAsia="宋体"/>
          <w:kern w:val="0"/>
          <w:sz w:val="21"/>
          <w:szCs w:val="21"/>
        </w:rPr>
        <w:t>日           金额单位：万元（保留两位小数）</w:t>
      </w:r>
    </w:p>
    <w:tbl>
      <w:tblPr>
        <w:tblStyle w:val="7"/>
        <w:tblpPr w:leftFromText="180" w:rightFromText="180" w:vertAnchor="text" w:horzAnchor="page" w:tblpX="647" w:tblpY="160"/>
        <w:tblOverlap w:val="never"/>
        <w:tblW w:w="15857" w:type="dxa"/>
        <w:tblInd w:w="0" w:type="dxa"/>
        <w:tblLayout w:type="fixed"/>
        <w:tblCellMar>
          <w:top w:w="0" w:type="dxa"/>
          <w:left w:w="108" w:type="dxa"/>
          <w:bottom w:w="0" w:type="dxa"/>
          <w:right w:w="108" w:type="dxa"/>
        </w:tblCellMar>
      </w:tblPr>
      <w:tblGrid>
        <w:gridCol w:w="709"/>
        <w:gridCol w:w="608"/>
        <w:gridCol w:w="567"/>
        <w:gridCol w:w="645"/>
        <w:gridCol w:w="607"/>
        <w:gridCol w:w="607"/>
        <w:gridCol w:w="605"/>
        <w:gridCol w:w="498"/>
        <w:gridCol w:w="715"/>
        <w:gridCol w:w="607"/>
        <w:gridCol w:w="606"/>
        <w:gridCol w:w="548"/>
        <w:gridCol w:w="385"/>
        <w:gridCol w:w="508"/>
        <w:gridCol w:w="495"/>
        <w:gridCol w:w="973"/>
        <w:gridCol w:w="713"/>
        <w:gridCol w:w="604"/>
        <w:gridCol w:w="607"/>
        <w:gridCol w:w="608"/>
        <w:gridCol w:w="602"/>
        <w:gridCol w:w="606"/>
        <w:gridCol w:w="616"/>
        <w:gridCol w:w="607"/>
        <w:gridCol w:w="606"/>
        <w:gridCol w:w="605"/>
      </w:tblGrid>
      <w:tr>
        <w:tblPrEx>
          <w:tblCellMar>
            <w:top w:w="0" w:type="dxa"/>
            <w:left w:w="108" w:type="dxa"/>
            <w:bottom w:w="0" w:type="dxa"/>
            <w:right w:w="108" w:type="dxa"/>
          </w:tblCellMar>
        </w:tblPrEx>
        <w:trPr>
          <w:trHeight w:val="393" w:hRule="atLeast"/>
        </w:trPr>
        <w:tc>
          <w:tcPr>
            <w:tcW w:w="1884"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firstLine="210" w:firstLineChars="100"/>
              <w:rPr>
                <w:rFonts w:hint="default" w:eastAsia="黑体"/>
                <w:bCs/>
                <w:kern w:val="0"/>
                <w:sz w:val="21"/>
                <w:szCs w:val="21"/>
              </w:rPr>
            </w:pPr>
            <w:r>
              <w:rPr>
                <w:rFonts w:hint="default" w:eastAsia="黑体"/>
                <w:bCs/>
                <w:kern w:val="0"/>
                <w:sz w:val="21"/>
                <w:szCs w:val="21"/>
              </w:rPr>
              <w:t>年初预算</w:t>
            </w:r>
          </w:p>
        </w:tc>
        <w:tc>
          <w:tcPr>
            <w:tcW w:w="2962"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收入来源</w:t>
            </w:r>
          </w:p>
        </w:tc>
        <w:tc>
          <w:tcPr>
            <w:tcW w:w="9193" w:type="dxa"/>
            <w:gridSpan w:val="15"/>
            <w:tcBorders>
              <w:top w:val="single" w:color="auto" w:sz="12"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实际支出</w:t>
            </w:r>
          </w:p>
        </w:tc>
        <w:tc>
          <w:tcPr>
            <w:tcW w:w="1818"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eastAsia" w:eastAsia="黑体"/>
                <w:bCs/>
                <w:kern w:val="0"/>
                <w:sz w:val="21"/>
                <w:szCs w:val="21"/>
              </w:rPr>
              <w:t>年末</w:t>
            </w:r>
            <w:r>
              <w:rPr>
                <w:rFonts w:hint="default" w:eastAsia="黑体"/>
                <w:bCs/>
                <w:kern w:val="0"/>
                <w:sz w:val="21"/>
                <w:szCs w:val="21"/>
              </w:rPr>
              <w:t>结转结余</w:t>
            </w:r>
          </w:p>
        </w:tc>
      </w:tr>
      <w:tr>
        <w:tblPrEx>
          <w:tblCellMar>
            <w:top w:w="0" w:type="dxa"/>
            <w:left w:w="108" w:type="dxa"/>
            <w:bottom w:w="0" w:type="dxa"/>
            <w:right w:w="108" w:type="dxa"/>
          </w:tblCellMar>
        </w:tblPrEx>
        <w:trPr>
          <w:trHeight w:val="355" w:hRule="atLeast"/>
        </w:trPr>
        <w:tc>
          <w:tcPr>
            <w:tcW w:w="1884"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黑体"/>
                <w:bCs/>
                <w:kern w:val="0"/>
                <w:sz w:val="21"/>
                <w:szCs w:val="21"/>
              </w:rPr>
            </w:pPr>
          </w:p>
        </w:tc>
        <w:tc>
          <w:tcPr>
            <w:tcW w:w="2962"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黑体"/>
                <w:bCs/>
                <w:kern w:val="0"/>
                <w:sz w:val="21"/>
                <w:szCs w:val="21"/>
              </w:rPr>
            </w:pPr>
          </w:p>
        </w:tc>
        <w:tc>
          <w:tcPr>
            <w:tcW w:w="3864"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基本支出</w:t>
            </w:r>
          </w:p>
        </w:tc>
        <w:tc>
          <w:tcPr>
            <w:tcW w:w="5329"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项目支出</w:t>
            </w:r>
          </w:p>
        </w:tc>
        <w:tc>
          <w:tcPr>
            <w:tcW w:w="1818"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黑体"/>
                <w:bCs/>
                <w:kern w:val="0"/>
                <w:sz w:val="21"/>
                <w:szCs w:val="21"/>
              </w:rPr>
            </w:pPr>
          </w:p>
        </w:tc>
      </w:tr>
      <w:tr>
        <w:tblPrEx>
          <w:tblCellMar>
            <w:top w:w="0" w:type="dxa"/>
            <w:left w:w="108" w:type="dxa"/>
            <w:bottom w:w="0" w:type="dxa"/>
            <w:right w:w="108" w:type="dxa"/>
          </w:tblCellMar>
        </w:tblPrEx>
        <w:trPr>
          <w:trHeight w:val="3156" w:hRule="atLeast"/>
        </w:trPr>
        <w:tc>
          <w:tcPr>
            <w:tcW w:w="709" w:type="dxa"/>
            <w:tcBorders>
              <w:top w:val="nil"/>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小</w:t>
            </w:r>
            <w:r>
              <w:rPr>
                <w:rFonts w:hint="default" w:eastAsia="黑体"/>
                <w:bCs/>
                <w:kern w:val="0"/>
                <w:sz w:val="21"/>
                <w:szCs w:val="21"/>
              </w:rPr>
              <w:br w:type="textWrapping"/>
            </w:r>
            <w:r>
              <w:rPr>
                <w:rFonts w:hint="default" w:eastAsia="黑体"/>
                <w:bCs/>
                <w:kern w:val="0"/>
                <w:sz w:val="21"/>
                <w:szCs w:val="21"/>
              </w:rPr>
              <w:t>计</w:t>
            </w:r>
          </w:p>
        </w:tc>
        <w:tc>
          <w:tcPr>
            <w:tcW w:w="60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基本支出</w:t>
            </w:r>
          </w:p>
        </w:tc>
        <w:tc>
          <w:tcPr>
            <w:tcW w:w="56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项</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目</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支</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出</w:t>
            </w:r>
          </w:p>
        </w:tc>
        <w:tc>
          <w:tcPr>
            <w:tcW w:w="6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小</w:t>
            </w:r>
            <w:r>
              <w:rPr>
                <w:rFonts w:hint="default" w:eastAsia="黑体"/>
                <w:bCs/>
                <w:kern w:val="0"/>
                <w:sz w:val="21"/>
                <w:szCs w:val="21"/>
              </w:rPr>
              <w:br w:type="textWrapping"/>
            </w:r>
            <w:r>
              <w:rPr>
                <w:rFonts w:hint="default" w:eastAsia="黑体"/>
                <w:bCs/>
                <w:kern w:val="0"/>
                <w:sz w:val="21"/>
                <w:szCs w:val="21"/>
              </w:rPr>
              <w:t>计</w:t>
            </w: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上年结</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转结</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余</w:t>
            </w: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上级财政</w:t>
            </w:r>
          </w:p>
        </w:tc>
        <w:tc>
          <w:tcPr>
            <w:tcW w:w="6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县级财政</w:t>
            </w:r>
          </w:p>
        </w:tc>
        <w:tc>
          <w:tcPr>
            <w:tcW w:w="49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其</w:t>
            </w:r>
            <w:r>
              <w:rPr>
                <w:rFonts w:hint="default" w:eastAsia="黑体"/>
                <w:bCs/>
                <w:kern w:val="0"/>
                <w:sz w:val="21"/>
                <w:szCs w:val="21"/>
              </w:rPr>
              <w:br w:type="textWrapping"/>
            </w:r>
            <w:r>
              <w:rPr>
                <w:rFonts w:hint="default" w:eastAsia="黑体"/>
                <w:bCs/>
                <w:kern w:val="0"/>
                <w:sz w:val="21"/>
                <w:szCs w:val="21"/>
              </w:rPr>
              <w:t>他</w:t>
            </w:r>
          </w:p>
        </w:tc>
        <w:tc>
          <w:tcPr>
            <w:tcW w:w="71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小</w:t>
            </w:r>
            <w:r>
              <w:rPr>
                <w:rFonts w:hint="default" w:eastAsia="黑体"/>
                <w:bCs/>
                <w:kern w:val="0"/>
                <w:sz w:val="21"/>
                <w:szCs w:val="21"/>
              </w:rPr>
              <w:br w:type="textWrapping"/>
            </w:r>
            <w:r>
              <w:rPr>
                <w:rFonts w:hint="default" w:eastAsia="黑体"/>
                <w:bCs/>
                <w:kern w:val="0"/>
                <w:sz w:val="21"/>
                <w:szCs w:val="21"/>
              </w:rPr>
              <w:t>计</w:t>
            </w: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工资福利支出</w:t>
            </w:r>
          </w:p>
        </w:tc>
        <w:tc>
          <w:tcPr>
            <w:tcW w:w="60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商品和服务支出</w:t>
            </w:r>
          </w:p>
        </w:tc>
        <w:tc>
          <w:tcPr>
            <w:tcW w:w="54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对个人和</w:t>
            </w:r>
            <w:r>
              <w:rPr>
                <w:rFonts w:hint="eastAsia" w:eastAsia="黑体"/>
                <w:bCs/>
                <w:kern w:val="0"/>
                <w:sz w:val="21"/>
                <w:szCs w:val="21"/>
              </w:rPr>
              <w:t>家庭的补助</w:t>
            </w:r>
          </w:p>
        </w:tc>
        <w:tc>
          <w:tcPr>
            <w:tcW w:w="3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1"/>
                <w:szCs w:val="21"/>
              </w:rPr>
            </w:pPr>
            <w:r>
              <w:rPr>
                <w:rFonts w:hint="eastAsia" w:eastAsia="黑体"/>
                <w:bCs/>
                <w:kern w:val="0"/>
                <w:sz w:val="21"/>
                <w:szCs w:val="21"/>
              </w:rPr>
              <w:t>债务利息及费用支出</w:t>
            </w:r>
          </w:p>
        </w:tc>
        <w:tc>
          <w:tcPr>
            <w:tcW w:w="50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资本性支出</w:t>
            </w:r>
          </w:p>
        </w:tc>
        <w:tc>
          <w:tcPr>
            <w:tcW w:w="49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其</w:t>
            </w:r>
            <w:r>
              <w:rPr>
                <w:rFonts w:hint="default" w:eastAsia="黑体"/>
                <w:bCs/>
                <w:kern w:val="0"/>
                <w:sz w:val="21"/>
                <w:szCs w:val="21"/>
              </w:rPr>
              <w:br w:type="textWrapping"/>
            </w:r>
            <w:r>
              <w:rPr>
                <w:rFonts w:hint="default" w:eastAsia="黑体"/>
                <w:bCs/>
                <w:kern w:val="0"/>
                <w:sz w:val="21"/>
                <w:szCs w:val="21"/>
              </w:rPr>
              <w:t>他支出</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项目</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名称</w:t>
            </w:r>
          </w:p>
        </w:tc>
        <w:tc>
          <w:tcPr>
            <w:tcW w:w="7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小</w:t>
            </w:r>
            <w:r>
              <w:rPr>
                <w:rFonts w:hint="default" w:eastAsia="黑体"/>
                <w:bCs/>
                <w:kern w:val="0"/>
                <w:sz w:val="21"/>
                <w:szCs w:val="21"/>
              </w:rPr>
              <w:br w:type="textWrapping"/>
            </w:r>
            <w:r>
              <w:rPr>
                <w:rFonts w:hint="default" w:eastAsia="黑体"/>
                <w:bCs/>
                <w:kern w:val="0"/>
                <w:sz w:val="21"/>
                <w:szCs w:val="21"/>
              </w:rPr>
              <w:t>计</w:t>
            </w:r>
          </w:p>
        </w:tc>
        <w:tc>
          <w:tcPr>
            <w:tcW w:w="60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工资福利支出</w:t>
            </w: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商品和服务支出</w:t>
            </w:r>
          </w:p>
        </w:tc>
        <w:tc>
          <w:tcPr>
            <w:tcW w:w="60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1"/>
                <w:szCs w:val="21"/>
              </w:rPr>
            </w:pPr>
            <w:r>
              <w:rPr>
                <w:rFonts w:hint="default" w:eastAsia="黑体"/>
                <w:bCs/>
                <w:kern w:val="0"/>
                <w:sz w:val="21"/>
                <w:szCs w:val="21"/>
              </w:rPr>
              <w:t>对个人和</w:t>
            </w:r>
            <w:r>
              <w:rPr>
                <w:rFonts w:hint="eastAsia" w:eastAsia="黑体"/>
                <w:bCs/>
                <w:kern w:val="0"/>
                <w:sz w:val="21"/>
                <w:szCs w:val="21"/>
              </w:rPr>
              <w:t>家庭的补助</w:t>
            </w:r>
          </w:p>
        </w:tc>
        <w:tc>
          <w:tcPr>
            <w:tcW w:w="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eastAsia" w:eastAsia="黑体"/>
                <w:bCs/>
                <w:kern w:val="0"/>
                <w:sz w:val="21"/>
                <w:szCs w:val="21"/>
              </w:rPr>
              <w:t>债务利息及费用支出</w:t>
            </w:r>
          </w:p>
        </w:tc>
        <w:tc>
          <w:tcPr>
            <w:tcW w:w="60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资本性支出</w:t>
            </w:r>
          </w:p>
        </w:tc>
        <w:tc>
          <w:tcPr>
            <w:tcW w:w="61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其</w:t>
            </w:r>
            <w:r>
              <w:rPr>
                <w:rFonts w:hint="default" w:eastAsia="黑体"/>
                <w:bCs/>
                <w:kern w:val="0"/>
                <w:sz w:val="21"/>
                <w:szCs w:val="21"/>
              </w:rPr>
              <w:br w:type="textWrapping"/>
            </w:r>
            <w:r>
              <w:rPr>
                <w:rFonts w:hint="default" w:eastAsia="黑体"/>
                <w:bCs/>
                <w:kern w:val="0"/>
                <w:sz w:val="21"/>
                <w:szCs w:val="21"/>
              </w:rPr>
              <w:t>他支出</w:t>
            </w: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小</w:t>
            </w:r>
            <w:r>
              <w:rPr>
                <w:rFonts w:hint="default" w:eastAsia="黑体"/>
                <w:bCs/>
                <w:kern w:val="0"/>
                <w:sz w:val="21"/>
                <w:szCs w:val="21"/>
              </w:rPr>
              <w:br w:type="textWrapping"/>
            </w:r>
            <w:r>
              <w:rPr>
                <w:rFonts w:hint="default" w:eastAsia="黑体"/>
                <w:bCs/>
                <w:kern w:val="0"/>
                <w:sz w:val="21"/>
                <w:szCs w:val="21"/>
              </w:rPr>
              <w:t>计</w:t>
            </w:r>
          </w:p>
        </w:tc>
        <w:tc>
          <w:tcPr>
            <w:tcW w:w="60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基本支出</w:t>
            </w:r>
          </w:p>
        </w:tc>
        <w:tc>
          <w:tcPr>
            <w:tcW w:w="605" w:type="dxa"/>
            <w:tcBorders>
              <w:top w:val="nil"/>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1"/>
                <w:szCs w:val="21"/>
              </w:rPr>
            </w:pPr>
            <w:r>
              <w:rPr>
                <w:rFonts w:hint="default" w:eastAsia="黑体"/>
                <w:bCs/>
                <w:kern w:val="0"/>
                <w:sz w:val="21"/>
                <w:szCs w:val="21"/>
              </w:rPr>
              <w:t>项目支出</w:t>
            </w:r>
          </w:p>
        </w:tc>
      </w:tr>
      <w:tr>
        <w:tblPrEx>
          <w:tblCellMar>
            <w:top w:w="0" w:type="dxa"/>
            <w:left w:w="108" w:type="dxa"/>
            <w:bottom w:w="0" w:type="dxa"/>
            <w:right w:w="108" w:type="dxa"/>
          </w:tblCellMar>
        </w:tblPrEx>
        <w:trPr>
          <w:trHeight w:val="686" w:hRule="atLeast"/>
        </w:trPr>
        <w:tc>
          <w:tcPr>
            <w:tcW w:w="709" w:type="dxa"/>
            <w:tcBorders>
              <w:top w:val="nil"/>
              <w:left w:val="single" w:color="auto" w:sz="12"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186.51</w:t>
            </w:r>
          </w:p>
        </w:tc>
        <w:tc>
          <w:tcPr>
            <w:tcW w:w="60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130.1</w:t>
            </w:r>
          </w:p>
        </w:tc>
        <w:tc>
          <w:tcPr>
            <w:tcW w:w="5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56</w:t>
            </w:r>
          </w:p>
        </w:tc>
        <w:tc>
          <w:tcPr>
            <w:tcW w:w="64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10</w:t>
            </w:r>
          </w:p>
        </w:tc>
        <w:tc>
          <w:tcPr>
            <w:tcW w:w="6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248.82</w:t>
            </w:r>
          </w:p>
        </w:tc>
        <w:tc>
          <w:tcPr>
            <w:tcW w:w="49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159.64</w:t>
            </w: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124.83</w:t>
            </w: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33.02</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1.72</w:t>
            </w:r>
          </w:p>
        </w:tc>
        <w:tc>
          <w:tcPr>
            <w:tcW w:w="3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50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4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9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0"/>
                <w:kern w:val="0"/>
                <w:sz w:val="21"/>
                <w:szCs w:val="21"/>
                <w:lang w:eastAsia="zh-CN"/>
              </w:rPr>
            </w:pPr>
            <w:r>
              <w:rPr>
                <w:rFonts w:hint="eastAsia" w:ascii="宋体" w:hAnsi="宋体" w:eastAsia="宋体" w:cs="宋体"/>
                <w:color w:val="auto"/>
                <w:spacing w:val="0"/>
                <w:kern w:val="0"/>
                <w:sz w:val="21"/>
                <w:szCs w:val="21"/>
                <w:lang w:eastAsia="zh-CN"/>
              </w:rPr>
              <w:t>一般行政管理事务</w:t>
            </w:r>
          </w:p>
        </w:tc>
        <w:tc>
          <w:tcPr>
            <w:tcW w:w="71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1.04</w:t>
            </w:r>
          </w:p>
        </w:tc>
        <w:tc>
          <w:tcPr>
            <w:tcW w:w="60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1.04</w:t>
            </w:r>
          </w:p>
        </w:tc>
        <w:tc>
          <w:tcPr>
            <w:tcW w:w="60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5" w:type="dxa"/>
            <w:tcBorders>
              <w:top w:val="nil"/>
              <w:left w:val="nil"/>
              <w:bottom w:val="single" w:color="auto" w:sz="4"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r>
      <w:tr>
        <w:tblPrEx>
          <w:tblCellMar>
            <w:top w:w="0" w:type="dxa"/>
            <w:left w:w="108" w:type="dxa"/>
            <w:bottom w:w="0" w:type="dxa"/>
            <w:right w:w="108" w:type="dxa"/>
          </w:tblCellMar>
        </w:tblPrEx>
        <w:trPr>
          <w:trHeight w:val="1391" w:hRule="atLeast"/>
        </w:trPr>
        <w:tc>
          <w:tcPr>
            <w:tcW w:w="709" w:type="dxa"/>
            <w:tcBorders>
              <w:top w:val="nil"/>
              <w:left w:val="single" w:color="auto" w:sz="12"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5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4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49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3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50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4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9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0"/>
                <w:kern w:val="0"/>
                <w:sz w:val="21"/>
                <w:szCs w:val="21"/>
                <w:lang w:eastAsia="zh-CN"/>
              </w:rPr>
            </w:pPr>
            <w:r>
              <w:rPr>
                <w:rFonts w:hint="eastAsia" w:ascii="宋体" w:hAnsi="宋体" w:eastAsia="宋体" w:cs="宋体"/>
                <w:color w:val="auto"/>
                <w:spacing w:val="0"/>
                <w:kern w:val="0"/>
                <w:sz w:val="21"/>
                <w:szCs w:val="21"/>
                <w:lang w:eastAsia="zh-CN"/>
              </w:rPr>
              <w:t>其他巩固脱贫衔接乡村振兴支出</w:t>
            </w:r>
          </w:p>
        </w:tc>
        <w:tc>
          <w:tcPr>
            <w:tcW w:w="71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1.59</w:t>
            </w:r>
          </w:p>
        </w:tc>
        <w:tc>
          <w:tcPr>
            <w:tcW w:w="60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1.59</w:t>
            </w:r>
          </w:p>
        </w:tc>
        <w:tc>
          <w:tcPr>
            <w:tcW w:w="60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rPr>
            </w:pP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c>
          <w:tcPr>
            <w:tcW w:w="605" w:type="dxa"/>
            <w:tcBorders>
              <w:top w:val="nil"/>
              <w:left w:val="nil"/>
              <w:bottom w:val="single" w:color="auto" w:sz="4"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21"/>
                <w:szCs w:val="21"/>
                <w:lang w:val="en-US" w:eastAsia="zh-CN"/>
              </w:rPr>
            </w:pPr>
          </w:p>
        </w:tc>
      </w:tr>
      <w:tr>
        <w:tblPrEx>
          <w:tblCellMar>
            <w:top w:w="0" w:type="dxa"/>
            <w:left w:w="108" w:type="dxa"/>
            <w:bottom w:w="0" w:type="dxa"/>
            <w:right w:w="108" w:type="dxa"/>
          </w:tblCellMar>
        </w:tblPrEx>
        <w:trPr>
          <w:trHeight w:val="710" w:hRule="atLeast"/>
        </w:trPr>
        <w:tc>
          <w:tcPr>
            <w:tcW w:w="709" w:type="dxa"/>
            <w:tcBorders>
              <w:top w:val="nil"/>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r>
              <w:rPr>
                <w:rFonts w:hint="default" w:eastAsia="宋体"/>
                <w:kern w:val="0"/>
                <w:sz w:val="21"/>
                <w:szCs w:val="21"/>
              </w:rPr>
              <w:t>　</w:t>
            </w:r>
          </w:p>
        </w:tc>
        <w:tc>
          <w:tcPr>
            <w:tcW w:w="60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r>
              <w:rPr>
                <w:rFonts w:hint="default" w:eastAsia="宋体"/>
                <w:kern w:val="0"/>
                <w:sz w:val="21"/>
                <w:szCs w:val="21"/>
              </w:rPr>
              <w:t>　</w:t>
            </w:r>
          </w:p>
        </w:tc>
        <w:tc>
          <w:tcPr>
            <w:tcW w:w="56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r>
              <w:rPr>
                <w:rFonts w:hint="default" w:eastAsia="宋体"/>
                <w:kern w:val="0"/>
                <w:sz w:val="21"/>
                <w:szCs w:val="21"/>
              </w:rPr>
              <w:t>　</w:t>
            </w:r>
          </w:p>
        </w:tc>
        <w:tc>
          <w:tcPr>
            <w:tcW w:w="6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r>
              <w:rPr>
                <w:rFonts w:hint="default" w:eastAsia="宋体"/>
                <w:kern w:val="0"/>
                <w:sz w:val="21"/>
                <w:szCs w:val="21"/>
              </w:rPr>
              <w:t>　</w:t>
            </w: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r>
              <w:rPr>
                <w:rFonts w:hint="default" w:eastAsia="宋体"/>
                <w:kern w:val="0"/>
                <w:sz w:val="21"/>
                <w:szCs w:val="21"/>
              </w:rPr>
              <w:t>　</w:t>
            </w: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r>
              <w:rPr>
                <w:rFonts w:hint="default" w:eastAsia="宋体"/>
                <w:kern w:val="0"/>
                <w:sz w:val="21"/>
                <w:szCs w:val="21"/>
              </w:rPr>
              <w:t>　</w:t>
            </w:r>
          </w:p>
        </w:tc>
        <w:tc>
          <w:tcPr>
            <w:tcW w:w="6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r>
              <w:rPr>
                <w:rFonts w:hint="default" w:eastAsia="宋体"/>
                <w:kern w:val="0"/>
                <w:sz w:val="21"/>
                <w:szCs w:val="21"/>
              </w:rPr>
              <w:t>　</w:t>
            </w:r>
          </w:p>
        </w:tc>
        <w:tc>
          <w:tcPr>
            <w:tcW w:w="49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r>
              <w:rPr>
                <w:rFonts w:hint="default" w:eastAsia="宋体"/>
                <w:kern w:val="0"/>
                <w:sz w:val="21"/>
                <w:szCs w:val="21"/>
              </w:rPr>
              <w:t>　</w:t>
            </w:r>
          </w:p>
        </w:tc>
        <w:tc>
          <w:tcPr>
            <w:tcW w:w="71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60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54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3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50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49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1"/>
                <w:szCs w:val="21"/>
                <w:lang w:val="en-US" w:eastAsia="zh-CN"/>
              </w:rPr>
            </w:pPr>
            <w:r>
              <w:rPr>
                <w:rFonts w:hint="eastAsia" w:eastAsia="宋体"/>
                <w:kern w:val="0"/>
                <w:sz w:val="21"/>
                <w:szCs w:val="21"/>
                <w:lang w:val="en-US" w:eastAsia="zh-CN"/>
              </w:rPr>
              <w:t>科普活动与科技馆巡展费</w:t>
            </w:r>
          </w:p>
        </w:tc>
        <w:tc>
          <w:tcPr>
            <w:tcW w:w="7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lang w:val="en-US" w:eastAsia="zh-CN"/>
              </w:rPr>
            </w:pPr>
            <w:r>
              <w:rPr>
                <w:rFonts w:hint="eastAsia" w:eastAsia="宋体"/>
                <w:kern w:val="0"/>
                <w:sz w:val="21"/>
                <w:szCs w:val="21"/>
                <w:lang w:val="en-US" w:eastAsia="zh-CN"/>
              </w:rPr>
              <w:t>96.55</w:t>
            </w:r>
          </w:p>
        </w:tc>
        <w:tc>
          <w:tcPr>
            <w:tcW w:w="60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lang w:val="en-US" w:eastAsia="zh-CN"/>
              </w:rPr>
            </w:pPr>
            <w:r>
              <w:rPr>
                <w:rFonts w:hint="eastAsia" w:eastAsia="宋体"/>
                <w:kern w:val="0"/>
                <w:sz w:val="21"/>
                <w:szCs w:val="21"/>
                <w:lang w:val="en-US" w:eastAsia="zh-CN"/>
              </w:rPr>
              <w:t>96.55</w:t>
            </w:r>
          </w:p>
        </w:tc>
        <w:tc>
          <w:tcPr>
            <w:tcW w:w="60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60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61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60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c>
          <w:tcPr>
            <w:tcW w:w="605" w:type="dxa"/>
            <w:tcBorders>
              <w:top w:val="nil"/>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1"/>
                <w:szCs w:val="21"/>
              </w:rPr>
            </w:pPr>
          </w:p>
        </w:tc>
      </w:tr>
    </w:tbl>
    <w:p>
      <w:pPr>
        <w:widowControl/>
        <w:jc w:val="left"/>
        <w:rPr>
          <w:rFonts w:eastAsia="宋体"/>
          <w:bCs/>
          <w:kern w:val="0"/>
          <w:sz w:val="24"/>
          <w:szCs w:val="24"/>
        </w:rPr>
      </w:pPr>
      <w:r>
        <w:rPr>
          <w:rFonts w:eastAsia="宋体"/>
          <w:bCs/>
          <w:kern w:val="0"/>
          <w:sz w:val="24"/>
          <w:szCs w:val="24"/>
        </w:rPr>
        <w:t>注：单位有多个项目的，请按项目分别填列。</w:t>
      </w:r>
    </w:p>
    <w:p>
      <w:pPr>
        <w:widowControl/>
        <w:jc w:val="left"/>
        <w:rPr>
          <w:rFonts w:eastAsia="宋体"/>
          <w:bCs/>
          <w:kern w:val="0"/>
          <w:sz w:val="24"/>
          <w:szCs w:val="24"/>
        </w:rPr>
      </w:pPr>
      <w:r>
        <w:rPr>
          <w:rFonts w:eastAsia="宋体"/>
          <w:bCs/>
          <w:kern w:val="0"/>
          <w:sz w:val="24"/>
          <w:szCs w:val="24"/>
        </w:rPr>
        <w:t xml:space="preserve">填 报 人 </w:t>
      </w:r>
      <w:r>
        <w:rPr>
          <w:rFonts w:hint="eastAsia" w:eastAsia="宋体"/>
          <w:bCs/>
          <w:kern w:val="0"/>
          <w:sz w:val="24"/>
          <w:szCs w:val="24"/>
          <w:lang w:eastAsia="zh-CN"/>
        </w:rPr>
        <w:t>：刘自平</w:t>
      </w:r>
      <w:r>
        <w:rPr>
          <w:rFonts w:eastAsia="宋体"/>
          <w:bCs/>
          <w:kern w:val="0"/>
          <w:sz w:val="24"/>
          <w:szCs w:val="24"/>
        </w:rPr>
        <w:t xml:space="preserve">                                            单位负责人（签字）：      </w:t>
      </w:r>
    </w:p>
    <w:p>
      <w:pPr>
        <w:widowControl/>
        <w:jc w:val="left"/>
        <w:rPr>
          <w:rFonts w:eastAsia="黑体"/>
          <w:bCs/>
          <w:kern w:val="0"/>
          <w:sz w:val="24"/>
          <w:szCs w:val="24"/>
        </w:rPr>
      </w:pPr>
      <w:r>
        <w:rPr>
          <w:rFonts w:eastAsia="黑体"/>
          <w:bCs/>
          <w:kern w:val="0"/>
          <w:sz w:val="24"/>
          <w:szCs w:val="24"/>
        </w:rPr>
        <w:t>附件2</w:t>
      </w:r>
    </w:p>
    <w:p>
      <w:pPr>
        <w:widowControl/>
        <w:jc w:val="center"/>
        <w:rPr>
          <w:rFonts w:eastAsia="方正小标宋简体"/>
          <w:bCs/>
          <w:kern w:val="0"/>
          <w:sz w:val="30"/>
          <w:szCs w:val="30"/>
        </w:rPr>
      </w:pPr>
      <w:r>
        <w:rPr>
          <w:rFonts w:eastAsia="方正小标宋简体"/>
          <w:bCs/>
          <w:kern w:val="0"/>
          <w:sz w:val="30"/>
          <w:szCs w:val="30"/>
        </w:rPr>
        <w:t>桃江县20</w:t>
      </w:r>
      <w:r>
        <w:rPr>
          <w:rFonts w:hint="eastAsia" w:eastAsia="方正小标宋简体"/>
          <w:bCs/>
          <w:kern w:val="0"/>
          <w:sz w:val="30"/>
          <w:szCs w:val="30"/>
        </w:rPr>
        <w:t>2</w:t>
      </w:r>
      <w:r>
        <w:rPr>
          <w:rFonts w:hint="eastAsia" w:eastAsia="方正小标宋简体"/>
          <w:bCs/>
          <w:kern w:val="0"/>
          <w:sz w:val="30"/>
          <w:szCs w:val="30"/>
          <w:lang w:val="en-US" w:eastAsia="zh-CN"/>
        </w:rPr>
        <w:t>2</w:t>
      </w:r>
      <w:r>
        <w:rPr>
          <w:rFonts w:eastAsia="方正小标宋简体"/>
          <w:bCs/>
          <w:kern w:val="0"/>
          <w:sz w:val="30"/>
          <w:szCs w:val="30"/>
        </w:rPr>
        <w:t>年度部门整体支出绩效评价指标及评分表</w:t>
      </w:r>
    </w:p>
    <w:p>
      <w:pPr>
        <w:widowControl/>
        <w:jc w:val="left"/>
        <w:rPr>
          <w:rFonts w:eastAsia="宋体"/>
          <w:kern w:val="0"/>
          <w:sz w:val="24"/>
          <w:szCs w:val="24"/>
        </w:rPr>
      </w:pPr>
      <w:r>
        <w:rPr>
          <w:rFonts w:eastAsia="宋体"/>
          <w:kern w:val="0"/>
          <w:sz w:val="24"/>
          <w:szCs w:val="24"/>
        </w:rPr>
        <w:t>评价单位（盖章）：</w:t>
      </w:r>
      <w:r>
        <w:rPr>
          <w:rFonts w:hint="eastAsia" w:eastAsia="宋体"/>
          <w:kern w:val="0"/>
          <w:sz w:val="24"/>
          <w:szCs w:val="24"/>
          <w:lang w:eastAsia="zh-CN"/>
        </w:rPr>
        <w:t>桃江县科学技术协会</w:t>
      </w:r>
      <w:r>
        <w:rPr>
          <w:rFonts w:eastAsia="宋体"/>
          <w:kern w:val="0"/>
          <w:sz w:val="24"/>
          <w:szCs w:val="24"/>
        </w:rPr>
        <w:t xml:space="preserve">                                               填报日期：</w:t>
      </w:r>
      <w:r>
        <w:rPr>
          <w:rFonts w:hint="eastAsia" w:eastAsia="宋体"/>
          <w:kern w:val="0"/>
          <w:sz w:val="24"/>
          <w:szCs w:val="24"/>
          <w:lang w:val="en-US" w:eastAsia="zh-CN"/>
        </w:rPr>
        <w:t>2022</w:t>
      </w:r>
      <w:r>
        <w:rPr>
          <w:rFonts w:eastAsia="宋体"/>
          <w:kern w:val="0"/>
          <w:sz w:val="24"/>
          <w:szCs w:val="24"/>
        </w:rPr>
        <w:t>年</w:t>
      </w:r>
      <w:r>
        <w:rPr>
          <w:rFonts w:hint="eastAsia" w:eastAsia="宋体"/>
          <w:kern w:val="0"/>
          <w:sz w:val="24"/>
          <w:szCs w:val="24"/>
          <w:lang w:val="en-US" w:eastAsia="zh-CN"/>
        </w:rPr>
        <w:t>4</w:t>
      </w:r>
      <w:r>
        <w:rPr>
          <w:rFonts w:eastAsia="宋体"/>
          <w:kern w:val="0"/>
          <w:sz w:val="24"/>
          <w:szCs w:val="24"/>
        </w:rPr>
        <w:t>月</w:t>
      </w:r>
      <w:r>
        <w:rPr>
          <w:rFonts w:hint="eastAsia" w:eastAsia="宋体"/>
          <w:kern w:val="0"/>
          <w:sz w:val="24"/>
          <w:szCs w:val="24"/>
          <w:lang w:val="en-US" w:eastAsia="zh-CN"/>
        </w:rPr>
        <w:t>12</w:t>
      </w:r>
      <w:r>
        <w:rPr>
          <w:rFonts w:eastAsia="宋体"/>
          <w:kern w:val="0"/>
          <w:sz w:val="24"/>
          <w:szCs w:val="24"/>
        </w:rPr>
        <w:t>日</w:t>
      </w:r>
    </w:p>
    <w:tbl>
      <w:tblPr>
        <w:tblStyle w:val="7"/>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黑体"/>
                <w:bCs/>
                <w:kern w:val="0"/>
                <w:sz w:val="24"/>
                <w:szCs w:val="24"/>
              </w:rPr>
            </w:pPr>
            <w:r>
              <w:rPr>
                <w:rFonts w:hint="default" w:eastAsia="黑体"/>
                <w:bCs/>
                <w:kern w:val="0"/>
                <w:sz w:val="24"/>
                <w:szCs w:val="24"/>
              </w:rPr>
              <w:t>一级</w:t>
            </w:r>
          </w:p>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指标</w:t>
            </w:r>
          </w:p>
        </w:tc>
        <w:tc>
          <w:tcPr>
            <w:tcW w:w="106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二级</w:t>
            </w:r>
          </w:p>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指标</w:t>
            </w: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三级</w:t>
            </w:r>
          </w:p>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指标</w:t>
            </w:r>
          </w:p>
        </w:tc>
        <w:tc>
          <w:tcPr>
            <w:tcW w:w="4341"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指标内容</w:t>
            </w:r>
          </w:p>
        </w:tc>
        <w:tc>
          <w:tcPr>
            <w:tcW w:w="5899"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指标说明</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分值</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自评得分</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szCs w:val="24"/>
              </w:rPr>
            </w:pPr>
            <w:r>
              <w:rPr>
                <w:rFonts w:hint="default" w:eastAsia="黑体"/>
                <w:bCs/>
                <w:kern w:val="0"/>
                <w:sz w:val="24"/>
                <w:szCs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br w:type="textWrapping"/>
            </w:r>
            <w:r>
              <w:rPr>
                <w:rFonts w:hint="default" w:eastAsia="宋体"/>
                <w:kern w:val="0"/>
                <w:sz w:val="24"/>
                <w:szCs w:val="24"/>
              </w:rPr>
              <w:t>投入</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1</w:t>
            </w:r>
            <w:r>
              <w:rPr>
                <w:rFonts w:hint="default" w:eastAsia="宋体"/>
                <w:kern w:val="0"/>
                <w:sz w:val="24"/>
                <w:szCs w:val="24"/>
              </w:rPr>
              <w:t>0分）</w:t>
            </w:r>
          </w:p>
        </w:tc>
        <w:tc>
          <w:tcPr>
            <w:tcW w:w="1065"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 xml:space="preserve">设定 </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目标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w:t>
            </w:r>
            <w:r>
              <w:rPr>
                <w:rFonts w:hint="eastAsia" w:eastAsia="宋体"/>
                <w:kern w:val="0"/>
                <w:sz w:val="24"/>
                <w:szCs w:val="24"/>
              </w:rPr>
              <w:t>7</w:t>
            </w:r>
            <w:r>
              <w:rPr>
                <w:rFonts w:hint="default" w:eastAsia="宋体"/>
                <w:kern w:val="0"/>
                <w:sz w:val="24"/>
                <w:szCs w:val="24"/>
              </w:rPr>
              <w:t>分）</w:t>
            </w:r>
          </w:p>
        </w:tc>
        <w:tc>
          <w:tcPr>
            <w:tcW w:w="1410" w:type="dxa"/>
            <w:vMerge w:val="restart"/>
            <w:noWrap w:val="0"/>
            <w:vAlign w:val="center"/>
          </w:tcPr>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rPr>
            </w:pPr>
            <w:r>
              <w:rPr>
                <w:rFonts w:hint="default" w:eastAsia="宋体"/>
                <w:kern w:val="0"/>
                <w:sz w:val="24"/>
                <w:szCs w:val="24"/>
              </w:rPr>
              <w:t>绩效目标合理性</w:t>
            </w:r>
          </w:p>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rPr>
            </w:pPr>
            <w:r>
              <w:rPr>
                <w:rFonts w:hint="default" w:eastAsia="宋体"/>
                <w:kern w:val="0"/>
                <w:sz w:val="24"/>
                <w:szCs w:val="24"/>
              </w:rPr>
              <w:t>（</w:t>
            </w:r>
            <w:r>
              <w:rPr>
                <w:rFonts w:hint="eastAsia" w:eastAsia="宋体"/>
                <w:kern w:val="0"/>
                <w:sz w:val="24"/>
                <w:szCs w:val="24"/>
              </w:rPr>
              <w:t>3</w:t>
            </w:r>
            <w:r>
              <w:rPr>
                <w:rFonts w:hint="default" w:eastAsia="宋体"/>
                <w:kern w:val="0"/>
                <w:sz w:val="24"/>
                <w:szCs w:val="24"/>
              </w:rPr>
              <w:t>分）</w:t>
            </w:r>
          </w:p>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rPr>
            </w:pPr>
          </w:p>
        </w:tc>
        <w:tc>
          <w:tcPr>
            <w:tcW w:w="4341" w:type="dxa"/>
            <w:vMerge w:val="restart"/>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r>
              <w:rPr>
                <w:rFonts w:hint="default" w:eastAsia="宋体"/>
                <w:kern w:val="0"/>
                <w:sz w:val="24"/>
                <w:szCs w:val="24"/>
              </w:rPr>
              <w:t>部门设立的整体绩效目标依据是否充分，是否符合客观实际，是否与部门履职、年度工作任务相符。</w:t>
            </w:r>
          </w:p>
        </w:tc>
        <w:tc>
          <w:tcPr>
            <w:tcW w:w="5899" w:type="dxa"/>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r>
              <w:rPr>
                <w:rFonts w:hint="default" w:eastAsia="宋体"/>
                <w:kern w:val="0"/>
                <w:sz w:val="24"/>
                <w:szCs w:val="24"/>
              </w:rPr>
              <w:t>1、是否设立年度绩效目标，目标是否明确；</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eastAsia="zh-CN"/>
              </w:rPr>
            </w:pPr>
            <w:r>
              <w:rPr>
                <w:rFonts w:hint="eastAsia" w:eastAsia="宋体"/>
                <w:kern w:val="0"/>
                <w:sz w:val="24"/>
                <w:szCs w:val="24"/>
                <w:lang w:val="en-US" w:eastAsia="zh-CN"/>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b w:val="0"/>
                <w:bCs w:val="0"/>
                <w:kern w:val="0"/>
                <w:sz w:val="24"/>
                <w:szCs w:val="24"/>
                <w:lang w:val="en-US" w:eastAsia="zh-CN"/>
              </w:rPr>
            </w:pPr>
            <w:r>
              <w:rPr>
                <w:rFonts w:hint="eastAsia" w:eastAsia="宋体"/>
                <w:b w:val="0"/>
                <w:bCs w:val="0"/>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b/>
                <w:bCs/>
                <w:kern w:val="0"/>
                <w:sz w:val="24"/>
                <w:szCs w:val="24"/>
              </w:rPr>
            </w:pPr>
            <w:r>
              <w:rPr>
                <w:rFonts w:hint="default" w:eastAsia="宋体"/>
                <w:b/>
                <w:bCs/>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r>
              <w:rPr>
                <w:rFonts w:hint="default" w:eastAsia="宋体"/>
                <w:kern w:val="0"/>
                <w:sz w:val="24"/>
                <w:szCs w:val="24"/>
              </w:rPr>
              <w:t>2、是否符合国家法律法规、国民经济和社会发展总体规划</w:t>
            </w:r>
            <w:r>
              <w:rPr>
                <w:rFonts w:hint="eastAsia" w:eastAsia="宋体"/>
                <w:kern w:val="0"/>
                <w:sz w:val="24"/>
                <w:szCs w:val="24"/>
              </w:rPr>
              <w:t>以及</w:t>
            </w:r>
            <w:r>
              <w:rPr>
                <w:rFonts w:hint="default" w:eastAsia="宋体"/>
                <w:kern w:val="0"/>
                <w:sz w:val="24"/>
                <w:szCs w:val="24"/>
              </w:rPr>
              <w:t>部门三定方案确定的职责；</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r>
              <w:rPr>
                <w:rFonts w:hint="eastAsia" w:eastAsia="宋体"/>
                <w:kern w:val="0"/>
                <w:sz w:val="24"/>
                <w:szCs w:val="24"/>
              </w:rPr>
              <w:t>3</w:t>
            </w:r>
            <w:r>
              <w:rPr>
                <w:rFonts w:hint="default" w:eastAsia="宋体"/>
                <w:kern w:val="0"/>
                <w:sz w:val="24"/>
                <w:szCs w:val="24"/>
              </w:rPr>
              <w:t>、是否符合部门制定的中长期实施规划；</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restart"/>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r>
              <w:rPr>
                <w:rFonts w:hint="default" w:eastAsia="宋体"/>
                <w:kern w:val="0"/>
                <w:sz w:val="24"/>
                <w:szCs w:val="24"/>
              </w:rPr>
              <w:t>绩效指标明确性</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4</w:t>
            </w:r>
            <w:r>
              <w:rPr>
                <w:rFonts w:hint="default" w:eastAsia="宋体"/>
                <w:kern w:val="0"/>
                <w:sz w:val="24"/>
                <w:szCs w:val="24"/>
              </w:rPr>
              <w:t>分）</w:t>
            </w:r>
          </w:p>
        </w:tc>
        <w:tc>
          <w:tcPr>
            <w:tcW w:w="4341" w:type="dxa"/>
            <w:vMerge w:val="restart"/>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r>
              <w:rPr>
                <w:rFonts w:hint="default" w:eastAsia="宋体"/>
                <w:kern w:val="0"/>
                <w:sz w:val="24"/>
                <w:szCs w:val="24"/>
              </w:rPr>
              <w:t>部门依据整体绩效目标所设定的绩效指标是否清晰、细化、可衡量。</w:t>
            </w: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r>
              <w:rPr>
                <w:rFonts w:hint="default" w:eastAsia="宋体"/>
                <w:kern w:val="0"/>
                <w:sz w:val="24"/>
                <w:szCs w:val="24"/>
              </w:rPr>
              <w:t>1、指标设置是否清晰、细化、可衡量；</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szCs w:val="24"/>
              </w:rPr>
            </w:pPr>
            <w:r>
              <w:rPr>
                <w:rFonts w:hint="eastAsia"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r>
              <w:rPr>
                <w:rFonts w:hint="default" w:eastAsia="宋体"/>
                <w:kern w:val="0"/>
                <w:sz w:val="24"/>
                <w:szCs w:val="24"/>
              </w:rPr>
              <w:t>2、指标值的设置是否符合逻辑，是否符合行业标准和相关要求；</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r>
              <w:rPr>
                <w:rFonts w:hint="default" w:eastAsia="宋体"/>
                <w:kern w:val="0"/>
                <w:sz w:val="24"/>
                <w:szCs w:val="24"/>
              </w:rPr>
              <w:t>3、是否与部门年度的任务数或计划数相对应；</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r>
              <w:rPr>
                <w:rFonts w:hint="default" w:eastAsia="宋体"/>
                <w:kern w:val="0"/>
                <w:sz w:val="24"/>
                <w:szCs w:val="24"/>
              </w:rPr>
              <w:t>4、是否与本年度部门预算资金相匹配。</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预算</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配置</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w:t>
            </w:r>
            <w:r>
              <w:rPr>
                <w:rFonts w:hint="eastAsia" w:eastAsia="宋体"/>
                <w:kern w:val="0"/>
                <w:sz w:val="24"/>
                <w:szCs w:val="24"/>
              </w:rPr>
              <w:t>3</w:t>
            </w:r>
            <w:r>
              <w:rPr>
                <w:rFonts w:hint="default" w:eastAsia="宋体"/>
                <w:kern w:val="0"/>
                <w:sz w:val="24"/>
                <w:szCs w:val="24"/>
              </w:rPr>
              <w:t>分）</w:t>
            </w:r>
          </w:p>
        </w:tc>
        <w:tc>
          <w:tcPr>
            <w:tcW w:w="1410" w:type="dxa"/>
            <w:noWrap w:val="0"/>
            <w:vAlign w:val="center"/>
          </w:tcPr>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rPr>
            </w:pPr>
            <w:r>
              <w:rPr>
                <w:rFonts w:hint="default" w:eastAsia="宋体"/>
                <w:kern w:val="0"/>
                <w:sz w:val="24"/>
                <w:szCs w:val="24"/>
              </w:rPr>
              <w:t>在职人员控制率</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lang w:val="en-US" w:eastAsia="zh-CN"/>
              </w:rPr>
              <w:t>1</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r>
              <w:rPr>
                <w:rFonts w:hint="default" w:eastAsia="宋体"/>
                <w:kern w:val="0"/>
                <w:sz w:val="24"/>
                <w:szCs w:val="24"/>
              </w:rPr>
              <w:t>部门本年度实际在职人员数（</w:t>
            </w:r>
            <w:r>
              <w:rPr>
                <w:rFonts w:hint="default" w:eastAsia="宋体"/>
                <w:sz w:val="24"/>
                <w:szCs w:val="24"/>
              </w:rPr>
              <w:t>以实际享受部门工会待遇的人数为准）</w:t>
            </w:r>
            <w:r>
              <w:rPr>
                <w:rFonts w:hint="default" w:eastAsia="宋体"/>
                <w:kern w:val="0"/>
                <w:sz w:val="24"/>
                <w:szCs w:val="24"/>
              </w:rPr>
              <w:t>与编制数的比率，反映部门人员成本控制程度</w:t>
            </w: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r>
              <w:rPr>
                <w:rFonts w:hint="default" w:eastAsia="宋体"/>
                <w:kern w:val="0"/>
                <w:sz w:val="24"/>
                <w:szCs w:val="24"/>
              </w:rPr>
              <w:t>在职人员控制率=（在职人员数</w:t>
            </w:r>
            <w:r>
              <w:rPr>
                <w:rFonts w:hint="default" w:eastAsia="宋体"/>
                <w:b/>
                <w:bCs/>
                <w:kern w:val="0"/>
                <w:sz w:val="24"/>
                <w:szCs w:val="24"/>
              </w:rPr>
              <w:t>/</w:t>
            </w:r>
            <w:r>
              <w:rPr>
                <w:rFonts w:hint="default" w:eastAsia="宋体"/>
                <w:kern w:val="0"/>
                <w:sz w:val="24"/>
                <w:szCs w:val="24"/>
              </w:rPr>
              <w:t>编制数）×100%。大于1的视情况扣分。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szCs w:val="24"/>
              </w:rPr>
            </w:pPr>
            <w:r>
              <w:rPr>
                <w:rFonts w:hint="eastAsia"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10" w:lineRule="exact"/>
              <w:ind w:left="240" w:right="0" w:hanging="240" w:hangingChars="100"/>
              <w:jc w:val="left"/>
              <w:rPr>
                <w:rFonts w:hint="default" w:eastAsia="宋体"/>
                <w:kern w:val="0"/>
                <w:sz w:val="24"/>
                <w:szCs w:val="24"/>
              </w:rPr>
            </w:pPr>
            <w:r>
              <w:rPr>
                <w:rFonts w:hint="default" w:eastAsia="宋体"/>
                <w:kern w:val="0"/>
                <w:sz w:val="24"/>
                <w:szCs w:val="24"/>
              </w:rPr>
              <w:t>“三公经费”变动率</w:t>
            </w:r>
          </w:p>
          <w:p>
            <w:pPr>
              <w:keepNext w:val="0"/>
              <w:keepLines w:val="0"/>
              <w:widowControl/>
              <w:suppressLineNumbers w:val="0"/>
              <w:spacing w:before="0" w:beforeAutospacing="0" w:after="0" w:afterAutospacing="0" w:line="310" w:lineRule="exact"/>
              <w:ind w:left="0" w:right="0"/>
              <w:jc w:val="left"/>
              <w:rPr>
                <w:rFonts w:hint="default" w:eastAsia="宋体"/>
                <w:kern w:val="0"/>
                <w:sz w:val="24"/>
                <w:szCs w:val="24"/>
              </w:rPr>
            </w:pPr>
            <w:r>
              <w:rPr>
                <w:rFonts w:hint="default" w:eastAsia="宋体"/>
                <w:kern w:val="0"/>
                <w:sz w:val="24"/>
                <w:szCs w:val="24"/>
              </w:rPr>
              <w:t>（</w:t>
            </w:r>
            <w:r>
              <w:rPr>
                <w:rFonts w:hint="eastAsia" w:eastAsia="宋体"/>
                <w:kern w:val="0"/>
                <w:sz w:val="24"/>
                <w:szCs w:val="24"/>
                <w:lang w:val="en-US" w:eastAsia="zh-CN"/>
              </w:rPr>
              <w:t>2</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r>
              <w:rPr>
                <w:rFonts w:hint="default" w:eastAsia="宋体"/>
                <w:kern w:val="0"/>
                <w:sz w:val="24"/>
                <w:szCs w:val="24"/>
              </w:rPr>
              <w:t>部门本年度“三公经费”预算数与上年度“三公经费”预算数的变动比率，反映部门控制重点行政成本的努力程度。</w:t>
            </w: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r>
              <w:rPr>
                <w:rFonts w:hint="default" w:eastAsia="宋体"/>
                <w:kern w:val="0"/>
                <w:sz w:val="24"/>
                <w:szCs w:val="24"/>
              </w:rPr>
              <w:t>“三公经费”变动率=[（本年度“三公经费”总额—上年度“三公经费”总额）</w:t>
            </w:r>
            <w:r>
              <w:rPr>
                <w:rFonts w:hint="default" w:eastAsia="宋体"/>
                <w:b/>
                <w:bCs/>
                <w:kern w:val="0"/>
                <w:sz w:val="24"/>
                <w:szCs w:val="24"/>
              </w:rPr>
              <w:t>/</w:t>
            </w:r>
            <w:r>
              <w:rPr>
                <w:rFonts w:hint="default" w:eastAsia="宋体"/>
                <w:kern w:val="0"/>
                <w:sz w:val="24"/>
                <w:szCs w:val="24"/>
              </w:rPr>
              <w:t>上年度“三公经费”总额]×100%。大于0的计0分，等于0的计</w:t>
            </w:r>
            <w:r>
              <w:rPr>
                <w:rFonts w:hint="eastAsia" w:eastAsia="宋体"/>
                <w:kern w:val="0"/>
                <w:sz w:val="24"/>
                <w:szCs w:val="24"/>
              </w:rPr>
              <w:t>0.5</w:t>
            </w:r>
            <w:r>
              <w:rPr>
                <w:rFonts w:hint="default" w:eastAsia="宋体"/>
                <w:kern w:val="0"/>
                <w:sz w:val="24"/>
                <w:szCs w:val="24"/>
              </w:rPr>
              <w:t>分，小于0的计</w:t>
            </w:r>
            <w:r>
              <w:rPr>
                <w:rFonts w:hint="eastAsia" w:eastAsia="宋体"/>
                <w:kern w:val="0"/>
                <w:sz w:val="24"/>
                <w:szCs w:val="24"/>
              </w:rPr>
              <w:t>1</w:t>
            </w:r>
            <w:r>
              <w:rPr>
                <w:rFonts w:hint="default" w:eastAsia="宋体"/>
                <w:kern w:val="0"/>
                <w:sz w:val="24"/>
                <w:szCs w:val="24"/>
              </w:rPr>
              <w:t>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eastAsia="zh-CN"/>
              </w:rPr>
            </w:pPr>
            <w:r>
              <w:rPr>
                <w:rFonts w:hint="eastAsia" w:eastAsia="宋体"/>
                <w:kern w:val="0"/>
                <w:sz w:val="24"/>
                <w:szCs w:val="24"/>
                <w:lang w:val="en-US" w:eastAsia="zh-CN"/>
              </w:rPr>
              <w:t>2</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2</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10" w:lineRule="exact"/>
              <w:ind w:left="0" w:right="0"/>
              <w:jc w:val="center"/>
              <w:rPr>
                <w:rFonts w:hint="default" w:eastAsia="宋体"/>
                <w:kern w:val="0"/>
                <w:sz w:val="24"/>
                <w:szCs w:val="24"/>
              </w:rPr>
            </w:pPr>
          </w:p>
        </w:tc>
        <w:tc>
          <w:tcPr>
            <w:tcW w:w="4341"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szCs w:val="24"/>
              </w:rPr>
            </w:pP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szCs w:val="24"/>
              </w:rPr>
            </w:pP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过程</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w:t>
            </w:r>
            <w:r>
              <w:rPr>
                <w:rFonts w:hint="eastAsia" w:eastAsia="宋体"/>
                <w:kern w:val="0"/>
                <w:sz w:val="24"/>
                <w:szCs w:val="24"/>
              </w:rPr>
              <w:t>30</w:t>
            </w:r>
            <w:r>
              <w:rPr>
                <w:rFonts w:hint="default" w:eastAsia="宋体"/>
                <w:kern w:val="0"/>
                <w:sz w:val="24"/>
                <w:szCs w:val="24"/>
              </w:rPr>
              <w:t>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p>
        </w:tc>
        <w:tc>
          <w:tcPr>
            <w:tcW w:w="1065"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预算</w:t>
            </w:r>
            <w:r>
              <w:rPr>
                <w:rFonts w:hint="default" w:eastAsia="宋体"/>
                <w:kern w:val="0"/>
                <w:sz w:val="24"/>
                <w:szCs w:val="24"/>
              </w:rPr>
              <w:br w:type="textWrapping"/>
            </w:r>
            <w:r>
              <w:rPr>
                <w:rFonts w:hint="default" w:eastAsia="宋体"/>
                <w:kern w:val="0"/>
                <w:sz w:val="24"/>
                <w:szCs w:val="24"/>
              </w:rPr>
              <w:t>执行</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10</w:t>
            </w:r>
            <w:r>
              <w:rPr>
                <w:rFonts w:hint="default" w:eastAsia="宋体"/>
                <w:kern w:val="0"/>
                <w:sz w:val="24"/>
                <w:szCs w:val="24"/>
              </w:rPr>
              <w:t>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预算</w:t>
            </w:r>
            <w:r>
              <w:rPr>
                <w:rFonts w:hint="default" w:eastAsia="宋体"/>
                <w:kern w:val="0"/>
                <w:sz w:val="24"/>
                <w:szCs w:val="24"/>
              </w:rPr>
              <w:br w:type="textWrapping"/>
            </w:r>
            <w:r>
              <w:rPr>
                <w:rFonts w:hint="default" w:eastAsia="宋体"/>
                <w:kern w:val="0"/>
                <w:sz w:val="24"/>
                <w:szCs w:val="24"/>
              </w:rPr>
              <w:t>完成率</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lang w:val="en-US" w:eastAsia="zh-CN"/>
              </w:rPr>
              <w:t>2</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部门本年度预算完成数与预算数的比率，反映部门预算完成程度。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szCs w:val="24"/>
              </w:rPr>
            </w:pPr>
            <w:r>
              <w:rPr>
                <w:rFonts w:hint="default" w:eastAsia="宋体"/>
                <w:kern w:val="0"/>
                <w:sz w:val="24"/>
                <w:szCs w:val="24"/>
              </w:rPr>
              <w:t>预算完成率=（预算完成数</w:t>
            </w:r>
            <w:r>
              <w:rPr>
                <w:rFonts w:hint="default" w:eastAsia="宋体"/>
                <w:b/>
                <w:bCs/>
                <w:kern w:val="0"/>
                <w:sz w:val="24"/>
                <w:szCs w:val="24"/>
              </w:rPr>
              <w:t>/</w:t>
            </w:r>
            <w:r>
              <w:rPr>
                <w:rFonts w:hint="default" w:eastAsia="宋体"/>
                <w:kern w:val="0"/>
                <w:sz w:val="24"/>
                <w:szCs w:val="24"/>
              </w:rPr>
              <w:t>预算数）×100%。按比例计分。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szCs w:val="24"/>
                <w:lang w:val="en-US" w:eastAsia="zh-CN"/>
              </w:rPr>
            </w:pPr>
            <w:r>
              <w:rPr>
                <w:rFonts w:hint="eastAsia" w:eastAsia="宋体"/>
                <w:kern w:val="0"/>
                <w:sz w:val="24"/>
                <w:szCs w:val="24"/>
                <w:lang w:val="en-US" w:eastAsia="zh-CN"/>
              </w:rPr>
              <w:t>2</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预算</w:t>
            </w:r>
            <w:r>
              <w:rPr>
                <w:rFonts w:hint="default" w:eastAsia="宋体"/>
                <w:kern w:val="0"/>
                <w:sz w:val="24"/>
                <w:szCs w:val="24"/>
              </w:rPr>
              <w:br w:type="textWrapping"/>
            </w:r>
            <w:r>
              <w:rPr>
                <w:rFonts w:hint="default" w:eastAsia="宋体"/>
                <w:kern w:val="0"/>
                <w:sz w:val="24"/>
                <w:szCs w:val="24"/>
              </w:rPr>
              <w:t>调整率</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lang w:val="en-US" w:eastAsia="zh-CN"/>
              </w:rPr>
              <w:t>1</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spacing w:val="-6"/>
                <w:kern w:val="0"/>
                <w:sz w:val="24"/>
                <w:szCs w:val="24"/>
              </w:rPr>
            </w:pPr>
            <w:r>
              <w:rPr>
                <w:rFonts w:hint="default" w:eastAsia="宋体"/>
                <w:spacing w:val="-6"/>
                <w:kern w:val="0"/>
                <w:sz w:val="24"/>
                <w:szCs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szCs w:val="24"/>
              </w:rPr>
            </w:pPr>
            <w:r>
              <w:rPr>
                <w:rFonts w:hint="default" w:eastAsia="宋体"/>
                <w:kern w:val="0"/>
                <w:sz w:val="24"/>
                <w:szCs w:val="24"/>
              </w:rPr>
              <w:t>预算调整率=（部门在本年度内涉及预算的追加、追减或结构调整的资金总和</w:t>
            </w:r>
            <w:r>
              <w:rPr>
                <w:rFonts w:hint="default" w:eastAsia="宋体"/>
                <w:b/>
                <w:bCs/>
                <w:kern w:val="0"/>
                <w:sz w:val="24"/>
                <w:szCs w:val="24"/>
              </w:rPr>
              <w:t>/</w:t>
            </w:r>
            <w:r>
              <w:rPr>
                <w:rFonts w:hint="default" w:eastAsia="宋体"/>
                <w:kern w:val="0"/>
                <w:sz w:val="24"/>
                <w:szCs w:val="24"/>
              </w:rPr>
              <w:t>预算数）×100%。无调整的计满分，有调整的视情扣分。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szCs w:val="24"/>
                <w:lang w:val="en-US" w:eastAsia="zh-CN"/>
              </w:rPr>
            </w:pPr>
            <w:r>
              <w:rPr>
                <w:rFonts w:hint="eastAsia" w:eastAsia="宋体"/>
                <w:kern w:val="0"/>
                <w:sz w:val="24"/>
                <w:szCs w:val="24"/>
                <w:lang w:val="en-US" w:eastAsia="zh-CN"/>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支付</w:t>
            </w:r>
            <w:r>
              <w:rPr>
                <w:rFonts w:hint="default" w:eastAsia="宋体"/>
                <w:kern w:val="0"/>
                <w:sz w:val="24"/>
                <w:szCs w:val="24"/>
              </w:rPr>
              <w:br w:type="textWrapping"/>
            </w:r>
            <w:r>
              <w:rPr>
                <w:rFonts w:hint="default" w:eastAsia="宋体"/>
                <w:kern w:val="0"/>
                <w:sz w:val="24"/>
                <w:szCs w:val="24"/>
              </w:rPr>
              <w:t>进度率</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lang w:val="en-US" w:eastAsia="zh-CN"/>
              </w:rPr>
              <w:t>2</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spacing w:val="-6"/>
                <w:kern w:val="0"/>
                <w:sz w:val="24"/>
                <w:szCs w:val="24"/>
              </w:rPr>
            </w:pPr>
            <w:r>
              <w:rPr>
                <w:rFonts w:hint="default" w:eastAsia="宋体"/>
                <w:spacing w:val="-6"/>
                <w:kern w:val="0"/>
                <w:sz w:val="24"/>
                <w:szCs w:val="24"/>
              </w:rPr>
              <w:t>部门实际支付进度与既定支付进度的比率，反映预算执行的及时性和均衡性程度。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szCs w:val="24"/>
              </w:rPr>
            </w:pPr>
            <w:r>
              <w:rPr>
                <w:rFonts w:hint="default" w:eastAsia="宋体"/>
                <w:kern w:val="0"/>
                <w:sz w:val="24"/>
                <w:szCs w:val="24"/>
              </w:rPr>
              <w:t>支付进度率=（实际支付进度</w:t>
            </w:r>
            <w:r>
              <w:rPr>
                <w:rFonts w:hint="default" w:eastAsia="宋体"/>
                <w:b/>
                <w:bCs/>
                <w:kern w:val="0"/>
                <w:sz w:val="24"/>
                <w:szCs w:val="24"/>
              </w:rPr>
              <w:t>/</w:t>
            </w:r>
            <w:r>
              <w:rPr>
                <w:rFonts w:hint="default" w:eastAsia="宋体"/>
                <w:kern w:val="0"/>
                <w:sz w:val="24"/>
                <w:szCs w:val="24"/>
              </w:rPr>
              <w:t>既定支付进度）×100%。支付进度同步的计满分，不同步的视情扣分。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szCs w:val="24"/>
                <w:lang w:val="en-US" w:eastAsia="zh-CN"/>
              </w:rPr>
            </w:pPr>
            <w:r>
              <w:rPr>
                <w:rFonts w:hint="eastAsia" w:eastAsia="宋体"/>
                <w:kern w:val="0"/>
                <w:sz w:val="24"/>
                <w:szCs w:val="24"/>
                <w:lang w:val="en-US" w:eastAsia="zh-CN"/>
              </w:rPr>
              <w:t>2</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结 转</w:t>
            </w:r>
            <w:r>
              <w:rPr>
                <w:rFonts w:hint="default" w:eastAsia="宋体"/>
                <w:kern w:val="0"/>
                <w:sz w:val="24"/>
                <w:szCs w:val="24"/>
              </w:rPr>
              <w:br w:type="textWrapping"/>
            </w:r>
            <w:r>
              <w:rPr>
                <w:rFonts w:hint="default" w:eastAsia="宋体"/>
                <w:kern w:val="0"/>
                <w:sz w:val="24"/>
                <w:szCs w:val="24"/>
              </w:rPr>
              <w:t>结余率</w:t>
            </w:r>
            <w:r>
              <w:rPr>
                <w:rFonts w:hint="default" w:eastAsia="宋体"/>
                <w:kern w:val="0"/>
                <w:sz w:val="24"/>
                <w:szCs w:val="24"/>
              </w:rPr>
              <w:br w:type="textWrapping"/>
            </w:r>
            <w:r>
              <w:rPr>
                <w:rFonts w:hint="default" w:eastAsia="宋体"/>
                <w:kern w:val="0"/>
                <w:sz w:val="24"/>
                <w:szCs w:val="24"/>
              </w:rPr>
              <w:t>（1分）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部门本年度结转结余总额与支出预算数的比率。</w:t>
            </w:r>
          </w:p>
        </w:tc>
        <w:tc>
          <w:tcPr>
            <w:tcW w:w="5899" w:type="dxa"/>
            <w:noWrap w:val="0"/>
            <w:vAlign w:val="center"/>
          </w:tcPr>
          <w:p>
            <w:pPr>
              <w:keepNext w:val="0"/>
              <w:keepLines w:val="0"/>
              <w:widowControl/>
              <w:suppressLineNumbers w:val="0"/>
              <w:spacing w:before="0" w:beforeAutospacing="0" w:after="0" w:afterAutospacing="0" w:line="320" w:lineRule="exact"/>
              <w:ind w:left="0" w:right="0"/>
              <w:jc w:val="left"/>
              <w:rPr>
                <w:rFonts w:hint="default" w:eastAsia="宋体"/>
                <w:kern w:val="0"/>
                <w:sz w:val="24"/>
                <w:szCs w:val="24"/>
              </w:rPr>
            </w:pPr>
            <w:r>
              <w:rPr>
                <w:rFonts w:hint="default" w:eastAsia="宋体"/>
                <w:kern w:val="0"/>
                <w:sz w:val="24"/>
                <w:szCs w:val="24"/>
              </w:rPr>
              <w:t>结转结余率=结转结余总额</w:t>
            </w:r>
            <w:r>
              <w:rPr>
                <w:rFonts w:hint="default" w:eastAsia="宋体"/>
                <w:b/>
                <w:bCs/>
                <w:kern w:val="0"/>
                <w:sz w:val="24"/>
                <w:szCs w:val="24"/>
              </w:rPr>
              <w:t>/</w:t>
            </w:r>
            <w:r>
              <w:rPr>
                <w:rFonts w:hint="default" w:eastAsia="宋体"/>
                <w:kern w:val="0"/>
                <w:sz w:val="24"/>
                <w:szCs w:val="24"/>
              </w:rPr>
              <w:t>支出预算数×100%。结转结余率过大的视情扣分。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公用经费控制率   （</w:t>
            </w:r>
            <w:r>
              <w:rPr>
                <w:rFonts w:hint="eastAsia" w:eastAsia="宋体"/>
                <w:kern w:val="0"/>
                <w:sz w:val="24"/>
                <w:szCs w:val="24"/>
              </w:rPr>
              <w:t>1</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部门本年度实际支出的公用经费总额与预算安排的公用经费总额的比率，反映部门对机构运转成本的实际控制程度。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szCs w:val="24"/>
              </w:rPr>
            </w:pPr>
            <w:r>
              <w:rPr>
                <w:rFonts w:hint="default" w:eastAsia="宋体"/>
                <w:kern w:val="0"/>
                <w:sz w:val="24"/>
                <w:szCs w:val="24"/>
              </w:rPr>
              <w:t>公用经费控制率=（实际支出公用经费总额</w:t>
            </w:r>
            <w:r>
              <w:rPr>
                <w:rFonts w:hint="default" w:eastAsia="宋体"/>
                <w:b/>
                <w:bCs/>
                <w:kern w:val="0"/>
                <w:sz w:val="24"/>
                <w:szCs w:val="24"/>
              </w:rPr>
              <w:t>/</w:t>
            </w:r>
            <w:r>
              <w:rPr>
                <w:rFonts w:hint="default" w:eastAsia="宋体"/>
                <w:kern w:val="0"/>
                <w:sz w:val="24"/>
                <w:szCs w:val="24"/>
              </w:rPr>
              <w:t>预算安排公用经费总额）×100%。控制较好的计满分，控制不好的视情扣分。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szCs w:val="24"/>
              </w:rPr>
            </w:pPr>
            <w:r>
              <w:rPr>
                <w:rFonts w:hint="eastAsia"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三公经费控制率</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lang w:val="en-US" w:eastAsia="zh-CN"/>
              </w:rPr>
              <w:t>2</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部门本年度“三公经费”实际支出数与预算安排数的比率，反映部门对三公经费的实际控制程度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szCs w:val="24"/>
              </w:rPr>
            </w:pPr>
            <w:r>
              <w:rPr>
                <w:rFonts w:hint="default" w:eastAsia="宋体"/>
                <w:kern w:val="0"/>
                <w:sz w:val="24"/>
                <w:szCs w:val="24"/>
              </w:rPr>
              <w:t>“三公经费”控制率=（“三公经费”实际支出数</w:t>
            </w:r>
            <w:r>
              <w:rPr>
                <w:rFonts w:hint="default" w:eastAsia="宋体"/>
                <w:b/>
                <w:bCs/>
                <w:kern w:val="0"/>
                <w:sz w:val="24"/>
                <w:szCs w:val="24"/>
              </w:rPr>
              <w:t>/</w:t>
            </w:r>
            <w:r>
              <w:rPr>
                <w:rFonts w:hint="default" w:eastAsia="宋体"/>
                <w:kern w:val="0"/>
                <w:sz w:val="24"/>
                <w:szCs w:val="24"/>
              </w:rPr>
              <w:t>“三公经费”预算安排数）×100%。控制较好的计满分，控制不好的视情扣分。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szCs w:val="24"/>
                <w:lang w:val="en-US" w:eastAsia="zh-CN"/>
              </w:rPr>
            </w:pPr>
            <w:r>
              <w:rPr>
                <w:rFonts w:hint="eastAsia" w:eastAsia="宋体"/>
                <w:kern w:val="0"/>
                <w:sz w:val="24"/>
                <w:szCs w:val="24"/>
                <w:lang w:val="en-US" w:eastAsia="zh-CN"/>
              </w:rPr>
              <w:t>2</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2</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政府采购执行率</w:t>
            </w:r>
            <w:r>
              <w:rPr>
                <w:rFonts w:hint="default" w:eastAsia="宋体"/>
                <w:kern w:val="0"/>
                <w:sz w:val="24"/>
                <w:szCs w:val="24"/>
              </w:rPr>
              <w:br w:type="textWrapping"/>
            </w:r>
            <w:r>
              <w:rPr>
                <w:rFonts w:hint="default" w:eastAsia="宋体"/>
                <w:kern w:val="0"/>
                <w:sz w:val="24"/>
                <w:szCs w:val="24"/>
              </w:rPr>
              <w:t>（1分）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部门本年度实际政府采购金额与年初政府采购预算的比率。</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szCs w:val="24"/>
              </w:rPr>
            </w:pPr>
            <w:r>
              <w:rPr>
                <w:rFonts w:hint="default" w:eastAsia="宋体"/>
                <w:kern w:val="0"/>
                <w:sz w:val="24"/>
                <w:szCs w:val="24"/>
              </w:rPr>
              <w:t>政府采购执行率=（实际政府采购金额</w:t>
            </w:r>
            <w:r>
              <w:rPr>
                <w:rFonts w:hint="default" w:eastAsia="宋体"/>
                <w:b/>
                <w:bCs/>
                <w:kern w:val="0"/>
                <w:sz w:val="24"/>
                <w:szCs w:val="24"/>
              </w:rPr>
              <w:t>/</w:t>
            </w:r>
            <w:r>
              <w:rPr>
                <w:rFonts w:hint="default" w:eastAsia="宋体"/>
                <w:kern w:val="0"/>
                <w:sz w:val="24"/>
                <w:szCs w:val="24"/>
              </w:rPr>
              <w:t>政府采购预算数）×100%；执行较好的计满分，执行不好的视情扣分。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szCs w:val="24"/>
              </w:rPr>
            </w:pP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过程</w:t>
            </w:r>
          </w:p>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w:t>
            </w:r>
            <w:r>
              <w:rPr>
                <w:rFonts w:hint="eastAsia" w:eastAsia="宋体"/>
                <w:kern w:val="0"/>
                <w:sz w:val="24"/>
                <w:szCs w:val="24"/>
              </w:rPr>
              <w:t>3</w:t>
            </w:r>
            <w:r>
              <w:rPr>
                <w:rFonts w:hint="default" w:eastAsia="宋体"/>
                <w:kern w:val="0"/>
                <w:sz w:val="24"/>
                <w:szCs w:val="24"/>
              </w:rPr>
              <w:t>0分）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p>
        </w:tc>
        <w:tc>
          <w:tcPr>
            <w:tcW w:w="1065"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预算</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管理</w:t>
            </w:r>
            <w:r>
              <w:rPr>
                <w:rFonts w:hint="default" w:eastAsia="宋体"/>
                <w:kern w:val="0"/>
                <w:sz w:val="24"/>
                <w:szCs w:val="24"/>
              </w:rPr>
              <w:br w:type="textWrapping"/>
            </w:r>
            <w:r>
              <w:rPr>
                <w:rFonts w:hint="default" w:eastAsia="宋体"/>
                <w:kern w:val="0"/>
                <w:sz w:val="24"/>
                <w:szCs w:val="24"/>
              </w:rPr>
              <w:t>（1</w:t>
            </w:r>
            <w:r>
              <w:rPr>
                <w:rFonts w:hint="eastAsia" w:eastAsia="宋体"/>
                <w:kern w:val="0"/>
                <w:sz w:val="24"/>
                <w:szCs w:val="24"/>
              </w:rPr>
              <w:t>5</w:t>
            </w:r>
            <w:r>
              <w:rPr>
                <w:rFonts w:hint="default" w:eastAsia="宋体"/>
                <w:kern w:val="0"/>
                <w:sz w:val="24"/>
                <w:szCs w:val="24"/>
              </w:rPr>
              <w:t>分）</w:t>
            </w:r>
          </w:p>
        </w:tc>
        <w:tc>
          <w:tcPr>
            <w:tcW w:w="1410"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制度管理</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5</w:t>
            </w:r>
            <w:r>
              <w:rPr>
                <w:rFonts w:hint="default" w:eastAsia="宋体"/>
                <w:kern w:val="0"/>
                <w:sz w:val="24"/>
                <w:szCs w:val="24"/>
              </w:rPr>
              <w:t>分）</w:t>
            </w:r>
          </w:p>
        </w:tc>
        <w:tc>
          <w:tcPr>
            <w:tcW w:w="4341" w:type="dxa"/>
            <w:vMerge w:val="restart"/>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1、内部财务管理制度是否健全，是否具有或制定预算资金管理办法、</w:t>
            </w:r>
            <w:r>
              <w:rPr>
                <w:rFonts w:hint="default" w:eastAsia="宋体"/>
                <w:sz w:val="24"/>
                <w:szCs w:val="24"/>
              </w:rPr>
              <w:t>内部财务管理制度、会计核算制度、内部控制制度、项目管理制度等管理制度</w:t>
            </w:r>
            <w:r>
              <w:rPr>
                <w:rFonts w:hint="default" w:eastAsia="宋体"/>
                <w:kern w:val="0"/>
                <w:sz w:val="24"/>
                <w:szCs w:val="24"/>
              </w:rPr>
              <w:t>；</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eastAsia="zh-CN"/>
              </w:rPr>
            </w:pPr>
            <w:r>
              <w:rPr>
                <w:rFonts w:hint="eastAsia" w:eastAsia="宋体"/>
                <w:kern w:val="0"/>
                <w:sz w:val="24"/>
                <w:szCs w:val="24"/>
                <w:lang w:val="en-US" w:eastAsia="zh-CN"/>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2、相关制度是否合法、合规、完整；</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3、相关制度是否得到有效执行；</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4、制度执行机构是否健全；</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5、是否建立有效的内部监督机制，机制运行是否有效。</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资金管理</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5</w:t>
            </w:r>
            <w:r>
              <w:rPr>
                <w:rFonts w:hint="default" w:eastAsia="宋体"/>
                <w:kern w:val="0"/>
                <w:sz w:val="24"/>
                <w:szCs w:val="24"/>
              </w:rPr>
              <w:t>分）</w:t>
            </w:r>
          </w:p>
        </w:tc>
        <w:tc>
          <w:tcPr>
            <w:tcW w:w="4341" w:type="dxa"/>
            <w:vMerge w:val="restart"/>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部门使用预算资金是否符合相关的财务管理制度的规定，反映部门预算资金的规范运行情况。</w:t>
            </w: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1、资金的管理和使用是否符合财经法规和财务管理制度规定以及有关专项资金管理办法的规定；</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lang w:val="en-US" w:eastAsia="zh-CN"/>
              </w:rPr>
            </w:pPr>
            <w:r>
              <w:rPr>
                <w:rFonts w:hint="eastAsia" w:eastAsia="宋体"/>
                <w:kern w:val="0"/>
                <w:sz w:val="24"/>
                <w:szCs w:val="24"/>
                <w:lang w:val="en-US" w:eastAsia="zh-CN"/>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2、资金使用是否符合预算批复的用途；</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3、重大开支是否经过评估论证；</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4、资金拨付是否程序规范、手续齐备；</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5、是否存在截留、挤占、挪用、虚列支出等情况。</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color w:val="FF0000"/>
                <w:kern w:val="0"/>
                <w:sz w:val="24"/>
                <w:szCs w:val="24"/>
              </w:rPr>
            </w:pPr>
          </w:p>
        </w:tc>
        <w:tc>
          <w:tcPr>
            <w:tcW w:w="1410" w:type="dxa"/>
            <w:vMerge w:val="restart"/>
            <w:noWrap w:val="0"/>
            <w:vAlign w:val="center"/>
          </w:tcPr>
          <w:p>
            <w:pPr>
              <w:keepNext w:val="0"/>
              <w:keepLines w:val="0"/>
              <w:suppressLineNumbers w:val="0"/>
              <w:spacing w:before="0" w:beforeAutospacing="0" w:after="0" w:afterAutospacing="0" w:line="280" w:lineRule="exact"/>
              <w:ind w:left="0" w:right="0"/>
              <w:jc w:val="center"/>
              <w:rPr>
                <w:rFonts w:hint="default" w:eastAsia="宋体"/>
                <w:bCs/>
                <w:sz w:val="24"/>
                <w:szCs w:val="24"/>
              </w:rPr>
            </w:pPr>
            <w:r>
              <w:rPr>
                <w:rFonts w:hint="default" w:eastAsia="宋体"/>
                <w:bCs/>
                <w:sz w:val="24"/>
                <w:szCs w:val="24"/>
              </w:rPr>
              <w:t>绩效管理</w:t>
            </w:r>
          </w:p>
          <w:p>
            <w:pPr>
              <w:keepNext w:val="0"/>
              <w:keepLines w:val="0"/>
              <w:suppressLineNumbers w:val="0"/>
              <w:spacing w:before="0" w:beforeAutospacing="0" w:after="0" w:afterAutospacing="0" w:line="280" w:lineRule="exact"/>
              <w:ind w:left="0" w:right="0"/>
              <w:jc w:val="center"/>
              <w:rPr>
                <w:rFonts w:hint="default" w:eastAsia="宋体"/>
                <w:bCs/>
                <w:sz w:val="24"/>
                <w:szCs w:val="24"/>
              </w:rPr>
            </w:pPr>
            <w:r>
              <w:rPr>
                <w:rFonts w:hint="default" w:eastAsia="宋体"/>
                <w:bCs/>
                <w:sz w:val="24"/>
                <w:szCs w:val="24"/>
              </w:rPr>
              <w:t>（</w:t>
            </w:r>
            <w:r>
              <w:rPr>
                <w:rFonts w:hint="eastAsia" w:eastAsia="宋体"/>
                <w:bCs/>
                <w:sz w:val="24"/>
                <w:szCs w:val="24"/>
              </w:rPr>
              <w:t>3</w:t>
            </w:r>
            <w:r>
              <w:rPr>
                <w:rFonts w:hint="default" w:eastAsia="宋体"/>
                <w:bCs/>
                <w:sz w:val="24"/>
                <w:szCs w:val="24"/>
              </w:rPr>
              <w:t>分）</w:t>
            </w:r>
          </w:p>
        </w:tc>
        <w:tc>
          <w:tcPr>
            <w:tcW w:w="4341" w:type="dxa"/>
            <w:vMerge w:val="restart"/>
            <w:noWrap w:val="0"/>
            <w:vAlign w:val="center"/>
          </w:tcPr>
          <w:p>
            <w:pPr>
              <w:keepNext w:val="0"/>
              <w:keepLines w:val="0"/>
              <w:suppressLineNumbers w:val="0"/>
              <w:spacing w:before="0" w:beforeAutospacing="0" w:after="0" w:afterAutospacing="0" w:line="370" w:lineRule="exact"/>
              <w:ind w:left="0" w:right="0"/>
              <w:rPr>
                <w:rFonts w:hint="default" w:eastAsia="宋体"/>
                <w:color w:val="FF0000"/>
                <w:kern w:val="0"/>
                <w:sz w:val="24"/>
                <w:szCs w:val="24"/>
              </w:rPr>
            </w:pPr>
            <w:r>
              <w:rPr>
                <w:rFonts w:hint="default" w:eastAsia="宋体"/>
                <w:sz w:val="24"/>
                <w:szCs w:val="24"/>
              </w:rPr>
              <w:t>部门在预算管理过程中贯彻绩效理念采取的措施，用以反映和考核部门为提高财政性资金使用效益的努力程度。</w:t>
            </w:r>
          </w:p>
        </w:tc>
        <w:tc>
          <w:tcPr>
            <w:tcW w:w="5899" w:type="dxa"/>
            <w:noWrap w:val="0"/>
            <w:vAlign w:val="top"/>
          </w:tcPr>
          <w:p>
            <w:pPr>
              <w:keepNext w:val="0"/>
              <w:keepLines w:val="0"/>
              <w:suppressLineNumbers w:val="0"/>
              <w:spacing w:before="0" w:beforeAutospacing="0" w:after="0" w:afterAutospacing="0" w:line="370" w:lineRule="exact"/>
              <w:ind w:left="0" w:right="0"/>
              <w:rPr>
                <w:rFonts w:hint="default" w:eastAsia="宋体"/>
                <w:kern w:val="0"/>
                <w:sz w:val="24"/>
                <w:szCs w:val="24"/>
              </w:rPr>
            </w:pPr>
            <w:r>
              <w:rPr>
                <w:rFonts w:hint="default" w:eastAsia="宋体"/>
                <w:sz w:val="24"/>
                <w:szCs w:val="24"/>
              </w:rPr>
              <w:t>1、是否已制定或具有绩效管理制度</w:t>
            </w:r>
            <w:r>
              <w:rPr>
                <w:rFonts w:hint="eastAsia" w:eastAsia="宋体"/>
                <w:sz w:val="24"/>
                <w:szCs w:val="24"/>
              </w:rPr>
              <w:t>并有效执行</w:t>
            </w:r>
            <w:r>
              <w:rPr>
                <w:rFonts w:hint="default" w:eastAsia="宋体"/>
                <w:sz w:val="24"/>
                <w:szCs w:val="24"/>
              </w:rPr>
              <w:t>；</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2、</w:t>
            </w:r>
            <w:r>
              <w:rPr>
                <w:rFonts w:hint="default" w:eastAsia="宋体"/>
                <w:sz w:val="24"/>
                <w:szCs w:val="24"/>
              </w:rPr>
              <w:t>是否有绩效管理的职能部门和人员；</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eastAsia" w:eastAsia="宋体"/>
                <w:sz w:val="24"/>
                <w:szCs w:val="24"/>
              </w:rPr>
              <w:t>3</w:t>
            </w:r>
            <w:r>
              <w:rPr>
                <w:rFonts w:hint="default" w:eastAsia="宋体"/>
                <w:sz w:val="24"/>
                <w:szCs w:val="24"/>
              </w:rPr>
              <w:t>、是否按要求开展绩效管理工作。</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信息公开</w:t>
            </w:r>
            <w:r>
              <w:rPr>
                <w:rFonts w:hint="default" w:eastAsia="宋体"/>
                <w:kern w:val="0"/>
                <w:sz w:val="24"/>
                <w:szCs w:val="24"/>
              </w:rPr>
              <w:br w:type="textWrapping"/>
            </w:r>
            <w:r>
              <w:rPr>
                <w:rFonts w:hint="default" w:eastAsia="宋体"/>
                <w:kern w:val="0"/>
                <w:sz w:val="24"/>
                <w:szCs w:val="24"/>
              </w:rPr>
              <w:t>（2分）</w:t>
            </w:r>
          </w:p>
        </w:tc>
        <w:tc>
          <w:tcPr>
            <w:tcW w:w="4341" w:type="dxa"/>
            <w:vMerge w:val="restart"/>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基础信息是否完善，是否按照政府信息公开有关规定公开相关信息。</w:t>
            </w: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1、</w:t>
            </w:r>
            <w:r>
              <w:rPr>
                <w:rFonts w:hint="default" w:eastAsia="宋体"/>
                <w:spacing w:val="-6"/>
                <w:kern w:val="0"/>
                <w:sz w:val="24"/>
                <w:szCs w:val="24"/>
              </w:rPr>
              <w:t>基础数据信息和会计信息资料是否真实、准确、完整；</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szCs w:val="24"/>
              </w:rPr>
            </w:pPr>
            <w:r>
              <w:rPr>
                <w:rFonts w:hint="default" w:eastAsia="宋体"/>
                <w:kern w:val="0"/>
                <w:sz w:val="24"/>
                <w:szCs w:val="24"/>
              </w:rPr>
              <w:t>2、是否按规定内容、规定时限公开预决算信息</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br w:type="textWrapping"/>
            </w:r>
            <w:r>
              <w:rPr>
                <w:rFonts w:hint="default" w:eastAsia="宋体"/>
                <w:kern w:val="0"/>
                <w:sz w:val="24"/>
                <w:szCs w:val="24"/>
              </w:rPr>
              <w:t>过程</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30</w:t>
            </w:r>
            <w:r>
              <w:rPr>
                <w:rFonts w:hint="default" w:eastAsia="宋体"/>
                <w:kern w:val="0"/>
                <w:sz w:val="24"/>
                <w:szCs w:val="24"/>
              </w:rPr>
              <w:t>分）</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p>
        </w:tc>
        <w:tc>
          <w:tcPr>
            <w:tcW w:w="106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资产</w:t>
            </w:r>
            <w:r>
              <w:rPr>
                <w:rFonts w:hint="default" w:eastAsia="宋体"/>
                <w:kern w:val="0"/>
                <w:sz w:val="24"/>
                <w:szCs w:val="24"/>
              </w:rPr>
              <w:br w:type="textWrapping"/>
            </w:r>
            <w:r>
              <w:rPr>
                <w:rFonts w:hint="default" w:eastAsia="宋体"/>
                <w:kern w:val="0"/>
                <w:sz w:val="24"/>
                <w:szCs w:val="24"/>
              </w:rPr>
              <w:t>管理</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5</w:t>
            </w:r>
            <w:r>
              <w:rPr>
                <w:rFonts w:hint="default" w:eastAsia="宋体"/>
                <w:kern w:val="0"/>
                <w:sz w:val="24"/>
                <w:szCs w:val="24"/>
              </w:rPr>
              <w:t>分）</w:t>
            </w:r>
          </w:p>
        </w:tc>
        <w:tc>
          <w:tcPr>
            <w:tcW w:w="1410" w:type="dxa"/>
            <w:noWrap w:val="0"/>
            <w:vAlign w:val="center"/>
          </w:tcPr>
          <w:p>
            <w:pPr>
              <w:keepNext w:val="0"/>
              <w:keepLines w:val="0"/>
              <w:suppressLineNumbers w:val="0"/>
              <w:spacing w:before="0" w:beforeAutospacing="0" w:after="0" w:afterAutospacing="0" w:line="360" w:lineRule="exact"/>
              <w:ind w:left="0" w:right="0"/>
              <w:jc w:val="center"/>
              <w:rPr>
                <w:rFonts w:hint="default" w:eastAsia="宋体"/>
                <w:sz w:val="24"/>
                <w:szCs w:val="24"/>
              </w:rPr>
            </w:pPr>
            <w:r>
              <w:rPr>
                <w:rFonts w:hint="default" w:eastAsia="宋体"/>
                <w:sz w:val="24"/>
                <w:szCs w:val="24"/>
              </w:rPr>
              <w:t>制度</w:t>
            </w:r>
          </w:p>
          <w:p>
            <w:pPr>
              <w:keepNext w:val="0"/>
              <w:keepLines w:val="0"/>
              <w:suppressLineNumbers w:val="0"/>
              <w:spacing w:before="0" w:beforeAutospacing="0" w:after="0" w:afterAutospacing="0" w:line="360" w:lineRule="exact"/>
              <w:ind w:left="0" w:right="0"/>
              <w:jc w:val="center"/>
              <w:rPr>
                <w:rFonts w:hint="default" w:eastAsia="宋体"/>
                <w:sz w:val="24"/>
                <w:szCs w:val="24"/>
              </w:rPr>
            </w:pPr>
            <w:r>
              <w:rPr>
                <w:rFonts w:hint="default" w:eastAsia="宋体"/>
                <w:sz w:val="24"/>
                <w:szCs w:val="24"/>
              </w:rPr>
              <w:t>健全性</w:t>
            </w:r>
          </w:p>
          <w:p>
            <w:pPr>
              <w:keepNext w:val="0"/>
              <w:keepLines w:val="0"/>
              <w:suppressLineNumbers w:val="0"/>
              <w:spacing w:before="0" w:beforeAutospacing="0" w:after="0" w:afterAutospacing="0" w:line="360" w:lineRule="exact"/>
              <w:ind w:left="0" w:right="0"/>
              <w:jc w:val="center"/>
              <w:rPr>
                <w:rFonts w:hint="default" w:eastAsia="宋体"/>
                <w:sz w:val="24"/>
                <w:szCs w:val="24"/>
              </w:rPr>
            </w:pPr>
            <w:r>
              <w:rPr>
                <w:rFonts w:hint="default" w:eastAsia="宋体"/>
                <w:sz w:val="24"/>
                <w:szCs w:val="24"/>
              </w:rPr>
              <w:t>（</w:t>
            </w:r>
            <w:r>
              <w:rPr>
                <w:rFonts w:hint="eastAsia" w:eastAsia="宋体"/>
                <w:sz w:val="24"/>
                <w:szCs w:val="24"/>
              </w:rPr>
              <w:t>1</w:t>
            </w:r>
            <w:r>
              <w:rPr>
                <w:rFonts w:hint="default" w:eastAsia="宋体"/>
                <w:sz w:val="24"/>
                <w:szCs w:val="24"/>
              </w:rPr>
              <w:t>分）</w:t>
            </w:r>
          </w:p>
        </w:tc>
        <w:tc>
          <w:tcPr>
            <w:tcW w:w="4341" w:type="dxa"/>
            <w:noWrap w:val="0"/>
            <w:vAlign w:val="center"/>
          </w:tcPr>
          <w:p>
            <w:pPr>
              <w:keepNext w:val="0"/>
              <w:keepLines w:val="0"/>
              <w:suppressLineNumbers w:val="0"/>
              <w:spacing w:before="0" w:beforeAutospacing="0" w:after="0" w:afterAutospacing="0" w:line="370" w:lineRule="exact"/>
              <w:ind w:left="0" w:right="0"/>
              <w:rPr>
                <w:rFonts w:hint="default" w:eastAsia="宋体"/>
                <w:kern w:val="0"/>
                <w:sz w:val="24"/>
                <w:szCs w:val="24"/>
              </w:rPr>
            </w:pPr>
            <w:r>
              <w:rPr>
                <w:rFonts w:hint="default" w:eastAsia="宋体"/>
                <w:sz w:val="24"/>
                <w:szCs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keepNext w:val="0"/>
              <w:keepLines w:val="0"/>
              <w:suppressLineNumbers w:val="0"/>
              <w:spacing w:before="0" w:beforeAutospacing="0" w:after="0" w:afterAutospacing="0" w:line="370" w:lineRule="exact"/>
              <w:ind w:left="0" w:right="0"/>
              <w:rPr>
                <w:rFonts w:hint="default" w:eastAsia="宋体"/>
                <w:kern w:val="0"/>
                <w:sz w:val="24"/>
                <w:szCs w:val="24"/>
              </w:rPr>
            </w:pPr>
            <w:r>
              <w:rPr>
                <w:rFonts w:hint="default" w:eastAsia="宋体"/>
                <w:sz w:val="24"/>
                <w:szCs w:val="24"/>
              </w:rPr>
              <w:t xml:space="preserve"> 是否已制定或具有合法、合规、完整的资产管理制度</w:t>
            </w:r>
            <w:r>
              <w:rPr>
                <w:rFonts w:hint="eastAsia" w:eastAsia="宋体"/>
                <w:sz w:val="24"/>
                <w:szCs w:val="24"/>
              </w:rPr>
              <w:t>并</w:t>
            </w:r>
            <w:r>
              <w:rPr>
                <w:rFonts w:hint="default" w:eastAsia="宋体"/>
                <w:sz w:val="24"/>
                <w:szCs w:val="24"/>
              </w:rPr>
              <w:t>得到有效执行；</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410" w:type="dxa"/>
            <w:vMerge w:val="restart"/>
            <w:noWrap w:val="0"/>
            <w:vAlign w:val="center"/>
          </w:tcPr>
          <w:p>
            <w:pPr>
              <w:keepNext w:val="0"/>
              <w:keepLines w:val="0"/>
              <w:widowControl/>
              <w:suppressLineNumbers w:val="0"/>
              <w:spacing w:before="0" w:beforeAutospacing="0" w:after="0" w:afterAutospacing="0" w:line="400" w:lineRule="exact"/>
              <w:ind w:left="0" w:right="0"/>
              <w:jc w:val="center"/>
              <w:rPr>
                <w:rFonts w:hint="default" w:eastAsia="宋体"/>
                <w:kern w:val="0"/>
                <w:sz w:val="24"/>
                <w:szCs w:val="24"/>
              </w:rPr>
            </w:pPr>
            <w:r>
              <w:rPr>
                <w:rFonts w:hint="default" w:eastAsia="宋体"/>
                <w:kern w:val="0"/>
                <w:sz w:val="24"/>
                <w:szCs w:val="24"/>
              </w:rPr>
              <w:t>资产管理安全性</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3</w:t>
            </w:r>
            <w:r>
              <w:rPr>
                <w:rFonts w:hint="default" w:eastAsia="宋体"/>
                <w:kern w:val="0"/>
                <w:sz w:val="24"/>
                <w:szCs w:val="24"/>
              </w:rPr>
              <w:t>分）</w:t>
            </w:r>
          </w:p>
        </w:tc>
        <w:tc>
          <w:tcPr>
            <w:tcW w:w="4341" w:type="dxa"/>
            <w:vMerge w:val="restart"/>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kern w:val="0"/>
                <w:sz w:val="24"/>
                <w:szCs w:val="24"/>
              </w:rPr>
            </w:pPr>
            <w:r>
              <w:rPr>
                <w:rFonts w:hint="default" w:eastAsia="宋体"/>
                <w:kern w:val="0"/>
                <w:sz w:val="24"/>
                <w:szCs w:val="24"/>
              </w:rPr>
              <w:t>资产管理制度是否健全完整，资产是否保存完整、使用合规、配置合理、处置规范、收入及时足额上缴。</w:t>
            </w:r>
          </w:p>
        </w:tc>
        <w:tc>
          <w:tcPr>
            <w:tcW w:w="5899"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szCs w:val="24"/>
              </w:rPr>
            </w:pPr>
            <w:r>
              <w:rPr>
                <w:rFonts w:hint="default" w:eastAsia="宋体"/>
                <w:kern w:val="0"/>
                <w:sz w:val="24"/>
                <w:szCs w:val="24"/>
              </w:rPr>
              <w:t>1、</w:t>
            </w:r>
            <w:r>
              <w:rPr>
                <w:rFonts w:hint="default" w:eastAsia="宋体"/>
                <w:sz w:val="24"/>
                <w:szCs w:val="24"/>
              </w:rPr>
              <w:t>资产账务管理是否合法合规，保存是否完整，是否账实相符；</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eastAsia" w:eastAsia="宋体"/>
                <w:kern w:val="0"/>
                <w:sz w:val="24"/>
                <w:szCs w:val="24"/>
              </w:rPr>
              <w:t>1</w:t>
            </w:r>
          </w:p>
        </w:tc>
        <w:tc>
          <w:tcPr>
            <w:tcW w:w="795" w:type="dxa"/>
            <w:vMerge w:val="restart"/>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szCs w:val="24"/>
                <w:lang w:val="en-US" w:eastAsia="zh-CN"/>
              </w:rPr>
            </w:pPr>
          </w:p>
          <w:p>
            <w:pPr>
              <w:keepNext w:val="0"/>
              <w:keepLines w:val="0"/>
              <w:widowControl/>
              <w:suppressLineNumbers w:val="0"/>
              <w:spacing w:before="0" w:beforeAutospacing="0" w:after="0" w:afterAutospacing="0" w:line="400" w:lineRule="exact"/>
              <w:ind w:left="0" w:right="0"/>
              <w:rPr>
                <w:rFonts w:hint="default" w:eastAsia="宋体"/>
                <w:kern w:val="0"/>
                <w:sz w:val="24"/>
                <w:szCs w:val="24"/>
                <w:lang w:val="en-US" w:eastAsia="zh-CN"/>
              </w:rPr>
            </w:pPr>
            <w:r>
              <w:rPr>
                <w:rFonts w:hint="eastAsia" w:eastAsia="宋体"/>
                <w:kern w:val="0"/>
                <w:sz w:val="24"/>
                <w:szCs w:val="24"/>
                <w:lang w:val="en-US" w:eastAsia="zh-CN"/>
              </w:rPr>
              <w:t>2</w:t>
            </w:r>
          </w:p>
          <w:p>
            <w:pPr>
              <w:keepNext w:val="0"/>
              <w:keepLines w:val="0"/>
              <w:widowControl/>
              <w:suppressLineNumbers w:val="0"/>
              <w:spacing w:before="0" w:beforeAutospacing="0" w:after="0" w:afterAutospacing="0" w:line="400" w:lineRule="exact"/>
              <w:ind w:left="0" w:right="0"/>
              <w:rPr>
                <w:rFonts w:hint="eastAsia" w:eastAsia="宋体"/>
                <w:kern w:val="0"/>
                <w:sz w:val="24"/>
                <w:szCs w:val="24"/>
                <w:lang w:val="en-US" w:eastAsia="zh-CN"/>
              </w:rPr>
            </w:pP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keepNext w:val="0"/>
              <w:keepLines w:val="0"/>
              <w:widowControl/>
              <w:suppressLineNumbers w:val="0"/>
              <w:spacing w:before="0" w:beforeAutospacing="0" w:after="0" w:afterAutospacing="0" w:line="400" w:lineRule="exact"/>
              <w:ind w:left="0" w:right="0"/>
              <w:rPr>
                <w:rFonts w:hint="default" w:eastAsia="宋体"/>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400" w:lineRule="exact"/>
              <w:ind w:left="0" w:right="0"/>
              <w:rPr>
                <w:rFonts w:hint="default" w:eastAsia="宋体"/>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sz w:val="24"/>
                <w:szCs w:val="24"/>
              </w:rPr>
            </w:pPr>
          </w:p>
        </w:tc>
        <w:tc>
          <w:tcPr>
            <w:tcW w:w="5899"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szCs w:val="24"/>
              </w:rPr>
            </w:pPr>
            <w:r>
              <w:rPr>
                <w:rFonts w:hint="default" w:eastAsia="宋体"/>
                <w:bCs/>
                <w:sz w:val="24"/>
                <w:szCs w:val="24"/>
              </w:rPr>
              <w:t>2、资产是否及时登记入资产管理系统，资产管理统与账务系统是否按时对账，两账相符；</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1</w:t>
            </w:r>
          </w:p>
        </w:tc>
        <w:tc>
          <w:tcPr>
            <w:tcW w:w="795" w:type="dxa"/>
            <w:vMerge w:val="continue"/>
            <w:noWrap w:val="0"/>
            <w:vAlign w:val="center"/>
          </w:tcPr>
          <w:p>
            <w:pPr>
              <w:keepNext w:val="0"/>
              <w:keepLines w:val="0"/>
              <w:widowControl/>
              <w:suppressLineNumbers w:val="0"/>
              <w:spacing w:before="0" w:beforeAutospacing="0" w:after="0" w:afterAutospacing="0" w:line="400" w:lineRule="exact"/>
              <w:ind w:left="0" w:right="0"/>
              <w:rPr>
                <w:rFonts w:hint="eastAsia" w:eastAsia="宋体"/>
                <w:kern w:val="0"/>
                <w:sz w:val="24"/>
                <w:szCs w:val="24"/>
                <w:lang w:val="en-US" w:eastAsia="zh-CN"/>
              </w:rPr>
            </w:pPr>
          </w:p>
        </w:tc>
        <w:tc>
          <w:tcPr>
            <w:tcW w:w="735"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400" w:lineRule="exact"/>
              <w:ind w:left="0" w:right="0"/>
              <w:rPr>
                <w:rFonts w:hint="default" w:eastAsia="宋体"/>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400" w:lineRule="exact"/>
              <w:ind w:left="0" w:right="0"/>
              <w:rPr>
                <w:rFonts w:hint="default" w:eastAsia="宋体"/>
                <w:sz w:val="24"/>
                <w:szCs w:val="24"/>
              </w:rPr>
            </w:pPr>
          </w:p>
        </w:tc>
        <w:tc>
          <w:tcPr>
            <w:tcW w:w="1410" w:type="dxa"/>
            <w:vMerge w:val="continue"/>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sz w:val="24"/>
                <w:szCs w:val="24"/>
              </w:rPr>
            </w:pPr>
          </w:p>
        </w:tc>
        <w:tc>
          <w:tcPr>
            <w:tcW w:w="4341" w:type="dxa"/>
            <w:vMerge w:val="continue"/>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sz w:val="24"/>
                <w:szCs w:val="24"/>
              </w:rPr>
            </w:pPr>
          </w:p>
        </w:tc>
        <w:tc>
          <w:tcPr>
            <w:tcW w:w="5899"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szCs w:val="24"/>
              </w:rPr>
            </w:pPr>
            <w:r>
              <w:rPr>
                <w:rFonts w:hint="eastAsia" w:eastAsia="宋体"/>
                <w:sz w:val="24"/>
                <w:szCs w:val="24"/>
              </w:rPr>
              <w:t>3、</w:t>
            </w:r>
            <w:r>
              <w:rPr>
                <w:rFonts w:hint="default" w:eastAsia="宋体"/>
                <w:sz w:val="24"/>
                <w:szCs w:val="24"/>
              </w:rPr>
              <w:t>资产处置是否规范，处置收入及时足额上缴。</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1</w:t>
            </w:r>
          </w:p>
        </w:tc>
        <w:tc>
          <w:tcPr>
            <w:tcW w:w="795" w:type="dxa"/>
            <w:vMerge w:val="continue"/>
            <w:noWrap w:val="0"/>
            <w:vAlign w:val="center"/>
          </w:tcPr>
          <w:p>
            <w:pPr>
              <w:keepNext w:val="0"/>
              <w:keepLines w:val="0"/>
              <w:widowControl/>
              <w:suppressLineNumbers w:val="0"/>
              <w:spacing w:before="0" w:beforeAutospacing="0" w:after="0" w:afterAutospacing="0" w:line="400" w:lineRule="exact"/>
              <w:ind w:left="0" w:right="0"/>
              <w:rPr>
                <w:rFonts w:hint="eastAsia" w:eastAsia="宋体"/>
                <w:kern w:val="0"/>
                <w:sz w:val="24"/>
                <w:szCs w:val="24"/>
                <w:lang w:val="en-US" w:eastAsia="zh-CN"/>
              </w:rPr>
            </w:pPr>
          </w:p>
        </w:tc>
        <w:tc>
          <w:tcPr>
            <w:tcW w:w="735"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固定资产利用率</w:t>
            </w:r>
            <w:r>
              <w:rPr>
                <w:rFonts w:hint="default" w:eastAsia="宋体"/>
                <w:kern w:val="0"/>
                <w:sz w:val="24"/>
                <w:szCs w:val="24"/>
              </w:rPr>
              <w:br w:type="textWrapping"/>
            </w:r>
            <w:r>
              <w:rPr>
                <w:rFonts w:hint="default" w:eastAsia="宋体"/>
                <w:kern w:val="0"/>
                <w:sz w:val="24"/>
                <w:szCs w:val="24"/>
              </w:rPr>
              <w:t>（1分）</w:t>
            </w:r>
          </w:p>
        </w:tc>
        <w:tc>
          <w:tcPr>
            <w:tcW w:w="4341"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szCs w:val="24"/>
              </w:rPr>
            </w:pPr>
            <w:r>
              <w:rPr>
                <w:rFonts w:hint="default" w:eastAsia="宋体"/>
                <w:kern w:val="0"/>
                <w:sz w:val="24"/>
                <w:szCs w:val="24"/>
              </w:rPr>
              <w:t>部门实际在用固定资产总额与所有固定资产总额的比率，反映部门固定资产使用效率程度</w:t>
            </w:r>
          </w:p>
        </w:tc>
        <w:tc>
          <w:tcPr>
            <w:tcW w:w="5899"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szCs w:val="24"/>
              </w:rPr>
            </w:pPr>
            <w:r>
              <w:rPr>
                <w:rFonts w:hint="default" w:eastAsia="宋体"/>
                <w:kern w:val="0"/>
                <w:sz w:val="24"/>
                <w:szCs w:val="24"/>
              </w:rPr>
              <w:t>固定资产利用率=（实际在用固定资产总额</w:t>
            </w:r>
            <w:r>
              <w:rPr>
                <w:rFonts w:hint="default" w:eastAsia="宋体"/>
                <w:b/>
                <w:bCs/>
                <w:kern w:val="0"/>
                <w:sz w:val="24"/>
                <w:szCs w:val="24"/>
              </w:rPr>
              <w:t>/</w:t>
            </w:r>
            <w:r>
              <w:rPr>
                <w:rFonts w:hint="default" w:eastAsia="宋体"/>
                <w:kern w:val="0"/>
                <w:sz w:val="24"/>
                <w:szCs w:val="24"/>
              </w:rPr>
              <w:t>所有固定资产总额）×100%。利用较好的计满分，利用不好的视情扣分。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1</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产出</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30</w:t>
            </w:r>
            <w:r>
              <w:rPr>
                <w:rFonts w:hint="default" w:eastAsia="宋体"/>
                <w:kern w:val="0"/>
                <w:sz w:val="24"/>
                <w:szCs w:val="24"/>
              </w:rPr>
              <w:t>分）</w:t>
            </w:r>
          </w:p>
        </w:tc>
        <w:tc>
          <w:tcPr>
            <w:tcW w:w="106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职责</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履行</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w:t>
            </w:r>
            <w:r>
              <w:rPr>
                <w:rFonts w:hint="eastAsia" w:eastAsia="宋体"/>
                <w:kern w:val="0"/>
                <w:sz w:val="24"/>
                <w:szCs w:val="24"/>
              </w:rPr>
              <w:t>30</w:t>
            </w:r>
            <w:r>
              <w:rPr>
                <w:rFonts w:hint="default" w:eastAsia="宋体"/>
                <w:kern w:val="0"/>
                <w:sz w:val="24"/>
                <w:szCs w:val="24"/>
              </w:rPr>
              <w:t>分）</w:t>
            </w: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实际</w:t>
            </w:r>
            <w:r>
              <w:rPr>
                <w:rFonts w:hint="default" w:eastAsia="宋体"/>
                <w:kern w:val="0"/>
                <w:sz w:val="24"/>
                <w:szCs w:val="24"/>
              </w:rPr>
              <w:br w:type="textWrapping"/>
            </w:r>
            <w:r>
              <w:rPr>
                <w:rFonts w:hint="default" w:eastAsia="宋体"/>
                <w:kern w:val="0"/>
                <w:sz w:val="24"/>
                <w:szCs w:val="24"/>
              </w:rPr>
              <w:t>完成率</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10</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部门履行职责而实际完成工作数与计划工作数的比率。</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实际完成率=（年度或规划期内实际完成工作任务数</w:t>
            </w:r>
            <w:r>
              <w:rPr>
                <w:rFonts w:hint="default" w:eastAsia="宋体"/>
                <w:b/>
                <w:bCs/>
                <w:kern w:val="0"/>
                <w:sz w:val="24"/>
                <w:szCs w:val="24"/>
              </w:rPr>
              <w:t>/</w:t>
            </w:r>
            <w:r>
              <w:rPr>
                <w:rFonts w:hint="default" w:eastAsia="宋体"/>
                <w:kern w:val="0"/>
                <w:sz w:val="24"/>
                <w:szCs w:val="24"/>
              </w:rPr>
              <w:t>计划工作数）×100%。按比例计分。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eastAsia" w:eastAsia="宋体"/>
                <w:kern w:val="0"/>
                <w:sz w:val="24"/>
                <w:szCs w:val="24"/>
              </w:rPr>
              <w:t>10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10</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完成</w:t>
            </w:r>
            <w:r>
              <w:rPr>
                <w:rFonts w:hint="default" w:eastAsia="宋体"/>
                <w:kern w:val="0"/>
                <w:sz w:val="24"/>
                <w:szCs w:val="24"/>
              </w:rPr>
              <w:br w:type="textWrapping"/>
            </w:r>
            <w:r>
              <w:rPr>
                <w:rFonts w:hint="default" w:eastAsia="宋体"/>
                <w:kern w:val="0"/>
                <w:sz w:val="24"/>
                <w:szCs w:val="24"/>
              </w:rPr>
              <w:t>及时率</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10</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部门在规定时限内及时完成的实际工作数与计划工作数的比率。</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完成及时率=（及时完成实际工作数</w:t>
            </w:r>
            <w:r>
              <w:rPr>
                <w:rFonts w:hint="default" w:eastAsia="宋体"/>
                <w:b/>
                <w:bCs/>
                <w:kern w:val="0"/>
                <w:sz w:val="24"/>
                <w:szCs w:val="24"/>
              </w:rPr>
              <w:t>/</w:t>
            </w:r>
            <w:r>
              <w:rPr>
                <w:rFonts w:hint="default" w:eastAsia="宋体"/>
                <w:kern w:val="0"/>
                <w:sz w:val="24"/>
                <w:szCs w:val="24"/>
              </w:rPr>
              <w:t>计划工作数）×100%。按比例计分。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eastAsia" w:eastAsia="宋体"/>
                <w:kern w:val="0"/>
                <w:sz w:val="24"/>
                <w:szCs w:val="24"/>
              </w:rPr>
              <w:t>10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10</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质量</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szCs w:val="24"/>
              </w:rPr>
            </w:pPr>
            <w:r>
              <w:rPr>
                <w:rFonts w:hint="default" w:eastAsia="宋体"/>
                <w:kern w:val="0"/>
                <w:sz w:val="24"/>
                <w:szCs w:val="24"/>
              </w:rPr>
              <w:t xml:space="preserve">达标率 </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5</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达到质量标准（绩效标准值）的实际工作数与计划工作数的比率。</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质量达标率=（质量达标实际工作数</w:t>
            </w:r>
            <w:r>
              <w:rPr>
                <w:rFonts w:hint="default" w:eastAsia="宋体"/>
                <w:b/>
                <w:bCs/>
                <w:kern w:val="0"/>
                <w:sz w:val="24"/>
                <w:szCs w:val="24"/>
              </w:rPr>
              <w:t>/</w:t>
            </w:r>
            <w:r>
              <w:rPr>
                <w:rFonts w:hint="default" w:eastAsia="宋体"/>
                <w:kern w:val="0"/>
                <w:sz w:val="24"/>
                <w:szCs w:val="24"/>
              </w:rPr>
              <w:t>计划工作数）×100%。按比例计分。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5</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5</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产出</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3</w:t>
            </w:r>
            <w:r>
              <w:rPr>
                <w:rFonts w:hint="default" w:eastAsia="宋体"/>
                <w:kern w:val="0"/>
                <w:sz w:val="24"/>
                <w:szCs w:val="24"/>
              </w:rPr>
              <w:t>0分）</w:t>
            </w:r>
          </w:p>
        </w:tc>
        <w:tc>
          <w:tcPr>
            <w:tcW w:w="1065"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职责</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履行</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w:t>
            </w:r>
            <w:r>
              <w:rPr>
                <w:rFonts w:hint="eastAsia" w:eastAsia="宋体"/>
                <w:kern w:val="0"/>
                <w:sz w:val="24"/>
                <w:szCs w:val="24"/>
              </w:rPr>
              <w:t>30</w:t>
            </w:r>
            <w:r>
              <w:rPr>
                <w:rFonts w:hint="default" w:eastAsia="宋体"/>
                <w:kern w:val="0"/>
                <w:sz w:val="24"/>
                <w:szCs w:val="24"/>
              </w:rPr>
              <w:t>分）</w:t>
            </w: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重点工作办结率</w:t>
            </w:r>
            <w:r>
              <w:rPr>
                <w:rFonts w:hint="default" w:eastAsia="宋体"/>
                <w:kern w:val="0"/>
                <w:sz w:val="24"/>
                <w:szCs w:val="24"/>
              </w:rPr>
              <w:br w:type="textWrapping"/>
            </w:r>
            <w:r>
              <w:rPr>
                <w:rFonts w:hint="default" w:eastAsia="宋体"/>
                <w:kern w:val="0"/>
                <w:sz w:val="24"/>
                <w:szCs w:val="24"/>
              </w:rPr>
              <w:t>（5分）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部门年度重点工作实际完成数与计划数的比率。</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eastAsia" w:eastAsia="宋体"/>
                <w:kern w:val="0"/>
                <w:sz w:val="24"/>
                <w:szCs w:val="24"/>
                <w:lang w:val="en-US" w:eastAsia="zh-CN"/>
              </w:rPr>
            </w:pPr>
            <w:r>
              <w:rPr>
                <w:rFonts w:hint="default" w:eastAsia="宋体"/>
                <w:kern w:val="0"/>
                <w:sz w:val="24"/>
                <w:szCs w:val="24"/>
              </w:rPr>
              <w:t>重点工作办结率=（重点工作实际完成数</w:t>
            </w:r>
            <w:r>
              <w:rPr>
                <w:rFonts w:hint="default" w:eastAsia="宋体"/>
                <w:b/>
                <w:bCs/>
                <w:kern w:val="0"/>
                <w:sz w:val="24"/>
                <w:szCs w:val="24"/>
              </w:rPr>
              <w:t>/</w:t>
            </w:r>
            <w:r>
              <w:rPr>
                <w:rFonts w:hint="default" w:eastAsia="宋体"/>
                <w:kern w:val="0"/>
                <w:sz w:val="24"/>
                <w:szCs w:val="24"/>
              </w:rPr>
              <w:t>交办或下达数）×100%。按比例计分。</w:t>
            </w:r>
            <w:r>
              <w:rPr>
                <w:rFonts w:hint="default" w:eastAsia="宋体"/>
                <w:sz w:val="24"/>
                <w:szCs w:val="24"/>
              </w:rPr>
              <w:t>重点工作是指党委、政府、人大、相关部门交办或下达的工作任务。</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5</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5</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效果</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30</w:t>
            </w:r>
            <w:r>
              <w:rPr>
                <w:rFonts w:hint="default" w:eastAsia="宋体"/>
                <w:kern w:val="0"/>
                <w:sz w:val="24"/>
                <w:szCs w:val="24"/>
              </w:rPr>
              <w:t>分）</w:t>
            </w:r>
          </w:p>
        </w:tc>
        <w:tc>
          <w:tcPr>
            <w:tcW w:w="106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履职</w:t>
            </w:r>
            <w:r>
              <w:rPr>
                <w:rFonts w:hint="default" w:eastAsia="宋体"/>
                <w:kern w:val="0"/>
                <w:sz w:val="24"/>
                <w:szCs w:val="24"/>
              </w:rPr>
              <w:br w:type="textWrapping"/>
            </w:r>
            <w:r>
              <w:rPr>
                <w:rFonts w:hint="default" w:eastAsia="宋体"/>
                <w:kern w:val="0"/>
                <w:sz w:val="24"/>
                <w:szCs w:val="24"/>
              </w:rPr>
              <w:t>效益</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30</w:t>
            </w:r>
            <w:r>
              <w:rPr>
                <w:rFonts w:hint="default" w:eastAsia="宋体"/>
                <w:kern w:val="0"/>
                <w:sz w:val="24"/>
                <w:szCs w:val="24"/>
              </w:rPr>
              <w:t>分）</w:t>
            </w: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经济效益</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10</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部门履行职责对经济发展所带来的直接或间接影响。</w:t>
            </w:r>
          </w:p>
        </w:tc>
        <w:tc>
          <w:tcPr>
            <w:tcW w:w="5899" w:type="dxa"/>
            <w:vMerge w:val="restart"/>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此三项指标可根据部门实际并结合部门整体支出绩效目标设立情况有选择的进行设置，将其细化为相应的个性化指标进行评价评分</w:t>
            </w:r>
            <w:r>
              <w:rPr>
                <w:rFonts w:hint="eastAsia" w:eastAsia="宋体"/>
                <w:kern w:val="0"/>
                <w:sz w:val="24"/>
                <w:szCs w:val="24"/>
              </w:rPr>
              <w:t xml:space="preserve">，分值可根据部门职能作相应调整 </w:t>
            </w:r>
            <w:r>
              <w:rPr>
                <w:rFonts w:hint="default" w:eastAsia="宋体"/>
                <w:kern w:val="0"/>
                <w:sz w:val="24"/>
                <w:szCs w:val="24"/>
              </w:rPr>
              <w:t>。</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eastAsia" w:eastAsia="宋体"/>
                <w:kern w:val="0"/>
                <w:sz w:val="24"/>
                <w:szCs w:val="24"/>
              </w:rPr>
              <w:t>10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10</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社会效益 （</w:t>
            </w:r>
            <w:r>
              <w:rPr>
                <w:rFonts w:hint="eastAsia" w:eastAsia="宋体"/>
                <w:kern w:val="0"/>
                <w:sz w:val="24"/>
                <w:szCs w:val="24"/>
              </w:rPr>
              <w:t>10</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部门履行职责对社会发展所带来的直接或间接影响。</w:t>
            </w:r>
          </w:p>
        </w:tc>
        <w:tc>
          <w:tcPr>
            <w:tcW w:w="5899"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eastAsia" w:eastAsia="宋体"/>
                <w:kern w:val="0"/>
                <w:sz w:val="24"/>
                <w:szCs w:val="24"/>
              </w:rPr>
              <w:t>10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10</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生态效益</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5</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部门履行职责对生态环境所带来的直接或间接影响。</w:t>
            </w:r>
          </w:p>
        </w:tc>
        <w:tc>
          <w:tcPr>
            <w:tcW w:w="5899"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5</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5</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服务对象满意度</w:t>
            </w:r>
            <w:r>
              <w:rPr>
                <w:rFonts w:hint="default" w:eastAsia="宋体"/>
                <w:kern w:val="0"/>
                <w:sz w:val="24"/>
                <w:szCs w:val="24"/>
              </w:rPr>
              <w:br w:type="textWrapping"/>
            </w:r>
            <w:r>
              <w:rPr>
                <w:rFonts w:hint="default" w:eastAsia="宋体"/>
                <w:kern w:val="0"/>
                <w:sz w:val="24"/>
                <w:szCs w:val="24"/>
              </w:rPr>
              <w:t>（</w:t>
            </w:r>
            <w:r>
              <w:rPr>
                <w:rFonts w:hint="eastAsia" w:eastAsia="宋体"/>
                <w:kern w:val="0"/>
                <w:sz w:val="24"/>
                <w:szCs w:val="24"/>
              </w:rPr>
              <w:t>5</w:t>
            </w:r>
            <w:r>
              <w:rPr>
                <w:rFonts w:hint="default" w:eastAsia="宋体"/>
                <w:kern w:val="0"/>
                <w:sz w:val="24"/>
                <w:szCs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社会公众或服务对象对部门履职效果的满意程度</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szCs w:val="24"/>
              </w:rPr>
            </w:pPr>
            <w:r>
              <w:rPr>
                <w:rFonts w:hint="default" w:eastAsia="宋体"/>
                <w:kern w:val="0"/>
                <w:sz w:val="24"/>
                <w:szCs w:val="24"/>
              </w:rPr>
              <w:t>部门履行职责而影响到的部门、群体或个人等社会公众或服务对象对部门完成工作或提供的服务是否满意。95%</w:t>
            </w:r>
            <w:r>
              <w:rPr>
                <w:rFonts w:hint="eastAsia" w:eastAsia="宋体"/>
                <w:kern w:val="0"/>
                <w:sz w:val="24"/>
                <w:szCs w:val="24"/>
              </w:rPr>
              <w:t>及</w:t>
            </w:r>
            <w:r>
              <w:rPr>
                <w:rFonts w:hint="default" w:eastAsia="宋体"/>
                <w:kern w:val="0"/>
                <w:sz w:val="24"/>
                <w:szCs w:val="24"/>
              </w:rPr>
              <w:t>以上计</w:t>
            </w:r>
            <w:r>
              <w:rPr>
                <w:rFonts w:hint="eastAsia" w:eastAsia="宋体"/>
                <w:kern w:val="0"/>
                <w:sz w:val="24"/>
                <w:szCs w:val="24"/>
              </w:rPr>
              <w:t>5</w:t>
            </w:r>
            <w:r>
              <w:rPr>
                <w:rFonts w:hint="default" w:eastAsia="宋体"/>
                <w:kern w:val="0"/>
                <w:sz w:val="24"/>
                <w:szCs w:val="24"/>
              </w:rPr>
              <w:t>分，</w:t>
            </w:r>
            <w:r>
              <w:rPr>
                <w:rFonts w:hint="eastAsia" w:eastAsia="宋体"/>
                <w:kern w:val="0"/>
                <w:sz w:val="24"/>
                <w:szCs w:val="24"/>
              </w:rPr>
              <w:t>8</w:t>
            </w:r>
            <w:r>
              <w:rPr>
                <w:rFonts w:hint="default" w:eastAsia="宋体"/>
                <w:kern w:val="0"/>
                <w:sz w:val="24"/>
                <w:szCs w:val="24"/>
              </w:rPr>
              <w:t>0%</w:t>
            </w:r>
            <w:r>
              <w:rPr>
                <w:rFonts w:hint="eastAsia" w:eastAsia="宋体"/>
                <w:kern w:val="0"/>
                <w:sz w:val="24"/>
                <w:szCs w:val="24"/>
              </w:rPr>
              <w:t>（含）——95%（不含) 3</w:t>
            </w:r>
            <w:r>
              <w:rPr>
                <w:rFonts w:hint="default" w:eastAsia="宋体"/>
                <w:kern w:val="0"/>
                <w:sz w:val="24"/>
                <w:szCs w:val="24"/>
              </w:rPr>
              <w:t>分，</w:t>
            </w:r>
            <w:r>
              <w:rPr>
                <w:rFonts w:hint="eastAsia" w:eastAsia="宋体"/>
                <w:kern w:val="0"/>
                <w:sz w:val="24"/>
                <w:szCs w:val="24"/>
              </w:rPr>
              <w:t>8</w:t>
            </w:r>
            <w:r>
              <w:rPr>
                <w:rFonts w:hint="default" w:eastAsia="宋体"/>
                <w:kern w:val="0"/>
                <w:sz w:val="24"/>
                <w:szCs w:val="24"/>
              </w:rPr>
              <w:t>0%以下不计分。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5</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szCs w:val="24"/>
                <w:lang w:val="en-US" w:eastAsia="zh-CN"/>
              </w:rPr>
            </w:pPr>
            <w:r>
              <w:rPr>
                <w:rFonts w:hint="eastAsia" w:eastAsia="宋体"/>
                <w:kern w:val="0"/>
                <w:sz w:val="24"/>
                <w:szCs w:val="24"/>
                <w:lang w:val="en-US" w:eastAsia="zh-CN"/>
              </w:rPr>
              <w:t>5</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b/>
                <w:bCs/>
                <w:kern w:val="0"/>
                <w:sz w:val="24"/>
                <w:szCs w:val="24"/>
              </w:rPr>
            </w:pPr>
            <w:r>
              <w:rPr>
                <w:rFonts w:hint="default" w:eastAsia="宋体"/>
                <w:b/>
                <w:bCs/>
                <w:kern w:val="0"/>
                <w:sz w:val="24"/>
                <w:szCs w:val="24"/>
              </w:rPr>
              <w:t>总  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szCs w:val="24"/>
              </w:rPr>
            </w:pPr>
            <w:r>
              <w:rPr>
                <w:rFonts w:hint="default" w:eastAsia="宋体"/>
                <w:kern w:val="0"/>
                <w:sz w:val="24"/>
                <w:szCs w:val="24"/>
              </w:rPr>
              <w:t>100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lang w:val="en-US" w:eastAsia="zh-CN"/>
              </w:rPr>
            </w:pPr>
            <w:r>
              <w:rPr>
                <w:rFonts w:hint="eastAsia" w:eastAsia="宋体"/>
                <w:kern w:val="0"/>
                <w:sz w:val="24"/>
                <w:szCs w:val="24"/>
                <w:lang w:val="en-US" w:eastAsia="zh-CN"/>
              </w:rPr>
              <w:t>99</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szCs w:val="24"/>
              </w:rPr>
            </w:pPr>
            <w:r>
              <w:rPr>
                <w:rFonts w:hint="default" w:eastAsia="宋体"/>
                <w:kern w:val="0"/>
                <w:sz w:val="24"/>
                <w:szCs w:val="24"/>
              </w:rPr>
              <w:t>　</w:t>
            </w:r>
          </w:p>
        </w:tc>
      </w:tr>
    </w:tbl>
    <w:p>
      <w:pPr>
        <w:widowControl/>
        <w:spacing w:line="360" w:lineRule="exact"/>
        <w:rPr>
          <w:sz w:val="24"/>
          <w:szCs w:val="24"/>
          <w:lang w:val="en-US" w:eastAsia="zh-CN"/>
        </w:rPr>
      </w:pPr>
      <w:r>
        <w:rPr>
          <w:rFonts w:eastAsia="宋体"/>
          <w:kern w:val="0"/>
          <w:sz w:val="24"/>
          <w:szCs w:val="24"/>
        </w:rPr>
        <w:t>填报人：</w:t>
      </w:r>
      <w:r>
        <w:rPr>
          <w:rFonts w:hint="eastAsia" w:eastAsia="宋体"/>
          <w:kern w:val="0"/>
          <w:sz w:val="24"/>
          <w:szCs w:val="24"/>
          <w:lang w:eastAsia="zh-CN"/>
        </w:rPr>
        <w:t>刘自平</w:t>
      </w:r>
      <w:r>
        <w:rPr>
          <w:rFonts w:eastAsia="宋体"/>
          <w:kern w:val="0"/>
          <w:sz w:val="24"/>
          <w:szCs w:val="24"/>
        </w:rPr>
        <w:t xml:space="preserve">                                                              单位负责人（签字）：</w:t>
      </w:r>
    </w:p>
    <w:p>
      <w:pPr>
        <w:pStyle w:val="2"/>
        <w:rPr>
          <w:rFonts w:hint="default"/>
          <w:sz w:val="24"/>
          <w:szCs w:val="24"/>
          <w:lang w:val="en-US" w:eastAsia="zh-CN"/>
        </w:rPr>
      </w:pPr>
    </w:p>
    <w:sectPr>
      <w:pgSz w:w="16838" w:h="11906" w:orient="landscape"/>
      <w:pgMar w:top="1361" w:right="1440" w:bottom="136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AE779"/>
    <w:multiLevelType w:val="singleLevel"/>
    <w:tmpl w:val="888AE779"/>
    <w:lvl w:ilvl="0" w:tentative="0">
      <w:start w:val="1"/>
      <w:numFmt w:val="chineseCounting"/>
      <w:suff w:val="nothing"/>
      <w:lvlText w:val="（%1）"/>
      <w:lvlJc w:val="left"/>
      <w:pPr>
        <w:ind w:left="6"/>
      </w:pPr>
      <w:rPr>
        <w:rFonts w:hint="eastAsia"/>
      </w:rPr>
    </w:lvl>
  </w:abstractNum>
  <w:abstractNum w:abstractNumId="1">
    <w:nsid w:val="CD7E0A8A"/>
    <w:multiLevelType w:val="singleLevel"/>
    <w:tmpl w:val="CD7E0A8A"/>
    <w:lvl w:ilvl="0" w:tentative="0">
      <w:start w:val="1"/>
      <w:numFmt w:val="chineseCounting"/>
      <w:suff w:val="nothing"/>
      <w:lvlText w:val="%1、"/>
      <w:lvlJc w:val="left"/>
      <w:pPr>
        <w:ind w:left="420"/>
      </w:pPr>
      <w:rPr>
        <w:rFonts w:hint="eastAsia"/>
      </w:rPr>
    </w:lvl>
  </w:abstractNum>
  <w:abstractNum w:abstractNumId="2">
    <w:nsid w:val="064334D5"/>
    <w:multiLevelType w:val="singleLevel"/>
    <w:tmpl w:val="064334D5"/>
    <w:lvl w:ilvl="0" w:tentative="0">
      <w:start w:val="2"/>
      <w:numFmt w:val="decimal"/>
      <w:lvlText w:val="%1."/>
      <w:lvlJc w:val="left"/>
      <w:pPr>
        <w:tabs>
          <w:tab w:val="left" w:pos="312"/>
        </w:tabs>
        <w:ind w:left="1500" w:leftChars="0" w:firstLine="0" w:firstLineChars="0"/>
      </w:pPr>
    </w:lvl>
  </w:abstractNum>
  <w:abstractNum w:abstractNumId="3">
    <w:nsid w:val="59692526"/>
    <w:multiLevelType w:val="singleLevel"/>
    <w:tmpl w:val="59692526"/>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TQzMWI5ZWUwMGQ4OTVlZTVlM2Q5NzFlZmE5ZWMifQ=="/>
  </w:docVars>
  <w:rsids>
    <w:rsidRoot w:val="1D5F3798"/>
    <w:rsid w:val="00AE60E0"/>
    <w:rsid w:val="0B745019"/>
    <w:rsid w:val="0BD13269"/>
    <w:rsid w:val="0FDE4FF1"/>
    <w:rsid w:val="124B60C1"/>
    <w:rsid w:val="129B2463"/>
    <w:rsid w:val="172D4AE2"/>
    <w:rsid w:val="17601C55"/>
    <w:rsid w:val="17DE336C"/>
    <w:rsid w:val="1A762EB1"/>
    <w:rsid w:val="1D1A63FA"/>
    <w:rsid w:val="1D5F3798"/>
    <w:rsid w:val="1DDE1B04"/>
    <w:rsid w:val="1E0E68E1"/>
    <w:rsid w:val="1F76491B"/>
    <w:rsid w:val="2192676A"/>
    <w:rsid w:val="2438717D"/>
    <w:rsid w:val="26A70C04"/>
    <w:rsid w:val="2C316639"/>
    <w:rsid w:val="2C327CCB"/>
    <w:rsid w:val="2D0F6B01"/>
    <w:rsid w:val="2ECE44F9"/>
    <w:rsid w:val="32B84D8C"/>
    <w:rsid w:val="32D412B1"/>
    <w:rsid w:val="36A52284"/>
    <w:rsid w:val="37531CE0"/>
    <w:rsid w:val="43486A9E"/>
    <w:rsid w:val="43E53430"/>
    <w:rsid w:val="43F5648F"/>
    <w:rsid w:val="468A3B25"/>
    <w:rsid w:val="46F12BA3"/>
    <w:rsid w:val="495A1E8B"/>
    <w:rsid w:val="4B5E4BF5"/>
    <w:rsid w:val="4D7D5626"/>
    <w:rsid w:val="4F1B031F"/>
    <w:rsid w:val="52447729"/>
    <w:rsid w:val="541F5F54"/>
    <w:rsid w:val="55304F62"/>
    <w:rsid w:val="571E7646"/>
    <w:rsid w:val="57452F9B"/>
    <w:rsid w:val="57931F92"/>
    <w:rsid w:val="58B137E0"/>
    <w:rsid w:val="59257386"/>
    <w:rsid w:val="59D234E5"/>
    <w:rsid w:val="5C9C274C"/>
    <w:rsid w:val="5EE1033E"/>
    <w:rsid w:val="61A31655"/>
    <w:rsid w:val="62DA57A0"/>
    <w:rsid w:val="671C1FFE"/>
    <w:rsid w:val="6A5D7B41"/>
    <w:rsid w:val="6FB6382F"/>
    <w:rsid w:val="714A379E"/>
    <w:rsid w:val="717B788E"/>
    <w:rsid w:val="746531F2"/>
    <w:rsid w:val="753D0724"/>
    <w:rsid w:val="78D5092A"/>
    <w:rsid w:val="7AEF3C82"/>
    <w:rsid w:val="7B712AF0"/>
    <w:rsid w:val="7B9D18E0"/>
    <w:rsid w:val="7BFB14A7"/>
    <w:rsid w:val="7E253A43"/>
    <w:rsid w:val="EA5FD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hint="eastAsi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index heading"/>
    <w:next w:val="6"/>
    <w:qFormat/>
    <w:uiPriority w:val="0"/>
    <w:pPr>
      <w:widowControl w:val="0"/>
    </w:pPr>
    <w:rPr>
      <w:rFonts w:ascii="Arial" w:hAnsi="Arial" w:eastAsia="宋体" w:cs="Times New Roman"/>
      <w:b/>
      <w:kern w:val="2"/>
      <w:sz w:val="24"/>
      <w:lang w:val="en-US" w:eastAsia="zh-CN" w:bidi="ar-SA"/>
    </w:rPr>
  </w:style>
  <w:style w:type="paragraph" w:styleId="6">
    <w:name w:val="index 1"/>
    <w:basedOn w:val="1"/>
    <w:next w:val="1"/>
    <w:qFormat/>
    <w:uiPriority w:val="0"/>
  </w:style>
  <w:style w:type="character" w:styleId="9">
    <w:name w:val="page number"/>
    <w:basedOn w:val="8"/>
    <w:qFormat/>
    <w:uiPriority w:val="0"/>
  </w:style>
  <w:style w:type="paragraph" w:customStyle="1" w:styleId="10">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2"/>
      <w:lang w:val="en-US" w:eastAsia="zh-CN" w:bidi="ar"/>
    </w:rPr>
  </w:style>
  <w:style w:type="paragraph" w:customStyle="1" w:styleId="11">
    <w:name w:val="181"/>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7778</Words>
  <Characters>8106</Characters>
  <Lines>0</Lines>
  <Paragraphs>0</Paragraphs>
  <TotalTime>27</TotalTime>
  <ScaleCrop>false</ScaleCrop>
  <LinksUpToDate>false</LinksUpToDate>
  <CharactersWithSpaces>8375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2022-11-16T10:20:00Z</dcterms:created>
  <dc:creator>Administrator</dc:creator>
  <cp:lastModifiedBy>kylin</cp:lastModifiedBy>
  <dcterms:modified xsi:type="dcterms:W3CDTF">2024-09-26T10:12:41Z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AF59DED789D642A5B5658D5C071D79B0</vt:lpwstr>
  </property>
</Properties>
</file>