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8E5B1C">
      <w:pPr>
        <w:rPr>
          <w:rFonts w:ascii="宋体" w:hAnsi="宋体" w:cs="宋体"/>
          <w:sz w:val="24"/>
        </w:rPr>
      </w:pPr>
    </w:p>
    <w:p w14:paraId="7BB7D568">
      <w:pPr>
        <w:jc w:val="center"/>
        <w:rPr>
          <w:rFonts w:hint="eastAsia" w:asciiTheme="minorEastAsia" w:hAnsiTheme="minorEastAsia" w:eastAsiaTheme="minorEastAsia" w:cstheme="minorEastAsia"/>
          <w:b/>
          <w:bCs/>
          <w:sz w:val="36"/>
          <w:szCs w:val="36"/>
          <w:lang w:eastAsia="zh-CN"/>
        </w:rPr>
      </w:pPr>
      <w:r>
        <w:rPr>
          <w:rFonts w:hint="eastAsia" w:asciiTheme="minorEastAsia" w:hAnsiTheme="minorEastAsia" w:eastAsiaTheme="minorEastAsia" w:cstheme="minorEastAsia"/>
          <w:b/>
          <w:bCs/>
          <w:kern w:val="2"/>
          <w:sz w:val="36"/>
          <w:szCs w:val="36"/>
          <w:lang w:eastAsia="zh-CN"/>
        </w:rPr>
        <w:t>益阳</w:t>
      </w:r>
      <w:r>
        <w:rPr>
          <w:rFonts w:hint="eastAsia" w:asciiTheme="minorEastAsia" w:hAnsiTheme="minorEastAsia" w:eastAsiaTheme="minorEastAsia" w:cstheme="minorEastAsia"/>
          <w:b/>
          <w:bCs/>
          <w:kern w:val="2"/>
          <w:sz w:val="36"/>
          <w:szCs w:val="36"/>
        </w:rPr>
        <w:t>市</w:t>
      </w:r>
      <w:r>
        <w:rPr>
          <w:rFonts w:hint="eastAsia" w:asciiTheme="minorEastAsia" w:hAnsiTheme="minorEastAsia" w:eastAsiaTheme="minorEastAsia" w:cstheme="minorEastAsia"/>
          <w:b/>
          <w:bCs/>
          <w:kern w:val="2"/>
          <w:sz w:val="36"/>
          <w:szCs w:val="36"/>
          <w:lang w:eastAsia="zh-CN"/>
        </w:rPr>
        <w:t>桃江县</w:t>
      </w:r>
      <w:r>
        <w:rPr>
          <w:rFonts w:hint="eastAsia" w:asciiTheme="minorEastAsia" w:hAnsiTheme="minorEastAsia" w:eastAsiaTheme="minorEastAsia" w:cstheme="minorEastAsia"/>
          <w:b/>
          <w:bCs/>
          <w:sz w:val="36"/>
          <w:szCs w:val="36"/>
          <w:lang w:eastAsia="zh-CN"/>
        </w:rPr>
        <w:t>免费开放资金</w:t>
      </w:r>
    </w:p>
    <w:p w14:paraId="76B5706E">
      <w:pPr>
        <w:jc w:val="center"/>
        <w:rPr>
          <w:rFonts w:hint="eastAsia"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202</w:t>
      </w:r>
      <w:r>
        <w:rPr>
          <w:rFonts w:hint="eastAsia" w:asciiTheme="minorEastAsia" w:hAnsiTheme="minorEastAsia" w:eastAsiaTheme="minorEastAsia" w:cstheme="minorEastAsia"/>
          <w:b/>
          <w:bCs/>
          <w:sz w:val="36"/>
          <w:szCs w:val="36"/>
          <w:lang w:val="en-US" w:eastAsia="zh-CN"/>
        </w:rPr>
        <w:t>2</w:t>
      </w:r>
      <w:r>
        <w:rPr>
          <w:rFonts w:hint="eastAsia" w:asciiTheme="minorEastAsia" w:hAnsiTheme="minorEastAsia" w:eastAsiaTheme="minorEastAsia" w:cstheme="minorEastAsia"/>
          <w:b/>
          <w:bCs/>
          <w:sz w:val="36"/>
          <w:szCs w:val="36"/>
        </w:rPr>
        <w:t>年度绩效自评报告</w:t>
      </w:r>
    </w:p>
    <w:p w14:paraId="13C34FCC">
      <w:pPr>
        <w:spacing w:line="480" w:lineRule="exact"/>
        <w:jc w:val="center"/>
        <w:rPr>
          <w:rFonts w:hint="eastAsia" w:asciiTheme="majorEastAsia" w:hAnsiTheme="majorEastAsia" w:eastAsiaTheme="majorEastAsia" w:cstheme="majorEastAsia"/>
          <w:sz w:val="32"/>
          <w:szCs w:val="32"/>
          <w:lang w:eastAsia="zh-CN"/>
        </w:rPr>
      </w:pPr>
      <w:r>
        <w:rPr>
          <w:rFonts w:hint="eastAsia" w:asciiTheme="majorEastAsia" w:hAnsiTheme="majorEastAsia" w:eastAsiaTheme="majorEastAsia" w:cstheme="majorEastAsia"/>
          <w:b/>
          <w:bCs/>
          <w:sz w:val="32"/>
          <w:szCs w:val="32"/>
        </w:rPr>
        <w:t>--</w:t>
      </w:r>
      <w:r>
        <w:rPr>
          <w:rFonts w:hint="eastAsia" w:asciiTheme="majorEastAsia" w:hAnsiTheme="majorEastAsia" w:eastAsiaTheme="majorEastAsia" w:cstheme="majorEastAsia"/>
          <w:sz w:val="32"/>
          <w:szCs w:val="32"/>
        </w:rPr>
        <w:t>桃江县图书馆</w:t>
      </w:r>
      <w:r>
        <w:rPr>
          <w:rFonts w:hint="eastAsia" w:asciiTheme="majorEastAsia" w:hAnsiTheme="majorEastAsia" w:eastAsiaTheme="majorEastAsia" w:cstheme="majorEastAsia"/>
          <w:sz w:val="32"/>
          <w:szCs w:val="32"/>
          <w:lang w:eastAsia="zh-CN"/>
        </w:rPr>
        <w:t>免费开放项目</w:t>
      </w:r>
    </w:p>
    <w:p w14:paraId="408151B6">
      <w:pPr>
        <w:pStyle w:val="2"/>
      </w:pPr>
    </w:p>
    <w:p w14:paraId="4FEF0BCD">
      <w:pPr>
        <w:pStyle w:val="8"/>
        <w:spacing w:line="600" w:lineRule="exact"/>
        <w:ind w:left="640" w:firstLine="0" w:firstLineChars="0"/>
        <w:rPr>
          <w:rFonts w:ascii="宋体" w:hAnsi="宋体" w:cs="宋体"/>
          <w:b/>
          <w:bCs/>
          <w:sz w:val="24"/>
          <w:szCs w:val="24"/>
        </w:rPr>
      </w:pPr>
      <w:r>
        <w:rPr>
          <w:rFonts w:hint="eastAsia" w:ascii="宋体" w:hAnsi="宋体" w:cs="宋体"/>
          <w:b/>
          <w:bCs/>
          <w:sz w:val="24"/>
          <w:szCs w:val="24"/>
        </w:rPr>
        <w:t>一、绩效目标分解下达情况</w:t>
      </w:r>
    </w:p>
    <w:p w14:paraId="3C3F446C">
      <w:pPr>
        <w:pStyle w:val="8"/>
        <w:numPr>
          <w:ilvl w:val="0"/>
          <w:numId w:val="1"/>
        </w:numPr>
        <w:spacing w:line="600" w:lineRule="exact"/>
        <w:ind w:left="-329" w:firstLine="640" w:firstLineChars="0"/>
        <w:jc w:val="left"/>
        <w:rPr>
          <w:rFonts w:ascii="宋体" w:hAnsi="宋体" w:cs="宋体"/>
          <w:b/>
          <w:sz w:val="24"/>
          <w:szCs w:val="24"/>
        </w:rPr>
      </w:pPr>
      <w:r>
        <w:rPr>
          <w:rFonts w:hint="eastAsia" w:ascii="宋体" w:hAnsi="宋体" w:cs="宋体"/>
          <w:b/>
          <w:sz w:val="24"/>
          <w:szCs w:val="24"/>
          <w:lang w:eastAsia="zh-CN"/>
        </w:rPr>
        <w:t>免费开放资金</w:t>
      </w:r>
      <w:r>
        <w:rPr>
          <w:rFonts w:hint="eastAsia" w:ascii="宋体" w:hAnsi="宋体" w:cs="宋体"/>
          <w:b/>
          <w:sz w:val="24"/>
          <w:szCs w:val="24"/>
        </w:rPr>
        <w:t>预算和绩效目标情况。</w:t>
      </w:r>
    </w:p>
    <w:p w14:paraId="65D0A6FA">
      <w:pPr>
        <w:pStyle w:val="8"/>
        <w:spacing w:line="600" w:lineRule="exact"/>
        <w:ind w:firstLine="723" w:firstLineChars="300"/>
        <w:rPr>
          <w:rFonts w:ascii="宋体" w:hAnsi="宋体" w:cs="宋体"/>
          <w:b/>
          <w:sz w:val="24"/>
          <w:szCs w:val="24"/>
        </w:rPr>
      </w:pPr>
      <w:r>
        <w:rPr>
          <w:rFonts w:hint="eastAsia" w:ascii="宋体" w:hAnsi="宋体" w:cs="宋体"/>
          <w:b/>
          <w:sz w:val="24"/>
          <w:szCs w:val="24"/>
        </w:rPr>
        <w:t>桃江县图书馆</w:t>
      </w:r>
      <w:r>
        <w:rPr>
          <w:rFonts w:hint="eastAsia" w:ascii="宋体" w:hAnsi="宋体" w:cs="宋体"/>
          <w:b/>
          <w:sz w:val="24"/>
          <w:szCs w:val="24"/>
          <w:lang w:val="en-US" w:eastAsia="zh-CN"/>
        </w:rPr>
        <w:t>2022年度中央和省级县级免费开放资金已全部用于本馆各室免费开放工作</w:t>
      </w:r>
      <w:r>
        <w:rPr>
          <w:rFonts w:hint="eastAsia" w:ascii="宋体" w:hAnsi="宋体" w:cs="宋体"/>
          <w:b/>
          <w:sz w:val="24"/>
          <w:szCs w:val="24"/>
        </w:rPr>
        <w:t>。</w:t>
      </w:r>
    </w:p>
    <w:p w14:paraId="76969F02">
      <w:pPr>
        <w:pStyle w:val="8"/>
        <w:numPr>
          <w:ilvl w:val="0"/>
          <w:numId w:val="1"/>
        </w:numPr>
        <w:spacing w:line="600" w:lineRule="exact"/>
        <w:ind w:left="-329" w:firstLine="640" w:firstLineChars="0"/>
        <w:rPr>
          <w:rFonts w:ascii="宋体" w:hAnsi="宋体" w:cs="宋体"/>
          <w:b/>
          <w:sz w:val="24"/>
          <w:szCs w:val="24"/>
        </w:rPr>
      </w:pPr>
      <w:r>
        <w:rPr>
          <w:rFonts w:hint="eastAsia" w:ascii="宋体" w:hAnsi="宋体" w:cs="宋体"/>
          <w:b/>
          <w:sz w:val="24"/>
          <w:szCs w:val="24"/>
        </w:rPr>
        <w:t>资金安排、分解下达预算和绩效目标情况。</w:t>
      </w:r>
    </w:p>
    <w:p w14:paraId="2B205B31">
      <w:pPr>
        <w:pStyle w:val="8"/>
        <w:spacing w:line="600" w:lineRule="exact"/>
        <w:ind w:left="420" w:leftChars="200" w:firstLine="562"/>
        <w:rPr>
          <w:rFonts w:hint="default" w:ascii="宋体" w:hAnsi="宋体" w:eastAsia="宋体" w:cs="宋体"/>
          <w:b/>
          <w:sz w:val="24"/>
          <w:szCs w:val="24"/>
          <w:lang w:val="en-US" w:eastAsia="zh-CN"/>
        </w:rPr>
      </w:pPr>
      <w:r>
        <w:rPr>
          <w:rFonts w:hint="eastAsia" w:ascii="宋体" w:hAnsi="宋体" w:cs="宋体"/>
          <w:b/>
          <w:sz w:val="24"/>
          <w:szCs w:val="24"/>
        </w:rPr>
        <w:t>湘财预【2022】130号：下达2022年中央补助地方文化馆（站）、公共图书馆免费开放专项资金</w:t>
      </w:r>
      <w:r>
        <w:rPr>
          <w:rFonts w:hint="eastAsia" w:ascii="宋体" w:hAnsi="宋体" w:cs="宋体"/>
          <w:b/>
          <w:sz w:val="24"/>
          <w:szCs w:val="24"/>
          <w:lang w:eastAsia="zh-CN"/>
        </w:rPr>
        <w:t>于</w:t>
      </w:r>
      <w:r>
        <w:rPr>
          <w:rFonts w:hint="eastAsia" w:ascii="宋体" w:hAnsi="宋体" w:cs="宋体"/>
          <w:b/>
          <w:sz w:val="24"/>
          <w:szCs w:val="24"/>
          <w:lang w:val="en-US" w:eastAsia="zh-CN"/>
        </w:rPr>
        <w:t>2022年7月12日下达.湘财预【2022】176号：下达2022年“三馆一站”免费开放省级配套资金于2022年11月30日下达。县级免费开放资金也于年初已下达.</w:t>
      </w:r>
    </w:p>
    <w:p w14:paraId="7960E486">
      <w:pPr>
        <w:pStyle w:val="8"/>
        <w:spacing w:line="600" w:lineRule="exact"/>
        <w:ind w:left="420" w:leftChars="200" w:firstLine="562"/>
        <w:rPr>
          <w:rFonts w:ascii="宋体" w:hAnsi="宋体" w:cs="宋体"/>
          <w:b/>
          <w:sz w:val="24"/>
          <w:szCs w:val="24"/>
        </w:rPr>
      </w:pPr>
    </w:p>
    <w:p w14:paraId="4E6C9ABA">
      <w:pPr>
        <w:pStyle w:val="8"/>
        <w:spacing w:line="600" w:lineRule="exact"/>
        <w:ind w:left="640" w:firstLine="0" w:firstLineChars="0"/>
        <w:rPr>
          <w:rFonts w:ascii="宋体" w:hAnsi="宋体" w:cs="宋体"/>
          <w:b/>
          <w:bCs/>
          <w:sz w:val="24"/>
          <w:szCs w:val="24"/>
        </w:rPr>
      </w:pPr>
      <w:r>
        <w:rPr>
          <w:rFonts w:hint="eastAsia" w:ascii="宋体" w:hAnsi="宋体" w:cs="宋体"/>
          <w:b/>
          <w:bCs/>
          <w:sz w:val="24"/>
          <w:szCs w:val="24"/>
        </w:rPr>
        <w:t>二、绩效目标完成情况分析</w:t>
      </w:r>
    </w:p>
    <w:p w14:paraId="1D8A134F">
      <w:pPr>
        <w:pStyle w:val="8"/>
        <w:numPr>
          <w:ilvl w:val="0"/>
          <w:numId w:val="2"/>
        </w:numPr>
        <w:spacing w:line="600" w:lineRule="exact"/>
        <w:ind w:left="0" w:firstLine="562"/>
        <w:rPr>
          <w:rFonts w:ascii="宋体" w:hAnsi="宋体" w:cs="宋体"/>
          <w:b/>
          <w:sz w:val="24"/>
          <w:szCs w:val="24"/>
        </w:rPr>
      </w:pPr>
      <w:r>
        <w:rPr>
          <w:rFonts w:hint="eastAsia" w:ascii="宋体" w:hAnsi="宋体" w:cs="宋体"/>
          <w:b/>
          <w:sz w:val="24"/>
          <w:szCs w:val="24"/>
        </w:rPr>
        <w:t>资金投入情况分析。</w:t>
      </w:r>
    </w:p>
    <w:p w14:paraId="124FC9D0">
      <w:pPr>
        <w:pStyle w:val="8"/>
        <w:numPr>
          <w:ilvl w:val="0"/>
          <w:numId w:val="3"/>
        </w:numPr>
        <w:spacing w:line="600" w:lineRule="exact"/>
        <w:ind w:left="0" w:firstLine="562"/>
        <w:rPr>
          <w:rFonts w:ascii="宋体" w:hAnsi="宋体" w:cs="宋体"/>
          <w:b/>
          <w:sz w:val="24"/>
          <w:szCs w:val="24"/>
        </w:rPr>
      </w:pPr>
      <w:r>
        <w:rPr>
          <w:rFonts w:hint="eastAsia" w:ascii="宋体" w:hAnsi="宋体" w:cs="宋体"/>
          <w:b/>
          <w:sz w:val="24"/>
          <w:szCs w:val="24"/>
        </w:rPr>
        <w:t>项目资金到位情况分析。</w:t>
      </w:r>
    </w:p>
    <w:p w14:paraId="4BEFE008">
      <w:pPr>
        <w:pStyle w:val="8"/>
        <w:spacing w:line="600" w:lineRule="exact"/>
        <w:ind w:left="420" w:leftChars="200" w:firstLine="0" w:firstLineChars="0"/>
        <w:rPr>
          <w:rFonts w:hint="default" w:ascii="宋体" w:hAnsi="宋体" w:eastAsia="宋体" w:cs="宋体"/>
          <w:b/>
          <w:bCs/>
          <w:sz w:val="24"/>
          <w:szCs w:val="24"/>
          <w:lang w:val="en-US" w:eastAsia="zh-CN"/>
        </w:rPr>
      </w:pPr>
      <w:r>
        <w:rPr>
          <w:rFonts w:hint="eastAsia" w:ascii="宋体" w:hAnsi="宋体" w:cs="宋体"/>
          <w:b/>
          <w:bCs/>
          <w:sz w:val="24"/>
          <w:szCs w:val="24"/>
        </w:rPr>
        <w:t xml:space="preserve">   桃江县图书馆</w:t>
      </w:r>
      <w:r>
        <w:rPr>
          <w:rFonts w:hint="eastAsia" w:ascii="宋体" w:hAnsi="宋体" w:cs="宋体"/>
          <w:b/>
          <w:bCs/>
          <w:sz w:val="24"/>
          <w:szCs w:val="24"/>
          <w:lang w:eastAsia="zh-CN"/>
        </w:rPr>
        <w:t>中央和省级免费开放资金共</w:t>
      </w:r>
      <w:r>
        <w:rPr>
          <w:rFonts w:hint="eastAsia" w:ascii="宋体" w:hAnsi="宋体" w:cs="宋体"/>
          <w:b/>
          <w:bCs/>
          <w:sz w:val="24"/>
          <w:szCs w:val="24"/>
          <w:lang w:val="en-US" w:eastAsia="zh-CN"/>
        </w:rPr>
        <w:t>17.6</w:t>
      </w:r>
      <w:r>
        <w:rPr>
          <w:rFonts w:hint="eastAsia" w:ascii="宋体" w:hAnsi="宋体" w:cs="宋体"/>
          <w:b/>
          <w:bCs/>
          <w:sz w:val="24"/>
          <w:szCs w:val="24"/>
        </w:rPr>
        <w:t>万元于202</w:t>
      </w:r>
      <w:r>
        <w:rPr>
          <w:rFonts w:hint="eastAsia" w:ascii="宋体" w:hAnsi="宋体" w:cs="宋体"/>
          <w:b/>
          <w:bCs/>
          <w:sz w:val="24"/>
          <w:szCs w:val="24"/>
          <w:lang w:val="en-US" w:eastAsia="zh-CN"/>
        </w:rPr>
        <w:t>2</w:t>
      </w:r>
      <w:r>
        <w:rPr>
          <w:rFonts w:hint="eastAsia" w:ascii="宋体" w:hAnsi="宋体" w:cs="宋体"/>
          <w:b/>
          <w:bCs/>
          <w:sz w:val="24"/>
          <w:szCs w:val="24"/>
        </w:rPr>
        <w:t>年度拔付给图书馆。</w:t>
      </w:r>
      <w:r>
        <w:rPr>
          <w:rFonts w:hint="eastAsia" w:ascii="宋体" w:hAnsi="宋体" w:cs="宋体"/>
          <w:b/>
          <w:bCs/>
          <w:sz w:val="24"/>
          <w:szCs w:val="24"/>
          <w:lang w:val="en-US" w:eastAsia="zh-CN"/>
        </w:rPr>
        <w:t>县级免费开放资金2.4万及2021年度结余资金18.35万元也于年初拨付.</w:t>
      </w:r>
    </w:p>
    <w:p w14:paraId="41D01E42">
      <w:pPr>
        <w:pStyle w:val="8"/>
        <w:numPr>
          <w:ilvl w:val="0"/>
          <w:numId w:val="3"/>
        </w:numPr>
        <w:spacing w:line="600" w:lineRule="exact"/>
        <w:ind w:left="0" w:firstLine="562"/>
        <w:rPr>
          <w:rFonts w:ascii="宋体" w:hAnsi="宋体" w:cs="宋体"/>
          <w:b/>
          <w:bCs/>
          <w:sz w:val="24"/>
          <w:szCs w:val="24"/>
        </w:rPr>
      </w:pPr>
      <w:r>
        <w:rPr>
          <w:rFonts w:hint="eastAsia" w:ascii="宋体" w:hAnsi="宋体" w:cs="宋体"/>
          <w:b/>
          <w:bCs/>
          <w:sz w:val="24"/>
          <w:szCs w:val="24"/>
        </w:rPr>
        <w:t>项目资金执行情况分析。</w:t>
      </w:r>
    </w:p>
    <w:p w14:paraId="7AE9EEDF">
      <w:pPr>
        <w:pStyle w:val="8"/>
        <w:spacing w:line="600" w:lineRule="exact"/>
        <w:ind w:firstLine="826" w:firstLineChars="343"/>
        <w:rPr>
          <w:rFonts w:ascii="宋体" w:hAnsi="宋体" w:cs="宋体"/>
          <w:b/>
          <w:bCs/>
          <w:sz w:val="24"/>
          <w:szCs w:val="24"/>
        </w:rPr>
      </w:pPr>
      <w:r>
        <w:rPr>
          <w:rFonts w:hint="eastAsia" w:ascii="宋体" w:hAnsi="宋体" w:cs="宋体"/>
          <w:b/>
          <w:bCs/>
          <w:sz w:val="24"/>
          <w:szCs w:val="24"/>
        </w:rPr>
        <w:t>桃江县图书馆</w:t>
      </w:r>
      <w:r>
        <w:rPr>
          <w:rFonts w:hint="eastAsia" w:ascii="宋体" w:hAnsi="宋体" w:cs="宋体"/>
          <w:b/>
          <w:bCs/>
          <w:sz w:val="24"/>
          <w:szCs w:val="24"/>
          <w:lang w:eastAsia="zh-CN"/>
        </w:rPr>
        <w:t>免费开放</w:t>
      </w:r>
      <w:r>
        <w:rPr>
          <w:rFonts w:hint="eastAsia" w:ascii="宋体" w:hAnsi="宋体" w:cs="宋体"/>
          <w:b/>
          <w:bCs/>
          <w:sz w:val="24"/>
          <w:szCs w:val="24"/>
        </w:rPr>
        <w:t>资金</w:t>
      </w:r>
      <w:r>
        <w:rPr>
          <w:rFonts w:hint="eastAsia" w:ascii="宋体" w:hAnsi="宋体" w:cs="宋体"/>
          <w:b/>
          <w:bCs/>
          <w:sz w:val="24"/>
          <w:szCs w:val="24"/>
          <w:lang w:val="en-US" w:eastAsia="zh-CN"/>
        </w:rPr>
        <w:t>共计37.35万元</w:t>
      </w:r>
      <w:r>
        <w:rPr>
          <w:rFonts w:hint="eastAsia" w:ascii="宋体" w:hAnsi="宋体" w:cs="宋体"/>
          <w:b/>
          <w:bCs/>
          <w:sz w:val="24"/>
          <w:szCs w:val="24"/>
        </w:rPr>
        <w:t>已执行，用于支付图书馆维修改造工程款（建远行（咨）[202</w:t>
      </w:r>
      <w:r>
        <w:rPr>
          <w:rFonts w:hint="eastAsia" w:ascii="宋体" w:hAnsi="宋体" w:cs="宋体"/>
          <w:b/>
          <w:bCs/>
          <w:sz w:val="24"/>
          <w:szCs w:val="24"/>
          <w:lang w:val="en-US" w:eastAsia="zh-CN"/>
        </w:rPr>
        <w:t>2</w:t>
      </w:r>
      <w:r>
        <w:rPr>
          <w:rFonts w:hint="eastAsia" w:ascii="宋体" w:hAnsi="宋体" w:cs="宋体"/>
          <w:b/>
          <w:bCs/>
          <w:sz w:val="24"/>
          <w:szCs w:val="24"/>
        </w:rPr>
        <w:t>]第</w:t>
      </w:r>
      <w:r>
        <w:rPr>
          <w:rFonts w:hint="eastAsia" w:ascii="宋体" w:hAnsi="宋体" w:cs="宋体"/>
          <w:b/>
          <w:bCs/>
          <w:sz w:val="24"/>
          <w:szCs w:val="24"/>
          <w:lang w:val="en-US" w:eastAsia="zh-CN"/>
        </w:rPr>
        <w:t>1205</w:t>
      </w:r>
      <w:r>
        <w:rPr>
          <w:rFonts w:hint="eastAsia" w:ascii="宋体" w:hAnsi="宋体" w:cs="宋体"/>
          <w:b/>
          <w:bCs/>
          <w:sz w:val="24"/>
          <w:szCs w:val="24"/>
        </w:rPr>
        <w:t>号审核报告）已于202</w:t>
      </w:r>
      <w:r>
        <w:rPr>
          <w:rFonts w:hint="eastAsia" w:ascii="宋体" w:hAnsi="宋体" w:cs="宋体"/>
          <w:b/>
          <w:bCs/>
          <w:sz w:val="24"/>
          <w:szCs w:val="24"/>
          <w:lang w:val="en-US" w:eastAsia="zh-CN"/>
        </w:rPr>
        <w:t>2</w:t>
      </w:r>
      <w:r>
        <w:rPr>
          <w:rFonts w:hint="eastAsia" w:ascii="宋体" w:hAnsi="宋体" w:cs="宋体"/>
          <w:b/>
          <w:bCs/>
          <w:sz w:val="24"/>
          <w:szCs w:val="24"/>
        </w:rPr>
        <w:t>年支付给湖南</w:t>
      </w:r>
      <w:r>
        <w:rPr>
          <w:rFonts w:hint="eastAsia" w:ascii="宋体" w:hAnsi="宋体" w:cs="宋体"/>
          <w:b/>
          <w:bCs/>
          <w:sz w:val="24"/>
          <w:szCs w:val="24"/>
          <w:lang w:eastAsia="zh-CN"/>
        </w:rPr>
        <w:t>建文房屋维修中心以及馆内其他免费开放所需经费支出。</w:t>
      </w:r>
    </w:p>
    <w:p w14:paraId="67356A9F">
      <w:pPr>
        <w:pStyle w:val="8"/>
        <w:numPr>
          <w:ilvl w:val="0"/>
          <w:numId w:val="3"/>
        </w:numPr>
        <w:spacing w:line="600" w:lineRule="exact"/>
        <w:ind w:left="0" w:firstLine="562"/>
        <w:rPr>
          <w:rFonts w:ascii="宋体" w:hAnsi="宋体" w:cs="宋体"/>
          <w:b/>
          <w:bCs/>
          <w:sz w:val="24"/>
          <w:szCs w:val="24"/>
        </w:rPr>
      </w:pPr>
      <w:r>
        <w:rPr>
          <w:rFonts w:hint="eastAsia" w:ascii="宋体" w:hAnsi="宋体" w:cs="宋体"/>
          <w:b/>
          <w:bCs/>
          <w:sz w:val="24"/>
          <w:szCs w:val="24"/>
        </w:rPr>
        <w:t>项目资金管理情况分析。</w:t>
      </w:r>
    </w:p>
    <w:p w14:paraId="53C22DF6">
      <w:pPr>
        <w:pStyle w:val="8"/>
        <w:spacing w:line="600" w:lineRule="exact"/>
        <w:ind w:left="420" w:leftChars="200" w:firstLine="723" w:firstLineChars="300"/>
        <w:rPr>
          <w:rFonts w:ascii="宋体" w:hAnsi="宋体" w:cs="宋体"/>
          <w:b/>
          <w:bCs/>
          <w:sz w:val="24"/>
          <w:szCs w:val="24"/>
        </w:rPr>
      </w:pPr>
      <w:r>
        <w:rPr>
          <w:rFonts w:hint="eastAsia" w:ascii="宋体" w:hAnsi="宋体" w:cs="宋体"/>
          <w:b/>
          <w:bCs/>
          <w:sz w:val="24"/>
          <w:szCs w:val="24"/>
        </w:rPr>
        <w:t>图书馆对维修改造专项资金严格按照单位制定的专项项目资金使用管理制度实行。</w:t>
      </w:r>
      <w:r>
        <w:rPr>
          <w:rFonts w:hint="eastAsia" w:ascii="宋体" w:hAnsi="宋体" w:cs="宋体"/>
          <w:b/>
          <w:bCs/>
          <w:sz w:val="24"/>
          <w:szCs w:val="24"/>
          <w:lang w:eastAsia="zh-CN"/>
        </w:rPr>
        <w:t>免费开放</w:t>
      </w:r>
      <w:r>
        <w:rPr>
          <w:rFonts w:hint="eastAsia" w:ascii="宋体" w:hAnsi="宋体" w:cs="宋体"/>
          <w:b/>
          <w:bCs/>
          <w:sz w:val="24"/>
          <w:szCs w:val="24"/>
        </w:rPr>
        <w:t>资金严格控制资金的使用节奏，在相应额度内计划支出。专项资金用于按合同支付维修工程款</w:t>
      </w:r>
      <w:r>
        <w:rPr>
          <w:rFonts w:hint="eastAsia" w:ascii="宋体" w:hAnsi="宋体" w:cs="宋体"/>
          <w:b/>
          <w:bCs/>
          <w:sz w:val="24"/>
          <w:szCs w:val="24"/>
          <w:lang w:eastAsia="zh-CN"/>
        </w:rPr>
        <w:t>及其他免费开放所需的开支</w:t>
      </w:r>
      <w:r>
        <w:rPr>
          <w:rFonts w:hint="eastAsia" w:ascii="宋体" w:hAnsi="宋体" w:cs="宋体"/>
          <w:b/>
          <w:bCs/>
          <w:sz w:val="24"/>
          <w:szCs w:val="24"/>
        </w:rPr>
        <w:t>。</w:t>
      </w:r>
    </w:p>
    <w:p w14:paraId="1881AC95">
      <w:pPr>
        <w:pStyle w:val="8"/>
        <w:numPr>
          <w:ilvl w:val="0"/>
          <w:numId w:val="2"/>
        </w:numPr>
        <w:spacing w:line="600" w:lineRule="exact"/>
        <w:ind w:left="0" w:firstLine="562"/>
        <w:rPr>
          <w:rFonts w:ascii="宋体" w:hAnsi="宋体" w:cs="宋体"/>
          <w:b/>
          <w:bCs/>
          <w:sz w:val="24"/>
          <w:szCs w:val="24"/>
        </w:rPr>
      </w:pPr>
      <w:r>
        <w:rPr>
          <w:rFonts w:hint="eastAsia" w:ascii="宋体" w:hAnsi="宋体" w:cs="宋体"/>
          <w:b/>
          <w:bCs/>
          <w:sz w:val="24"/>
          <w:szCs w:val="24"/>
        </w:rPr>
        <w:t>总体绩效目标完成情况分析。</w:t>
      </w:r>
    </w:p>
    <w:p w14:paraId="6771F19B">
      <w:pPr>
        <w:pStyle w:val="8"/>
        <w:spacing w:line="600" w:lineRule="exact"/>
        <w:ind w:left="420" w:leftChars="200" w:firstLine="562"/>
        <w:rPr>
          <w:rFonts w:ascii="宋体" w:hAnsi="宋体" w:cs="宋体"/>
          <w:b/>
          <w:bCs/>
          <w:color w:val="000000"/>
          <w:kern w:val="0"/>
          <w:sz w:val="24"/>
          <w:szCs w:val="24"/>
        </w:rPr>
      </w:pPr>
      <w:r>
        <w:rPr>
          <w:rFonts w:hint="eastAsia" w:ascii="宋体" w:hAnsi="宋体" w:cs="宋体"/>
          <w:b/>
          <w:bCs/>
          <w:color w:val="000000"/>
          <w:kern w:val="0"/>
          <w:sz w:val="24"/>
          <w:szCs w:val="24"/>
        </w:rPr>
        <w:t>依据目标设定情况完成了</w:t>
      </w:r>
      <w:r>
        <w:rPr>
          <w:rFonts w:hint="eastAsia" w:ascii="宋体" w:hAnsi="宋体" w:cs="宋体"/>
          <w:b/>
          <w:bCs/>
          <w:color w:val="000000"/>
          <w:kern w:val="0"/>
          <w:sz w:val="24"/>
          <w:szCs w:val="24"/>
          <w:lang w:eastAsia="zh-CN"/>
        </w:rPr>
        <w:t>城市书吧的基础建设，全年综合阅览室，自助馆，成人外借室</w:t>
      </w:r>
      <w:r>
        <w:rPr>
          <w:rFonts w:hint="eastAsia" w:ascii="宋体" w:hAnsi="宋体" w:cs="宋体"/>
          <w:b/>
          <w:bCs/>
          <w:color w:val="000000"/>
          <w:kern w:val="0"/>
          <w:sz w:val="24"/>
          <w:szCs w:val="24"/>
          <w:lang w:val="en-US" w:eastAsia="zh-CN"/>
        </w:rPr>
        <w:t xml:space="preserve"> ，少儿外借室的免费开放工作及相关读书文化活动的开展</w:t>
      </w:r>
      <w:r>
        <w:rPr>
          <w:rFonts w:hint="eastAsia" w:ascii="宋体" w:hAnsi="宋体" w:cs="宋体"/>
          <w:b/>
          <w:bCs/>
          <w:color w:val="000000"/>
          <w:kern w:val="0"/>
          <w:sz w:val="24"/>
          <w:szCs w:val="24"/>
        </w:rPr>
        <w:t>。</w:t>
      </w:r>
    </w:p>
    <w:p w14:paraId="57C291D0">
      <w:pPr>
        <w:pStyle w:val="8"/>
        <w:numPr>
          <w:ilvl w:val="0"/>
          <w:numId w:val="2"/>
        </w:numPr>
        <w:spacing w:line="600" w:lineRule="exact"/>
        <w:ind w:left="0" w:firstLine="562"/>
        <w:rPr>
          <w:rFonts w:ascii="宋体" w:hAnsi="宋体" w:cs="宋体"/>
          <w:b/>
          <w:bCs/>
          <w:sz w:val="24"/>
          <w:szCs w:val="24"/>
        </w:rPr>
      </w:pPr>
      <w:r>
        <w:rPr>
          <w:rFonts w:hint="eastAsia" w:ascii="宋体" w:hAnsi="宋体" w:cs="宋体"/>
          <w:b/>
          <w:bCs/>
          <w:sz w:val="24"/>
          <w:szCs w:val="24"/>
        </w:rPr>
        <w:t>绩效指标完成情况分析。（根据年初绩效指标逐项分析）</w:t>
      </w:r>
    </w:p>
    <w:p w14:paraId="7A55830A">
      <w:pPr>
        <w:pStyle w:val="8"/>
        <w:numPr>
          <w:ilvl w:val="0"/>
          <w:numId w:val="4"/>
        </w:numPr>
        <w:spacing w:line="600" w:lineRule="exact"/>
        <w:ind w:left="0" w:firstLine="562"/>
        <w:rPr>
          <w:rFonts w:ascii="宋体" w:hAnsi="宋体" w:cs="宋体"/>
          <w:b/>
          <w:bCs/>
          <w:sz w:val="24"/>
          <w:szCs w:val="24"/>
        </w:rPr>
      </w:pPr>
      <w:r>
        <w:rPr>
          <w:rFonts w:hint="eastAsia" w:ascii="宋体" w:hAnsi="宋体" w:cs="宋体"/>
          <w:b/>
          <w:bCs/>
          <w:sz w:val="24"/>
          <w:szCs w:val="24"/>
        </w:rPr>
        <w:t>产出指标完成情况分析：</w:t>
      </w:r>
    </w:p>
    <w:p w14:paraId="7FB5FD60">
      <w:pPr>
        <w:pStyle w:val="8"/>
        <w:numPr>
          <w:ilvl w:val="0"/>
          <w:numId w:val="5"/>
        </w:numPr>
        <w:spacing w:line="600" w:lineRule="exact"/>
        <w:ind w:left="0" w:firstLine="562"/>
        <w:rPr>
          <w:rFonts w:ascii="宋体" w:hAnsi="宋体" w:cs="宋体"/>
          <w:b/>
          <w:sz w:val="24"/>
          <w:szCs w:val="24"/>
        </w:rPr>
      </w:pPr>
      <w:r>
        <w:rPr>
          <w:rFonts w:hint="eastAsia" w:ascii="宋体" w:hAnsi="宋体" w:cs="宋体"/>
          <w:b/>
          <w:sz w:val="24"/>
          <w:szCs w:val="24"/>
        </w:rPr>
        <w:t>数量指标。</w:t>
      </w:r>
    </w:p>
    <w:p w14:paraId="3B9CDAB6">
      <w:pPr>
        <w:pStyle w:val="8"/>
        <w:spacing w:line="600" w:lineRule="exact"/>
        <w:ind w:left="838" w:leftChars="399" w:firstLine="562"/>
        <w:rPr>
          <w:rFonts w:ascii="宋体" w:hAnsi="宋体" w:cs="宋体"/>
          <w:b/>
          <w:sz w:val="24"/>
          <w:szCs w:val="24"/>
        </w:rPr>
      </w:pPr>
      <w:r>
        <w:rPr>
          <w:rFonts w:hint="eastAsia" w:ascii="宋体" w:hAnsi="宋体" w:cs="宋体"/>
          <w:b/>
          <w:sz w:val="24"/>
          <w:szCs w:val="24"/>
        </w:rPr>
        <w:t>已完成指标值</w:t>
      </w:r>
      <w:r>
        <w:rPr>
          <w:rFonts w:hint="eastAsia" w:ascii="宋体" w:hAnsi="宋体" w:cs="宋体"/>
          <w:b/>
          <w:sz w:val="24"/>
          <w:szCs w:val="24"/>
          <w:lang w:eastAsia="zh-CN"/>
        </w:rPr>
        <w:t>：</w:t>
      </w:r>
      <w:r>
        <w:rPr>
          <w:rFonts w:hint="eastAsia" w:ascii="宋体" w:hAnsi="宋体" w:cs="宋体"/>
          <w:b/>
          <w:bCs/>
          <w:color w:val="000000"/>
          <w:kern w:val="0"/>
          <w:sz w:val="24"/>
          <w:szCs w:val="24"/>
          <w:lang w:eastAsia="zh-CN"/>
        </w:rPr>
        <w:t>城室书吧的主体维修工程，全馆各室免费开放及相关活动的正常有序开展</w:t>
      </w:r>
      <w:r>
        <w:rPr>
          <w:rFonts w:hint="eastAsia" w:ascii="宋体" w:hAnsi="宋体" w:cs="宋体"/>
          <w:b/>
          <w:bCs/>
          <w:color w:val="000000"/>
          <w:kern w:val="0"/>
          <w:sz w:val="24"/>
          <w:szCs w:val="24"/>
        </w:rPr>
        <w:t>。</w:t>
      </w:r>
    </w:p>
    <w:p w14:paraId="5298682D">
      <w:pPr>
        <w:pStyle w:val="8"/>
        <w:numPr>
          <w:ilvl w:val="0"/>
          <w:numId w:val="5"/>
        </w:numPr>
        <w:spacing w:line="600" w:lineRule="exact"/>
        <w:ind w:left="0" w:firstLine="562"/>
        <w:rPr>
          <w:rFonts w:ascii="宋体" w:hAnsi="宋体" w:cs="宋体"/>
          <w:b/>
          <w:sz w:val="24"/>
          <w:szCs w:val="24"/>
        </w:rPr>
      </w:pPr>
      <w:r>
        <w:rPr>
          <w:rFonts w:hint="eastAsia" w:ascii="宋体" w:hAnsi="宋体" w:cs="宋体"/>
          <w:b/>
          <w:sz w:val="24"/>
          <w:szCs w:val="24"/>
        </w:rPr>
        <w:t>质量指标。</w:t>
      </w:r>
    </w:p>
    <w:p w14:paraId="45EAC3D8">
      <w:pPr>
        <w:pStyle w:val="8"/>
        <w:spacing w:line="600" w:lineRule="exact"/>
        <w:ind w:left="840" w:leftChars="400" w:firstLine="590" w:firstLineChars="245"/>
        <w:rPr>
          <w:rFonts w:ascii="宋体" w:hAnsi="宋体" w:cs="宋体"/>
          <w:b/>
          <w:sz w:val="24"/>
          <w:szCs w:val="24"/>
        </w:rPr>
      </w:pPr>
      <w:r>
        <w:rPr>
          <w:rFonts w:hint="eastAsia" w:ascii="宋体" w:hAnsi="宋体" w:cs="宋体"/>
          <w:b/>
          <w:sz w:val="24"/>
          <w:szCs w:val="24"/>
        </w:rPr>
        <w:t>政府采购率，改造验收合格率及馆内自助设备的正常运行率均为100%，</w:t>
      </w:r>
      <w:r>
        <w:rPr>
          <w:rFonts w:hint="eastAsia" w:ascii="宋体" w:hAnsi="宋体" w:cs="宋体"/>
          <w:b/>
          <w:sz w:val="24"/>
          <w:szCs w:val="24"/>
          <w:lang w:eastAsia="zh-CN"/>
        </w:rPr>
        <w:t>免费开放工作正常有序高效开展，</w:t>
      </w:r>
      <w:r>
        <w:rPr>
          <w:rFonts w:hint="eastAsia" w:ascii="宋体" w:hAnsi="宋体" w:cs="宋体"/>
          <w:b/>
          <w:sz w:val="24"/>
          <w:szCs w:val="24"/>
        </w:rPr>
        <w:t>达到绩效设定指标值.</w:t>
      </w:r>
    </w:p>
    <w:p w14:paraId="03F98960">
      <w:pPr>
        <w:pStyle w:val="8"/>
        <w:numPr>
          <w:ilvl w:val="0"/>
          <w:numId w:val="5"/>
        </w:numPr>
        <w:spacing w:line="600" w:lineRule="exact"/>
        <w:ind w:left="0" w:firstLine="562"/>
        <w:rPr>
          <w:rFonts w:ascii="宋体" w:hAnsi="宋体" w:cs="宋体"/>
          <w:b/>
          <w:sz w:val="24"/>
          <w:szCs w:val="24"/>
        </w:rPr>
      </w:pPr>
      <w:r>
        <w:rPr>
          <w:rFonts w:hint="eastAsia" w:ascii="宋体" w:hAnsi="宋体" w:cs="宋体"/>
          <w:b/>
          <w:sz w:val="24"/>
          <w:szCs w:val="24"/>
        </w:rPr>
        <w:t>时效指标。</w:t>
      </w:r>
    </w:p>
    <w:p w14:paraId="01C173B9">
      <w:pPr>
        <w:pStyle w:val="8"/>
        <w:spacing w:line="600" w:lineRule="exact"/>
        <w:ind w:left="562" w:firstLine="0" w:firstLineChars="0"/>
        <w:rPr>
          <w:rFonts w:ascii="宋体" w:hAnsi="宋体" w:cs="宋体"/>
          <w:b/>
          <w:sz w:val="24"/>
          <w:szCs w:val="24"/>
        </w:rPr>
      </w:pPr>
      <w:r>
        <w:rPr>
          <w:rFonts w:hint="eastAsia" w:ascii="宋体" w:hAnsi="宋体" w:cs="宋体"/>
          <w:b/>
          <w:sz w:val="24"/>
          <w:szCs w:val="24"/>
        </w:rPr>
        <w:t xml:space="preserve">     </w:t>
      </w:r>
      <w:r>
        <w:rPr>
          <w:rFonts w:hint="eastAsia" w:ascii="宋体" w:hAnsi="宋体" w:cs="宋体"/>
          <w:b/>
          <w:sz w:val="24"/>
          <w:szCs w:val="24"/>
          <w:lang w:eastAsia="zh-CN"/>
        </w:rPr>
        <w:t>免费开放工作高效有序开展</w:t>
      </w:r>
      <w:r>
        <w:rPr>
          <w:rFonts w:hint="eastAsia" w:ascii="宋体" w:hAnsi="宋体" w:cs="宋体"/>
          <w:b/>
          <w:sz w:val="24"/>
          <w:szCs w:val="24"/>
        </w:rPr>
        <w:t>。</w:t>
      </w:r>
    </w:p>
    <w:p w14:paraId="5B60C231">
      <w:pPr>
        <w:pStyle w:val="8"/>
        <w:numPr>
          <w:ilvl w:val="0"/>
          <w:numId w:val="5"/>
        </w:numPr>
        <w:spacing w:line="600" w:lineRule="exact"/>
        <w:ind w:left="0" w:firstLine="562"/>
        <w:rPr>
          <w:rFonts w:ascii="宋体" w:hAnsi="宋体" w:cs="宋体"/>
          <w:b/>
          <w:sz w:val="24"/>
          <w:szCs w:val="24"/>
        </w:rPr>
      </w:pPr>
      <w:r>
        <w:rPr>
          <w:rFonts w:hint="eastAsia" w:ascii="宋体" w:hAnsi="宋体" w:cs="宋体"/>
          <w:b/>
          <w:sz w:val="24"/>
          <w:szCs w:val="24"/>
        </w:rPr>
        <w:t>成本指标。</w:t>
      </w:r>
    </w:p>
    <w:p w14:paraId="27B7FE7B">
      <w:pPr>
        <w:pStyle w:val="8"/>
        <w:spacing w:line="600" w:lineRule="exact"/>
        <w:ind w:left="802" w:leftChars="267" w:hanging="241" w:hangingChars="100"/>
        <w:rPr>
          <w:rFonts w:ascii="宋体" w:hAnsi="宋体" w:cs="宋体"/>
          <w:b/>
          <w:sz w:val="24"/>
          <w:szCs w:val="24"/>
        </w:rPr>
      </w:pPr>
      <w:r>
        <w:rPr>
          <w:rFonts w:hint="eastAsia" w:ascii="宋体" w:hAnsi="宋体" w:cs="宋体"/>
          <w:b/>
          <w:sz w:val="24"/>
          <w:szCs w:val="24"/>
        </w:rPr>
        <w:t xml:space="preserve">     馆内相应</w:t>
      </w:r>
      <w:r>
        <w:rPr>
          <w:rFonts w:hint="eastAsia" w:ascii="宋体" w:hAnsi="宋体" w:cs="宋体"/>
          <w:b/>
          <w:sz w:val="24"/>
          <w:szCs w:val="24"/>
          <w:lang w:eastAsia="zh-CN"/>
        </w:rPr>
        <w:t>免费开放项目支出</w:t>
      </w:r>
      <w:r>
        <w:rPr>
          <w:rFonts w:hint="eastAsia" w:ascii="宋体" w:hAnsi="宋体" w:cs="宋体"/>
          <w:b/>
          <w:sz w:val="24"/>
          <w:szCs w:val="24"/>
        </w:rPr>
        <w:t>，相关采购均进行了比价采购，做到了采购价值最大化。</w:t>
      </w:r>
    </w:p>
    <w:p w14:paraId="45ABCA40">
      <w:pPr>
        <w:pStyle w:val="8"/>
        <w:spacing w:line="600" w:lineRule="exact"/>
        <w:ind w:left="562" w:firstLine="0" w:firstLineChars="0"/>
        <w:rPr>
          <w:rFonts w:ascii="宋体" w:hAnsi="宋体" w:cs="宋体"/>
          <w:b/>
          <w:sz w:val="24"/>
          <w:szCs w:val="24"/>
        </w:rPr>
      </w:pPr>
    </w:p>
    <w:p w14:paraId="212F034A">
      <w:pPr>
        <w:pStyle w:val="8"/>
        <w:numPr>
          <w:ilvl w:val="0"/>
          <w:numId w:val="4"/>
        </w:numPr>
        <w:spacing w:line="600" w:lineRule="exact"/>
        <w:ind w:left="0" w:firstLine="562"/>
        <w:rPr>
          <w:rFonts w:ascii="宋体" w:hAnsi="宋体" w:cs="宋体"/>
          <w:b/>
          <w:bCs/>
          <w:sz w:val="24"/>
          <w:szCs w:val="24"/>
        </w:rPr>
      </w:pPr>
      <w:r>
        <w:rPr>
          <w:rFonts w:hint="eastAsia" w:ascii="宋体" w:hAnsi="宋体" w:cs="宋体"/>
          <w:b/>
          <w:bCs/>
          <w:sz w:val="24"/>
          <w:szCs w:val="24"/>
        </w:rPr>
        <w:t>效益指标完成情况分析。</w:t>
      </w:r>
    </w:p>
    <w:p w14:paraId="4ED544F2">
      <w:pPr>
        <w:pStyle w:val="8"/>
        <w:numPr>
          <w:ilvl w:val="0"/>
          <w:numId w:val="6"/>
        </w:numPr>
        <w:spacing w:line="600" w:lineRule="exact"/>
        <w:ind w:left="0" w:firstLine="562"/>
        <w:rPr>
          <w:rFonts w:ascii="宋体" w:hAnsi="宋体" w:cs="宋体"/>
          <w:b/>
          <w:bCs/>
          <w:sz w:val="24"/>
          <w:szCs w:val="24"/>
        </w:rPr>
      </w:pPr>
      <w:r>
        <w:rPr>
          <w:rFonts w:hint="eastAsia" w:ascii="宋体" w:hAnsi="宋体" w:cs="宋体"/>
          <w:b/>
          <w:bCs/>
          <w:sz w:val="24"/>
          <w:szCs w:val="24"/>
        </w:rPr>
        <w:t>经济效益。</w:t>
      </w:r>
    </w:p>
    <w:p w14:paraId="09C96B8F">
      <w:pPr>
        <w:pStyle w:val="8"/>
        <w:spacing w:line="600" w:lineRule="exact"/>
        <w:ind w:left="420" w:leftChars="200" w:firstLine="0" w:firstLineChars="0"/>
        <w:rPr>
          <w:rFonts w:ascii="宋体" w:hAnsi="宋体" w:cs="宋体"/>
          <w:b/>
          <w:bCs/>
          <w:sz w:val="24"/>
          <w:szCs w:val="24"/>
        </w:rPr>
      </w:pPr>
      <w:r>
        <w:rPr>
          <w:rFonts w:hint="eastAsia" w:ascii="宋体" w:hAnsi="宋体" w:cs="宋体"/>
          <w:b/>
          <w:bCs/>
          <w:sz w:val="24"/>
          <w:szCs w:val="24"/>
        </w:rPr>
        <w:t xml:space="preserve">    此项目暂不产生经济效益。</w:t>
      </w:r>
    </w:p>
    <w:p w14:paraId="4C8C4DE8">
      <w:pPr>
        <w:pStyle w:val="8"/>
        <w:numPr>
          <w:ilvl w:val="0"/>
          <w:numId w:val="6"/>
        </w:numPr>
        <w:spacing w:line="600" w:lineRule="exact"/>
        <w:ind w:left="0" w:firstLine="562"/>
        <w:rPr>
          <w:rFonts w:ascii="宋体" w:hAnsi="宋体" w:cs="宋体"/>
          <w:b/>
          <w:bCs/>
          <w:sz w:val="24"/>
          <w:szCs w:val="24"/>
        </w:rPr>
      </w:pPr>
      <w:r>
        <w:rPr>
          <w:rFonts w:hint="eastAsia" w:ascii="宋体" w:hAnsi="宋体" w:cs="宋体"/>
          <w:b/>
          <w:bCs/>
          <w:sz w:val="24"/>
          <w:szCs w:val="24"/>
        </w:rPr>
        <w:t>社会效益。</w:t>
      </w:r>
    </w:p>
    <w:p w14:paraId="5D5892BB">
      <w:pPr>
        <w:pStyle w:val="8"/>
        <w:spacing w:line="600" w:lineRule="exact"/>
        <w:ind w:left="918" w:leftChars="437" w:firstLine="361" w:firstLineChars="150"/>
        <w:rPr>
          <w:rFonts w:ascii="宋体" w:hAnsi="宋体" w:cs="宋体"/>
          <w:b/>
          <w:bCs/>
          <w:sz w:val="24"/>
          <w:szCs w:val="24"/>
        </w:rPr>
      </w:pPr>
      <w:r>
        <w:rPr>
          <w:rFonts w:hint="eastAsia" w:ascii="宋体" w:hAnsi="宋体" w:cs="宋体"/>
          <w:b/>
          <w:bCs/>
          <w:sz w:val="24"/>
          <w:szCs w:val="24"/>
        </w:rPr>
        <w:t xml:space="preserve">指标1. </w:t>
      </w:r>
      <w:r>
        <w:rPr>
          <w:rFonts w:hint="eastAsia" w:ascii="宋体" w:hAnsi="宋体" w:cs="宋体"/>
          <w:b/>
          <w:bCs/>
          <w:sz w:val="24"/>
          <w:szCs w:val="24"/>
          <w:lang w:eastAsia="zh-CN"/>
        </w:rPr>
        <w:t>通过免费开放资金对馆舍的整改维修，</w:t>
      </w:r>
      <w:r>
        <w:rPr>
          <w:rFonts w:hint="eastAsia" w:ascii="宋体" w:hAnsi="宋体" w:cs="宋体"/>
          <w:b/>
          <w:bCs/>
          <w:sz w:val="24"/>
          <w:szCs w:val="24"/>
        </w:rPr>
        <w:t>美化了图书馆外观，提升了图书馆的整体形象，馆内照明及卫生间相应设施的整改，为读者提供了舒适阅读环境。</w:t>
      </w:r>
    </w:p>
    <w:p w14:paraId="4929197E">
      <w:pPr>
        <w:pStyle w:val="8"/>
        <w:spacing w:line="600" w:lineRule="exact"/>
        <w:ind w:left="918" w:leftChars="437" w:firstLine="361" w:firstLineChars="150"/>
        <w:rPr>
          <w:rFonts w:ascii="宋体" w:hAnsi="宋体" w:cs="宋体"/>
          <w:b/>
          <w:bCs/>
          <w:sz w:val="24"/>
          <w:szCs w:val="24"/>
        </w:rPr>
      </w:pPr>
      <w:r>
        <w:rPr>
          <w:rFonts w:hint="eastAsia" w:ascii="宋体" w:hAnsi="宋体" w:cs="宋体"/>
          <w:b/>
          <w:bCs/>
          <w:sz w:val="24"/>
          <w:szCs w:val="24"/>
        </w:rPr>
        <w:t>指标2. 丰富人民群众和少儿文化生活，推动形成全民阅读氛围。</w:t>
      </w:r>
    </w:p>
    <w:p w14:paraId="69F5E978">
      <w:pPr>
        <w:pStyle w:val="8"/>
        <w:spacing w:line="600" w:lineRule="exact"/>
        <w:ind w:firstLine="964" w:firstLineChars="400"/>
        <w:rPr>
          <w:rFonts w:ascii="宋体" w:hAnsi="宋体" w:cs="宋体"/>
          <w:b/>
          <w:bCs/>
          <w:sz w:val="24"/>
          <w:szCs w:val="24"/>
        </w:rPr>
      </w:pPr>
      <w:r>
        <w:rPr>
          <w:rFonts w:hint="eastAsia" w:ascii="宋体" w:hAnsi="宋体" w:cs="宋体"/>
          <w:b/>
          <w:bCs/>
          <w:sz w:val="24"/>
          <w:szCs w:val="24"/>
        </w:rPr>
        <w:t>两项指标基本上达到预期的指标效果。</w:t>
      </w:r>
    </w:p>
    <w:p w14:paraId="25D127D9">
      <w:pPr>
        <w:pStyle w:val="8"/>
        <w:numPr>
          <w:ilvl w:val="0"/>
          <w:numId w:val="6"/>
        </w:numPr>
        <w:spacing w:line="600" w:lineRule="exact"/>
        <w:ind w:left="0" w:firstLine="562"/>
        <w:rPr>
          <w:rFonts w:ascii="宋体" w:hAnsi="宋体" w:cs="宋体"/>
          <w:b/>
          <w:bCs/>
          <w:sz w:val="24"/>
          <w:szCs w:val="24"/>
        </w:rPr>
      </w:pPr>
      <w:r>
        <w:rPr>
          <w:rFonts w:hint="eastAsia" w:ascii="宋体" w:hAnsi="宋体" w:cs="宋体"/>
          <w:b/>
          <w:bCs/>
          <w:sz w:val="24"/>
          <w:szCs w:val="24"/>
        </w:rPr>
        <w:t>生态效益。</w:t>
      </w:r>
    </w:p>
    <w:p w14:paraId="2EB6B514">
      <w:pPr>
        <w:pStyle w:val="8"/>
        <w:spacing w:line="600" w:lineRule="exact"/>
        <w:ind w:left="420" w:leftChars="200" w:firstLine="0" w:firstLineChars="0"/>
        <w:rPr>
          <w:rFonts w:ascii="宋体" w:hAnsi="宋体" w:cs="宋体"/>
          <w:b/>
          <w:bCs/>
          <w:sz w:val="24"/>
          <w:szCs w:val="24"/>
        </w:rPr>
      </w:pPr>
      <w:r>
        <w:rPr>
          <w:rFonts w:hint="eastAsia" w:ascii="宋体" w:hAnsi="宋体" w:cs="宋体"/>
          <w:b/>
          <w:bCs/>
          <w:sz w:val="24"/>
          <w:szCs w:val="24"/>
        </w:rPr>
        <w:t>暂无生态效益</w:t>
      </w:r>
    </w:p>
    <w:p w14:paraId="748612D0">
      <w:pPr>
        <w:pStyle w:val="8"/>
        <w:numPr>
          <w:ilvl w:val="0"/>
          <w:numId w:val="6"/>
        </w:numPr>
        <w:spacing w:line="600" w:lineRule="exact"/>
        <w:ind w:left="0" w:firstLine="562"/>
        <w:rPr>
          <w:rFonts w:ascii="宋体" w:hAnsi="宋体" w:cs="宋体"/>
          <w:b/>
          <w:bCs/>
          <w:sz w:val="24"/>
          <w:szCs w:val="24"/>
        </w:rPr>
      </w:pPr>
      <w:r>
        <w:rPr>
          <w:rFonts w:hint="eastAsia" w:ascii="宋体" w:hAnsi="宋体" w:cs="宋体"/>
          <w:b/>
          <w:bCs/>
          <w:sz w:val="24"/>
          <w:szCs w:val="24"/>
        </w:rPr>
        <w:t>可持续影响。</w:t>
      </w:r>
    </w:p>
    <w:p w14:paraId="65437AEC">
      <w:pPr>
        <w:pStyle w:val="8"/>
        <w:spacing w:line="600" w:lineRule="exact"/>
        <w:ind w:left="559" w:leftChars="266" w:firstLine="562"/>
        <w:rPr>
          <w:rFonts w:ascii="宋体" w:hAnsi="宋体" w:cs="宋体"/>
          <w:b/>
          <w:bCs/>
          <w:sz w:val="24"/>
          <w:szCs w:val="24"/>
        </w:rPr>
      </w:pPr>
      <w:r>
        <w:rPr>
          <w:rFonts w:hint="eastAsia" w:ascii="宋体" w:hAnsi="宋体" w:cs="宋体"/>
          <w:b/>
          <w:bCs/>
          <w:sz w:val="24"/>
          <w:szCs w:val="24"/>
        </w:rPr>
        <w:t>图书馆的</w:t>
      </w:r>
      <w:r>
        <w:rPr>
          <w:rFonts w:hint="eastAsia" w:ascii="宋体" w:hAnsi="宋体" w:cs="宋体"/>
          <w:b/>
          <w:bCs/>
          <w:sz w:val="24"/>
          <w:szCs w:val="24"/>
          <w:lang w:eastAsia="zh-CN"/>
        </w:rPr>
        <w:t>免费开放工作的有序</w:t>
      </w:r>
      <w:r>
        <w:rPr>
          <w:rFonts w:hint="eastAsia" w:ascii="宋体" w:hAnsi="宋体" w:cs="宋体"/>
          <w:b/>
          <w:bCs/>
          <w:sz w:val="24"/>
          <w:szCs w:val="24"/>
        </w:rPr>
        <w:t>完成对于全县公共文化体系的服务水平的提高起到一定的推动作用，并能持续影响。</w:t>
      </w:r>
    </w:p>
    <w:p w14:paraId="766B44F8">
      <w:pPr>
        <w:pStyle w:val="8"/>
        <w:numPr>
          <w:ilvl w:val="0"/>
          <w:numId w:val="4"/>
        </w:numPr>
        <w:spacing w:line="600" w:lineRule="exact"/>
        <w:ind w:left="0" w:firstLine="562"/>
        <w:rPr>
          <w:rFonts w:ascii="宋体" w:hAnsi="宋体" w:cs="宋体"/>
          <w:b/>
          <w:bCs/>
          <w:sz w:val="24"/>
          <w:szCs w:val="24"/>
        </w:rPr>
      </w:pPr>
      <w:r>
        <w:rPr>
          <w:rFonts w:hint="eastAsia" w:ascii="宋体" w:hAnsi="宋体" w:cs="宋体"/>
          <w:b/>
          <w:bCs/>
          <w:sz w:val="24"/>
          <w:szCs w:val="24"/>
        </w:rPr>
        <w:t>满意度指标完成情况分析。</w:t>
      </w:r>
    </w:p>
    <w:p w14:paraId="3451077F">
      <w:pPr>
        <w:pStyle w:val="8"/>
        <w:spacing w:line="600" w:lineRule="exact"/>
        <w:ind w:left="699" w:leftChars="333" w:firstLine="562"/>
        <w:rPr>
          <w:rFonts w:ascii="宋体" w:hAnsi="宋体" w:cs="宋体"/>
          <w:b/>
          <w:bCs/>
          <w:sz w:val="24"/>
          <w:szCs w:val="24"/>
        </w:rPr>
      </w:pPr>
      <w:r>
        <w:rPr>
          <w:rFonts w:hint="eastAsia" w:ascii="宋体" w:hAnsi="宋体" w:cs="宋体"/>
          <w:b/>
          <w:bCs/>
          <w:sz w:val="24"/>
          <w:szCs w:val="24"/>
        </w:rPr>
        <w:t>通过</w:t>
      </w:r>
      <w:r>
        <w:rPr>
          <w:rFonts w:hint="eastAsia" w:ascii="宋体" w:hAnsi="宋体" w:cs="宋体"/>
          <w:b/>
          <w:bCs/>
          <w:sz w:val="24"/>
          <w:szCs w:val="24"/>
          <w:lang w:eastAsia="zh-CN"/>
        </w:rPr>
        <w:t>年度免费开放资金的合理高效利用</w:t>
      </w:r>
      <w:r>
        <w:rPr>
          <w:rFonts w:hint="eastAsia" w:ascii="宋体" w:hAnsi="宋体" w:cs="宋体"/>
          <w:b/>
          <w:bCs/>
          <w:sz w:val="24"/>
          <w:szCs w:val="24"/>
        </w:rPr>
        <w:t>，图书馆的硬件设施和环境都有了进一步的改观，能给读者提供更好的阅读环境，读者满意率达到百分之百。</w:t>
      </w:r>
    </w:p>
    <w:p w14:paraId="6C5CC5D2">
      <w:pPr>
        <w:pStyle w:val="8"/>
        <w:spacing w:line="600" w:lineRule="exact"/>
        <w:ind w:left="420" w:leftChars="200" w:firstLine="562"/>
        <w:rPr>
          <w:rFonts w:ascii="宋体" w:hAnsi="宋体" w:cs="宋体"/>
          <w:b/>
          <w:bCs/>
          <w:sz w:val="24"/>
          <w:szCs w:val="24"/>
        </w:rPr>
      </w:pPr>
    </w:p>
    <w:p w14:paraId="601FDA30">
      <w:pPr>
        <w:pStyle w:val="8"/>
        <w:numPr>
          <w:ilvl w:val="0"/>
          <w:numId w:val="7"/>
        </w:numPr>
        <w:spacing w:line="600" w:lineRule="exact"/>
        <w:ind w:left="640" w:firstLine="0" w:firstLineChars="0"/>
        <w:rPr>
          <w:rFonts w:ascii="宋体" w:hAnsi="宋体" w:cs="宋体"/>
          <w:b/>
          <w:bCs/>
          <w:sz w:val="24"/>
          <w:szCs w:val="24"/>
        </w:rPr>
      </w:pPr>
      <w:r>
        <w:rPr>
          <w:rFonts w:hint="eastAsia" w:ascii="宋体" w:hAnsi="宋体" w:cs="宋体"/>
          <w:b/>
          <w:bCs/>
          <w:sz w:val="24"/>
          <w:szCs w:val="24"/>
        </w:rPr>
        <w:t>偏离绩效目标的原因和下一步改进措施</w:t>
      </w:r>
    </w:p>
    <w:p w14:paraId="68A713DD">
      <w:pPr>
        <w:pStyle w:val="8"/>
        <w:spacing w:line="600" w:lineRule="exact"/>
        <w:ind w:left="758" w:leftChars="305" w:hanging="118" w:hangingChars="49"/>
        <w:rPr>
          <w:rFonts w:hint="eastAsia" w:ascii="宋体" w:hAnsi="宋体" w:eastAsia="宋体" w:cs="宋体"/>
          <w:b/>
          <w:bCs/>
          <w:sz w:val="24"/>
          <w:szCs w:val="24"/>
          <w:lang w:eastAsia="zh-CN"/>
        </w:rPr>
      </w:pPr>
      <w:r>
        <w:rPr>
          <w:rFonts w:hint="eastAsia" w:ascii="宋体" w:hAnsi="宋体" w:cs="宋体"/>
          <w:b/>
          <w:bCs/>
          <w:sz w:val="24"/>
          <w:szCs w:val="24"/>
        </w:rPr>
        <w:t xml:space="preserve">    县图书馆建造于八十年代，馆舍比较陈旧需要维修整改的地方比较多，需要更多资金投入才能更好的改造和完善读书环境，单位正努力争取更多资金完成维修改造的整体计划</w:t>
      </w:r>
      <w:r>
        <w:rPr>
          <w:rFonts w:hint="eastAsia" w:ascii="宋体" w:hAnsi="宋体" w:cs="宋体"/>
          <w:b/>
          <w:bCs/>
          <w:sz w:val="24"/>
          <w:szCs w:val="24"/>
          <w:lang w:eastAsia="zh-CN"/>
        </w:rPr>
        <w:t>，能更好满足全县人民免费阅读的需求。</w:t>
      </w:r>
    </w:p>
    <w:p w14:paraId="289B964D">
      <w:pPr>
        <w:pStyle w:val="8"/>
        <w:spacing w:line="600" w:lineRule="exact"/>
        <w:ind w:left="758" w:leftChars="305" w:hanging="118" w:hangingChars="49"/>
        <w:rPr>
          <w:rFonts w:ascii="宋体" w:hAnsi="宋体" w:cs="宋体"/>
          <w:b/>
          <w:bCs/>
          <w:sz w:val="24"/>
          <w:szCs w:val="24"/>
        </w:rPr>
      </w:pPr>
    </w:p>
    <w:p w14:paraId="418BB1CF">
      <w:pPr>
        <w:pStyle w:val="8"/>
        <w:numPr>
          <w:ilvl w:val="0"/>
          <w:numId w:val="7"/>
        </w:numPr>
        <w:spacing w:line="600" w:lineRule="exact"/>
        <w:ind w:left="640" w:firstLine="0" w:firstLineChars="0"/>
        <w:rPr>
          <w:rFonts w:ascii="宋体" w:hAnsi="宋体" w:cs="宋体"/>
          <w:b/>
          <w:bCs/>
          <w:sz w:val="24"/>
          <w:szCs w:val="24"/>
        </w:rPr>
      </w:pPr>
      <w:r>
        <w:rPr>
          <w:rFonts w:hint="eastAsia" w:ascii="宋体" w:hAnsi="宋体" w:cs="宋体"/>
          <w:b/>
          <w:bCs/>
          <w:sz w:val="24"/>
          <w:szCs w:val="24"/>
        </w:rPr>
        <w:t>其他需要说明的问题</w:t>
      </w:r>
    </w:p>
    <w:p w14:paraId="57D6D399">
      <w:pPr>
        <w:pStyle w:val="8"/>
        <w:numPr>
          <w:numId w:val="0"/>
        </w:numPr>
        <w:spacing w:line="600" w:lineRule="exact"/>
        <w:ind w:left="640" w:leftChars="0"/>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 xml:space="preserve">    无。</w:t>
      </w:r>
      <w:bookmarkStart w:id="0" w:name="_GoBack"/>
      <w:bookmarkEnd w:id="0"/>
    </w:p>
    <w:sectPr>
      <w:pgSz w:w="11905" w:h="16837"/>
      <w:pgMar w:top="1134" w:right="1588" w:bottom="1134" w:left="1588" w:header="720" w:footer="1701" w:gutter="0"/>
      <w:pgNumType w:fmt="numberInDash"/>
      <w:cols w:space="720" w:num="1"/>
      <w:docGrid w:linePitch="636" w:charSpace="208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AF8977"/>
    <w:multiLevelType w:val="singleLevel"/>
    <w:tmpl w:val="FCAF8977"/>
    <w:lvl w:ilvl="0" w:tentative="0">
      <w:start w:val="3"/>
      <w:numFmt w:val="chineseCounting"/>
      <w:suff w:val="nothing"/>
      <w:lvlText w:val="%1、"/>
      <w:lvlJc w:val="left"/>
      <w:rPr>
        <w:rFonts w:hint="eastAsia"/>
      </w:rPr>
    </w:lvl>
  </w:abstractNum>
  <w:abstractNum w:abstractNumId="1">
    <w:nsid w:val="026F017A"/>
    <w:multiLevelType w:val="multilevel"/>
    <w:tmpl w:val="026F017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27D4FD9"/>
    <w:multiLevelType w:val="multilevel"/>
    <w:tmpl w:val="227D4FD9"/>
    <w:lvl w:ilvl="0" w:tentative="0">
      <w:start w:val="1"/>
      <w:numFmt w:val="japaneseCounting"/>
      <w:lvlText w:val="（%1）"/>
      <w:lvlJc w:val="left"/>
      <w:pPr>
        <w:ind w:left="391" w:hanging="720"/>
      </w:pPr>
      <w:rPr>
        <w:rFonts w:hint="default"/>
      </w:rPr>
    </w:lvl>
    <w:lvl w:ilvl="1" w:tentative="0">
      <w:start w:val="1"/>
      <w:numFmt w:val="lowerLetter"/>
      <w:lvlText w:val="%2)"/>
      <w:lvlJc w:val="left"/>
      <w:pPr>
        <w:ind w:left="511" w:hanging="420"/>
      </w:pPr>
    </w:lvl>
    <w:lvl w:ilvl="2" w:tentative="0">
      <w:start w:val="1"/>
      <w:numFmt w:val="lowerRoman"/>
      <w:lvlText w:val="%3."/>
      <w:lvlJc w:val="right"/>
      <w:pPr>
        <w:ind w:left="931" w:hanging="420"/>
      </w:pPr>
    </w:lvl>
    <w:lvl w:ilvl="3" w:tentative="0">
      <w:start w:val="1"/>
      <w:numFmt w:val="decimal"/>
      <w:lvlText w:val="%4."/>
      <w:lvlJc w:val="left"/>
      <w:pPr>
        <w:ind w:left="1351" w:hanging="420"/>
      </w:pPr>
    </w:lvl>
    <w:lvl w:ilvl="4" w:tentative="0">
      <w:start w:val="1"/>
      <w:numFmt w:val="lowerLetter"/>
      <w:lvlText w:val="%5)"/>
      <w:lvlJc w:val="left"/>
      <w:pPr>
        <w:ind w:left="1771" w:hanging="420"/>
      </w:pPr>
    </w:lvl>
    <w:lvl w:ilvl="5" w:tentative="0">
      <w:start w:val="1"/>
      <w:numFmt w:val="lowerRoman"/>
      <w:lvlText w:val="%6."/>
      <w:lvlJc w:val="right"/>
      <w:pPr>
        <w:ind w:left="2191" w:hanging="420"/>
      </w:pPr>
    </w:lvl>
    <w:lvl w:ilvl="6" w:tentative="0">
      <w:start w:val="1"/>
      <w:numFmt w:val="decimal"/>
      <w:lvlText w:val="%7."/>
      <w:lvlJc w:val="left"/>
      <w:pPr>
        <w:ind w:left="2611" w:hanging="420"/>
      </w:pPr>
    </w:lvl>
    <w:lvl w:ilvl="7" w:tentative="0">
      <w:start w:val="1"/>
      <w:numFmt w:val="lowerLetter"/>
      <w:lvlText w:val="%8)"/>
      <w:lvlJc w:val="left"/>
      <w:pPr>
        <w:ind w:left="3031" w:hanging="420"/>
      </w:pPr>
    </w:lvl>
    <w:lvl w:ilvl="8" w:tentative="0">
      <w:start w:val="1"/>
      <w:numFmt w:val="lowerRoman"/>
      <w:lvlText w:val="%9."/>
      <w:lvlJc w:val="right"/>
      <w:pPr>
        <w:ind w:left="3451" w:hanging="420"/>
      </w:pPr>
    </w:lvl>
  </w:abstractNum>
  <w:abstractNum w:abstractNumId="3">
    <w:nsid w:val="2D7776E4"/>
    <w:multiLevelType w:val="multilevel"/>
    <w:tmpl w:val="2D7776E4"/>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70D5222"/>
    <w:multiLevelType w:val="multilevel"/>
    <w:tmpl w:val="570D5222"/>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C254537"/>
    <w:multiLevelType w:val="multilevel"/>
    <w:tmpl w:val="5C254537"/>
    <w:lvl w:ilvl="0" w:tentative="0">
      <w:start w:val="1"/>
      <w:numFmt w:val="decimal"/>
      <w:lvlText w:val="（%1）"/>
      <w:lvlJc w:val="left"/>
      <w:pPr>
        <w:ind w:left="1288" w:hanging="720"/>
      </w:pPr>
      <w:rPr>
        <w:rFonts w:hint="default"/>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6">
    <w:nsid w:val="78D274A2"/>
    <w:multiLevelType w:val="multilevel"/>
    <w:tmpl w:val="78D274A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3"/>
  </w:num>
  <w:num w:numId="3">
    <w:abstractNumId w:val="6"/>
  </w:num>
  <w:num w:numId="4">
    <w:abstractNumId w:val="1"/>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YzNDVjMzI2OTdkM2E0NzgyMTNjODc1NjFiNWJhNjQifQ=="/>
  </w:docVars>
  <w:rsids>
    <w:rsidRoot w:val="5DBF1FB0"/>
    <w:rsid w:val="0021087D"/>
    <w:rsid w:val="00310348"/>
    <w:rsid w:val="00776789"/>
    <w:rsid w:val="009C7E4B"/>
    <w:rsid w:val="009D1BDD"/>
    <w:rsid w:val="00AD7E16"/>
    <w:rsid w:val="00B219E7"/>
    <w:rsid w:val="00B273DF"/>
    <w:rsid w:val="00C3204F"/>
    <w:rsid w:val="00D94674"/>
    <w:rsid w:val="00E74F30"/>
    <w:rsid w:val="00F237D6"/>
    <w:rsid w:val="00F2533E"/>
    <w:rsid w:val="0D472FF0"/>
    <w:rsid w:val="0F6B0D90"/>
    <w:rsid w:val="1128725A"/>
    <w:rsid w:val="15A35D93"/>
    <w:rsid w:val="2B0F281A"/>
    <w:rsid w:val="2C0522C2"/>
    <w:rsid w:val="3787673F"/>
    <w:rsid w:val="3B371AB4"/>
    <w:rsid w:val="43257338"/>
    <w:rsid w:val="45240D47"/>
    <w:rsid w:val="49C56A6D"/>
    <w:rsid w:val="52965677"/>
    <w:rsid w:val="544A2E16"/>
    <w:rsid w:val="5DBF1FB0"/>
    <w:rsid w:val="656A666D"/>
    <w:rsid w:val="6A5A4B58"/>
    <w:rsid w:val="6C3D64DF"/>
    <w:rsid w:val="6F715165"/>
    <w:rsid w:val="74101C0A"/>
    <w:rsid w:val="78A56B0B"/>
    <w:rsid w:val="79FA2138"/>
    <w:rsid w:val="7A0F1C3B"/>
    <w:rsid w:val="7B3157F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无间隔1"/>
    <w:qFormat/>
    <w:uiPriority w:val="1"/>
    <w:pPr>
      <w:widowControl w:val="0"/>
      <w:spacing w:line="400" w:lineRule="exact"/>
      <w:jc w:val="both"/>
    </w:pPr>
    <w:rPr>
      <w:rFonts w:ascii="Calibri" w:hAnsi="Calibri" w:eastAsia="宋体" w:cs="Times New Roman"/>
      <w:kern w:val="2"/>
      <w:sz w:val="24"/>
      <w:szCs w:val="24"/>
      <w:lang w:val="en-US" w:eastAsia="zh-CN" w:bidi="ar-SA"/>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asciiTheme="minorHAnsi" w:hAnsiTheme="minorHAnsi" w:eastAsiaTheme="minorEastAsia"/>
      <w:kern w:val="0"/>
      <w:sz w:val="24"/>
    </w:rPr>
  </w:style>
  <w:style w:type="paragraph" w:styleId="8">
    <w:name w:val="List Paragraph"/>
    <w:basedOn w:val="1"/>
    <w:qFormat/>
    <w:uiPriority w:val="34"/>
    <w:pPr>
      <w:ind w:firstLine="420" w:firstLineChars="200"/>
    </w:pPr>
    <w:rPr>
      <w:rFonts w:ascii="Calibri" w:hAnsi="Calibri"/>
      <w:szCs w:val="22"/>
    </w:rPr>
  </w:style>
  <w:style w:type="character" w:customStyle="1" w:styleId="9">
    <w:name w:val="页眉 Char"/>
    <w:basedOn w:val="7"/>
    <w:link w:val="4"/>
    <w:qFormat/>
    <w:uiPriority w:val="0"/>
    <w:rPr>
      <w:kern w:val="2"/>
      <w:sz w:val="18"/>
      <w:szCs w:val="18"/>
    </w:rPr>
  </w:style>
  <w:style w:type="character" w:customStyle="1" w:styleId="10">
    <w:name w:val="页脚 Char"/>
    <w:basedOn w:val="7"/>
    <w:link w:val="3"/>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1206</Words>
  <Characters>1273</Characters>
  <Lines>1</Lines>
  <Paragraphs>2</Paragraphs>
  <TotalTime>46</TotalTime>
  <ScaleCrop>false</ScaleCrop>
  <LinksUpToDate>false</LinksUpToDate>
  <CharactersWithSpaces>1297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2022-03-27T09:16:00Z</dcterms:created>
  <dc:creator>尘</dc:creator>
  <cp:lastModifiedBy>Administrator</cp:lastModifiedBy>
  <dcterms:modified xsi:type="dcterms:W3CDTF">2024-09-02T08:16:26Z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54C49F0262304011A38E7D06F4EEA53C_13</vt:lpwstr>
  </property>
</Properties>
</file>