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30D10">
      <w:pPr>
        <w:widowControl/>
        <w:spacing w:line="594" w:lineRule="exact"/>
        <w:jc w:val="center"/>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中共桃江县委党校</w:t>
      </w:r>
    </w:p>
    <w:p w14:paraId="7AE003EB">
      <w:pPr>
        <w:widowControl/>
        <w:spacing w:line="594" w:lineRule="exact"/>
        <w:jc w:val="center"/>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lang w:eastAsia="zh-CN"/>
        </w:rPr>
        <w:t>202</w:t>
      </w:r>
      <w:r>
        <w:rPr>
          <w:rFonts w:hint="eastAsia" w:ascii="微软雅黑" w:hAnsi="微软雅黑" w:eastAsia="微软雅黑" w:cs="微软雅黑"/>
          <w:kern w:val="0"/>
          <w:sz w:val="36"/>
          <w:szCs w:val="36"/>
          <w:lang w:val="en-US" w:eastAsia="zh-CN"/>
        </w:rPr>
        <w:t>2</w:t>
      </w:r>
      <w:r>
        <w:rPr>
          <w:rFonts w:hint="eastAsia" w:ascii="微软雅黑" w:hAnsi="微软雅黑" w:eastAsia="微软雅黑" w:cs="微软雅黑"/>
          <w:kern w:val="0"/>
          <w:sz w:val="36"/>
          <w:szCs w:val="36"/>
        </w:rPr>
        <w:t>年度部门整体支出绩效报告</w:t>
      </w:r>
    </w:p>
    <w:p w14:paraId="00007ABC">
      <w:pPr>
        <w:widowControl/>
        <w:spacing w:line="594" w:lineRule="exact"/>
        <w:jc w:val="left"/>
        <w:rPr>
          <w:rFonts w:hint="eastAsia" w:ascii="仿宋_GB2312" w:hAnsi="仿宋_GB2312" w:eastAsia="仿宋_GB2312" w:cs="仿宋_GB2312"/>
          <w:kern w:val="0"/>
          <w:szCs w:val="32"/>
        </w:rPr>
      </w:pPr>
    </w:p>
    <w:p w14:paraId="5FD914B6">
      <w:pPr>
        <w:ind w:firstLine="630" w:firstLineChars="196"/>
        <w:rPr>
          <w:rFonts w:hint="eastAsia" w:ascii="仿宋_GB2312" w:hAnsi="仿宋_GB2312" w:eastAsia="仿宋_GB2312" w:cs="仿宋_GB2312"/>
          <w:b/>
          <w:bCs/>
          <w:szCs w:val="32"/>
        </w:rPr>
      </w:pPr>
      <w:r>
        <w:rPr>
          <w:rFonts w:hint="eastAsia" w:ascii="仿宋_GB2312" w:hAnsi="仿宋_GB2312" w:eastAsia="仿宋_GB2312" w:cs="仿宋_GB2312"/>
          <w:b/>
          <w:bCs/>
          <w:szCs w:val="32"/>
        </w:rPr>
        <w:t>一、部门概况</w:t>
      </w:r>
    </w:p>
    <w:p w14:paraId="7F93B2FF">
      <w:pPr>
        <w:spacing w:line="600" w:lineRule="exact"/>
        <w:ind w:firstLine="627" w:firstLineChars="200"/>
        <w:rPr>
          <w:rFonts w:hint="eastAsia" w:ascii="仿宋_GB2312" w:hAnsi="仿宋_GB2312" w:eastAsia="仿宋_GB2312" w:cs="仿宋_GB2312"/>
          <w:b/>
          <w:bCs/>
          <w:spacing w:val="-4"/>
          <w:szCs w:val="32"/>
        </w:rPr>
      </w:pPr>
      <w:r>
        <w:rPr>
          <w:rFonts w:hint="eastAsia" w:ascii="仿宋_GB2312" w:hAnsi="仿宋_GB2312" w:eastAsia="仿宋_GB2312" w:cs="仿宋_GB2312"/>
          <w:b/>
          <w:bCs/>
          <w:spacing w:val="-4"/>
          <w:szCs w:val="32"/>
        </w:rPr>
        <w:t>（一）部门基本情况</w:t>
      </w:r>
    </w:p>
    <w:p w14:paraId="7452275F">
      <w:pPr>
        <w:tabs>
          <w:tab w:val="left" w:pos="4320"/>
        </w:tabs>
        <w:spacing w:line="594" w:lineRule="exact"/>
        <w:ind w:firstLine="561" w:firstLineChars="18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中共桃江县委党校是县委直属正科级公益一类事业单位，与桃江县行政学校、桃江县社会主义学校合署办公，三块牌子一个机构。下设办公室、教研室、教务</w:t>
      </w:r>
      <w:r>
        <w:rPr>
          <w:rFonts w:hint="eastAsia" w:ascii="仿宋_GB2312" w:hAnsi="仿宋_GB2312" w:eastAsia="仿宋_GB2312" w:cs="仿宋_GB2312"/>
          <w:spacing w:val="-4"/>
          <w:szCs w:val="32"/>
          <w:lang w:val="en-US" w:eastAsia="zh-CN"/>
        </w:rPr>
        <w:t>股</w:t>
      </w:r>
      <w:r>
        <w:rPr>
          <w:rFonts w:hint="eastAsia" w:ascii="仿宋_GB2312" w:hAnsi="仿宋_GB2312" w:eastAsia="仿宋_GB2312" w:cs="仿宋_GB2312"/>
          <w:spacing w:val="-4"/>
          <w:szCs w:val="32"/>
        </w:rPr>
        <w:t>、行政</w:t>
      </w:r>
      <w:r>
        <w:rPr>
          <w:rFonts w:hint="eastAsia" w:ascii="仿宋_GB2312" w:hAnsi="仿宋_GB2312" w:eastAsia="仿宋_GB2312" w:cs="仿宋_GB2312"/>
          <w:spacing w:val="-4"/>
          <w:szCs w:val="32"/>
          <w:lang w:val="en-US" w:eastAsia="zh-CN"/>
        </w:rPr>
        <w:t>股</w:t>
      </w:r>
      <w:r>
        <w:rPr>
          <w:rFonts w:hint="eastAsia" w:ascii="仿宋_GB2312" w:hAnsi="仿宋_GB2312" w:eastAsia="仿宋_GB2312" w:cs="仿宋_GB2312"/>
          <w:spacing w:val="-4"/>
          <w:szCs w:val="32"/>
        </w:rPr>
        <w:t>、图书信息中心5个行政股室。核定编制</w:t>
      </w:r>
      <w:r>
        <w:rPr>
          <w:rFonts w:hint="eastAsia" w:ascii="仿宋_GB2312" w:hAnsi="仿宋_GB2312" w:eastAsia="仿宋_GB2312" w:cs="仿宋_GB2312"/>
          <w:spacing w:val="-4"/>
          <w:szCs w:val="32"/>
          <w:lang w:val="en-US" w:eastAsia="zh-CN"/>
        </w:rPr>
        <w:t>19</w:t>
      </w:r>
      <w:r>
        <w:rPr>
          <w:rFonts w:hint="eastAsia" w:ascii="仿宋_GB2312" w:hAnsi="仿宋_GB2312" w:eastAsia="仿宋_GB2312" w:cs="仿宋_GB2312"/>
          <w:spacing w:val="-4"/>
          <w:szCs w:val="32"/>
        </w:rPr>
        <w:t>名，其中行政编制</w:t>
      </w:r>
      <w:r>
        <w:rPr>
          <w:rFonts w:hint="eastAsia" w:ascii="仿宋_GB2312" w:hAnsi="仿宋_GB2312" w:eastAsia="仿宋_GB2312" w:cs="仿宋_GB2312"/>
          <w:spacing w:val="-4"/>
          <w:szCs w:val="32"/>
          <w:lang w:val="en-US" w:eastAsia="zh-CN"/>
        </w:rPr>
        <w:t>9</w:t>
      </w:r>
      <w:r>
        <w:rPr>
          <w:rFonts w:hint="eastAsia" w:ascii="仿宋_GB2312" w:hAnsi="仿宋_GB2312" w:eastAsia="仿宋_GB2312" w:cs="仿宋_GB2312"/>
          <w:spacing w:val="-4"/>
          <w:szCs w:val="32"/>
        </w:rPr>
        <w:t>名，事业编制</w:t>
      </w:r>
      <w:r>
        <w:rPr>
          <w:rFonts w:hint="eastAsia" w:ascii="仿宋_GB2312" w:hAnsi="仿宋_GB2312" w:eastAsia="仿宋_GB2312" w:cs="仿宋_GB2312"/>
          <w:spacing w:val="-4"/>
          <w:szCs w:val="32"/>
          <w:lang w:val="en-US" w:eastAsia="zh-CN"/>
        </w:rPr>
        <w:t>10</w:t>
      </w:r>
      <w:r>
        <w:rPr>
          <w:rFonts w:hint="eastAsia" w:ascii="仿宋_GB2312" w:hAnsi="仿宋_GB2312" w:eastAsia="仿宋_GB2312" w:cs="仿宋_GB2312"/>
          <w:spacing w:val="-4"/>
          <w:szCs w:val="32"/>
        </w:rPr>
        <w:t>名。</w:t>
      </w:r>
      <w:r>
        <w:rPr>
          <w:rFonts w:hint="eastAsia" w:ascii="仿宋_GB2312" w:hAnsi="仿宋_GB2312" w:eastAsia="仿宋_GB2312" w:cs="仿宋_GB2312"/>
          <w:spacing w:val="-4"/>
          <w:szCs w:val="32"/>
          <w:lang w:eastAsia="zh-CN"/>
        </w:rPr>
        <w:t>202</w:t>
      </w:r>
      <w:r>
        <w:rPr>
          <w:rFonts w:hint="eastAsia" w:ascii="仿宋_GB2312" w:hAnsi="仿宋_GB2312" w:eastAsia="仿宋_GB2312" w:cs="仿宋_GB2312"/>
          <w:spacing w:val="-4"/>
          <w:szCs w:val="32"/>
          <w:lang w:val="en-US" w:eastAsia="zh-CN"/>
        </w:rPr>
        <w:t>2</w:t>
      </w:r>
      <w:r>
        <w:rPr>
          <w:rFonts w:hint="eastAsia" w:ascii="仿宋_GB2312" w:hAnsi="仿宋_GB2312" w:eastAsia="仿宋_GB2312" w:cs="仿宋_GB2312"/>
          <w:spacing w:val="-4"/>
          <w:szCs w:val="32"/>
        </w:rPr>
        <w:t>年机关在职人员</w:t>
      </w:r>
      <w:r>
        <w:rPr>
          <w:rFonts w:hint="eastAsia" w:ascii="仿宋_GB2312" w:hAnsi="仿宋_GB2312" w:eastAsia="仿宋_GB2312" w:cs="仿宋_GB2312"/>
          <w:spacing w:val="-4"/>
          <w:szCs w:val="32"/>
          <w:lang w:val="en-US" w:eastAsia="zh-CN"/>
        </w:rPr>
        <w:t>19</w:t>
      </w:r>
      <w:r>
        <w:rPr>
          <w:rFonts w:hint="eastAsia" w:ascii="仿宋_GB2312" w:hAnsi="仿宋_GB2312" w:eastAsia="仿宋_GB2312" w:cs="仿宋_GB2312"/>
          <w:spacing w:val="-4"/>
          <w:szCs w:val="32"/>
        </w:rPr>
        <w:t>人，离休人员1人，退休人员14人。主要职能是</w:t>
      </w:r>
      <w:r>
        <w:rPr>
          <w:rFonts w:hint="eastAsia" w:ascii="仿宋_GB2312" w:hAnsi="仿宋_GB2312" w:eastAsia="仿宋_GB2312" w:cs="仿宋_GB2312"/>
          <w:spacing w:val="-2"/>
          <w:szCs w:val="32"/>
        </w:rPr>
        <w:t>轮训乡科级领导干部和基层党员干部</w:t>
      </w:r>
      <w:r>
        <w:rPr>
          <w:rFonts w:hint="eastAsia" w:ascii="仿宋_GB2312" w:hAnsi="仿宋_GB2312" w:eastAsia="仿宋_GB2312" w:cs="仿宋_GB2312"/>
          <w:spacing w:val="-2"/>
          <w:szCs w:val="32"/>
        </w:rPr>
        <w:t>；</w:t>
      </w:r>
      <w:r>
        <w:rPr>
          <w:rFonts w:hint="eastAsia" w:ascii="仿宋_GB2312" w:hAnsi="仿宋_GB2312" w:eastAsia="仿宋_GB2312" w:cs="仿宋_GB2312"/>
          <w:spacing w:val="-2"/>
          <w:szCs w:val="32"/>
        </w:rPr>
        <w:t>培训公务员和党外干部</w:t>
      </w:r>
      <w:r>
        <w:rPr>
          <w:rFonts w:hint="eastAsia" w:ascii="仿宋_GB2312" w:hAnsi="仿宋_GB2312" w:eastAsia="仿宋_GB2312" w:cs="仿宋_GB2312"/>
          <w:spacing w:val="-2"/>
          <w:szCs w:val="32"/>
        </w:rPr>
        <w:t>；</w:t>
      </w:r>
      <w:r>
        <w:rPr>
          <w:rFonts w:hint="eastAsia" w:ascii="仿宋_GB2312" w:hAnsi="仿宋_GB2312" w:eastAsia="仿宋_GB2312" w:cs="仿宋_GB2312"/>
          <w:spacing w:val="-2"/>
          <w:szCs w:val="32"/>
        </w:rPr>
        <w:t>培训中青年后备干部</w:t>
      </w:r>
      <w:r>
        <w:rPr>
          <w:rFonts w:hint="eastAsia" w:ascii="仿宋_GB2312" w:hAnsi="仿宋_GB2312" w:eastAsia="仿宋_GB2312" w:cs="仿宋_GB2312"/>
          <w:spacing w:val="-2"/>
          <w:szCs w:val="32"/>
        </w:rPr>
        <w:t>；</w:t>
      </w:r>
      <w:r>
        <w:rPr>
          <w:rFonts w:hint="eastAsia" w:ascii="仿宋_GB2312" w:hAnsi="仿宋_GB2312" w:eastAsia="仿宋_GB2312" w:cs="仿宋_GB2312"/>
          <w:spacing w:val="-2"/>
          <w:szCs w:val="32"/>
        </w:rPr>
        <w:t>培训从事意识形态工作的领导干部和理论骨干</w:t>
      </w:r>
      <w:r>
        <w:rPr>
          <w:rFonts w:hint="eastAsia" w:ascii="仿宋_GB2312" w:hAnsi="仿宋_GB2312" w:eastAsia="仿宋_GB2312" w:cs="仿宋_GB2312"/>
          <w:spacing w:val="-2"/>
          <w:szCs w:val="32"/>
        </w:rPr>
        <w:t>；</w:t>
      </w:r>
      <w:r>
        <w:rPr>
          <w:rFonts w:hint="eastAsia" w:ascii="仿宋_GB2312" w:hAnsi="仿宋_GB2312" w:eastAsia="仿宋_GB2312" w:cs="仿宋_GB2312"/>
          <w:spacing w:val="-2"/>
          <w:szCs w:val="32"/>
        </w:rPr>
        <w:t>协同组织人事部门，对学员在校期间进行考核考察</w:t>
      </w:r>
      <w:r>
        <w:rPr>
          <w:rFonts w:hint="eastAsia" w:ascii="仿宋_GB2312" w:hAnsi="仿宋_GB2312" w:eastAsia="仿宋_GB2312" w:cs="仿宋_GB2312"/>
          <w:spacing w:val="-2"/>
          <w:szCs w:val="32"/>
        </w:rPr>
        <w:t>；</w:t>
      </w:r>
      <w:r>
        <w:rPr>
          <w:rFonts w:hint="eastAsia" w:ascii="仿宋_GB2312" w:hAnsi="仿宋_GB2312" w:eastAsia="仿宋_GB2312" w:cs="仿宋_GB2312"/>
          <w:spacing w:val="-2"/>
          <w:szCs w:val="32"/>
        </w:rPr>
        <w:t>围绕国际国内出现的新情况、新问题，开展科学研究，承担上级下达的调研任务</w:t>
      </w:r>
      <w:r>
        <w:rPr>
          <w:rFonts w:hint="eastAsia" w:ascii="仿宋_GB2312" w:hAnsi="仿宋_GB2312" w:eastAsia="仿宋_GB2312" w:cs="仿宋_GB2312"/>
          <w:spacing w:val="-2"/>
          <w:szCs w:val="32"/>
        </w:rPr>
        <w:t>；</w:t>
      </w:r>
      <w:r>
        <w:rPr>
          <w:rFonts w:hint="eastAsia" w:ascii="仿宋_GB2312" w:hAnsi="仿宋_GB2312" w:eastAsia="仿宋_GB2312" w:cs="仿宋_GB2312"/>
          <w:spacing w:val="-2"/>
          <w:szCs w:val="32"/>
        </w:rPr>
        <w:t>承办县委、县政府交办的其他工作。</w:t>
      </w:r>
    </w:p>
    <w:p w14:paraId="00F857CF">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（二）部门整体支出规模和主要内容、涉及范围等</w:t>
      </w:r>
    </w:p>
    <w:p w14:paraId="5EBF2BFC">
      <w:pPr>
        <w:spacing w:line="600" w:lineRule="exact"/>
        <w:ind w:firstLine="624" w:firstLineChars="200"/>
        <w:rPr>
          <w:rFonts w:hint="eastAsia" w:ascii="仿宋_GB2312" w:hAnsi="仿宋_GB2312" w:eastAsia="仿宋_GB2312" w:cs="仿宋_GB2312"/>
          <w:spacing w:val="-4"/>
          <w:szCs w:val="32"/>
          <w:lang w:val="en-US" w:eastAsia="zh-CN"/>
        </w:rPr>
      </w:pPr>
      <w:r>
        <w:rPr>
          <w:rFonts w:hint="eastAsia" w:ascii="仿宋_GB2312" w:hAnsi="仿宋_GB2312" w:eastAsia="仿宋_GB2312" w:cs="仿宋_GB2312"/>
          <w:spacing w:val="-4"/>
          <w:szCs w:val="32"/>
          <w:lang w:eastAsia="zh-CN"/>
        </w:rPr>
        <w:t>202</w:t>
      </w:r>
      <w:r>
        <w:rPr>
          <w:rFonts w:hint="eastAsia" w:ascii="仿宋_GB2312" w:hAnsi="仿宋_GB2312" w:eastAsia="仿宋_GB2312" w:cs="仿宋_GB2312"/>
          <w:spacing w:val="-4"/>
          <w:szCs w:val="32"/>
          <w:lang w:val="en-US" w:eastAsia="zh-CN"/>
        </w:rPr>
        <w:t>2</w:t>
      </w:r>
      <w:r>
        <w:rPr>
          <w:rFonts w:hint="eastAsia" w:ascii="仿宋_GB2312" w:hAnsi="仿宋_GB2312" w:eastAsia="仿宋_GB2312" w:cs="仿宋_GB2312"/>
          <w:spacing w:val="-4"/>
          <w:szCs w:val="32"/>
        </w:rPr>
        <w:t>年部门整体支出规模为</w:t>
      </w:r>
      <w:r>
        <w:rPr>
          <w:rFonts w:hint="eastAsia" w:ascii="仿宋_GB2312" w:hAnsi="仿宋_GB2312" w:eastAsia="仿宋_GB2312" w:cs="仿宋_GB2312"/>
          <w:i w:val="0"/>
          <w:iCs w:val="0"/>
          <w:caps w:val="0"/>
          <w:color w:val="000000"/>
          <w:spacing w:val="0"/>
          <w:sz w:val="32"/>
          <w:szCs w:val="32"/>
        </w:rPr>
        <w:t>605.19</w:t>
      </w:r>
      <w:r>
        <w:rPr>
          <w:rFonts w:hint="eastAsia" w:ascii="仿宋_GB2312" w:hAnsi="仿宋_GB2312" w:eastAsia="仿宋_GB2312" w:cs="仿宋_GB2312"/>
          <w:spacing w:val="-4"/>
          <w:szCs w:val="32"/>
        </w:rPr>
        <w:t>万元，</w:t>
      </w:r>
      <w:r>
        <w:rPr>
          <w:rFonts w:hint="eastAsia" w:ascii="仿宋_GB2312" w:hAnsi="仿宋_GB2312" w:eastAsia="仿宋_GB2312" w:cs="仿宋_GB2312"/>
          <w:spacing w:val="-4"/>
          <w:szCs w:val="32"/>
          <w:lang w:eastAsia="zh-CN"/>
        </w:rPr>
        <w:t>人员经费</w:t>
      </w:r>
      <w:r>
        <w:rPr>
          <w:rFonts w:hint="eastAsia" w:ascii="仿宋_GB2312" w:hAnsi="仿宋_GB2312" w:eastAsia="仿宋_GB2312" w:cs="仿宋_GB2312"/>
          <w:spacing w:val="-4"/>
          <w:szCs w:val="32"/>
        </w:rPr>
        <w:t>为</w:t>
      </w:r>
      <w:r>
        <w:rPr>
          <w:rFonts w:hint="eastAsia" w:ascii="仿宋_GB2312" w:hAnsi="仿宋_GB2312" w:eastAsia="仿宋_GB2312" w:cs="仿宋_GB2312"/>
          <w:i w:val="0"/>
          <w:iCs w:val="0"/>
          <w:caps w:val="0"/>
          <w:color w:val="000000"/>
          <w:spacing w:val="0"/>
          <w:sz w:val="32"/>
          <w:szCs w:val="32"/>
        </w:rPr>
        <w:t>382.58</w:t>
      </w:r>
      <w:r>
        <w:rPr>
          <w:rFonts w:hint="eastAsia" w:ascii="仿宋_GB2312" w:hAnsi="仿宋_GB2312" w:eastAsia="仿宋_GB2312" w:cs="仿宋_GB2312"/>
          <w:spacing w:val="-4"/>
          <w:szCs w:val="32"/>
          <w:lang w:val="en-US" w:eastAsia="zh-CN"/>
        </w:rPr>
        <w:t>万，公用经费为</w:t>
      </w:r>
      <w:r>
        <w:rPr>
          <w:rFonts w:hint="eastAsia" w:ascii="仿宋_GB2312" w:hAnsi="仿宋_GB2312" w:eastAsia="仿宋_GB2312" w:cs="仿宋_GB2312"/>
          <w:i w:val="0"/>
          <w:iCs w:val="0"/>
          <w:caps w:val="0"/>
          <w:color w:val="000000"/>
          <w:spacing w:val="0"/>
          <w:sz w:val="32"/>
          <w:szCs w:val="32"/>
        </w:rPr>
        <w:t>71.38万</w:t>
      </w:r>
      <w:r>
        <w:rPr>
          <w:rFonts w:hint="eastAsia" w:ascii="仿宋_GB2312" w:hAnsi="仿宋_GB2312" w:eastAsia="仿宋_GB2312" w:cs="仿宋_GB2312"/>
          <w:spacing w:val="-4"/>
          <w:szCs w:val="32"/>
          <w:lang w:val="en-US" w:eastAsia="zh-CN"/>
        </w:rPr>
        <w:t>万。</w:t>
      </w:r>
    </w:p>
    <w:p w14:paraId="1EB4BEFF">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（三）项目绩效目标设立情况</w:t>
      </w:r>
    </w:p>
    <w:p w14:paraId="6BF1127B">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部门中长期绩效目标：以习近平新时代中国特色社会主义思想和党的十九大精神为指导，认真学习党的基本理论和基本知识，贯彻党的路线、方针、政策。</w:t>
      </w:r>
    </w:p>
    <w:p w14:paraId="37832F5C">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年度绩效目标：轮训乡科级领导干部和基层党员干部，培训公务员和党外干部，培训中青年后备干部，培训从事意识形态工作的领导干部和理论骨干，协同组织人事部门，对学员在校期间进行考核考察，围绕国际国内出现的新情况、新问题，开展科学研究，承担上级下达的调研任务，承办县委、县人民政府交办的其他工作。</w:t>
      </w:r>
    </w:p>
    <w:p w14:paraId="1F6881C8">
      <w:pPr>
        <w:widowControl/>
        <w:spacing w:line="594" w:lineRule="exact"/>
        <w:ind w:firstLine="643" w:firstLineChars="200"/>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二、部门整体支出管理及使用情况分析</w:t>
      </w:r>
    </w:p>
    <w:p w14:paraId="5A2A0174">
      <w:pPr>
        <w:spacing w:line="600" w:lineRule="exact"/>
        <w:ind w:firstLine="627" w:firstLineChars="200"/>
        <w:rPr>
          <w:rFonts w:hint="eastAsia" w:ascii="仿宋_GB2312" w:hAnsi="仿宋_GB2312" w:eastAsia="仿宋_GB2312" w:cs="仿宋_GB2312"/>
          <w:b/>
          <w:bCs w:val="0"/>
          <w:spacing w:val="-4"/>
          <w:szCs w:val="32"/>
        </w:rPr>
      </w:pPr>
      <w:r>
        <w:rPr>
          <w:rFonts w:hint="eastAsia" w:ascii="仿宋_GB2312" w:hAnsi="仿宋_GB2312" w:eastAsia="仿宋_GB2312" w:cs="仿宋_GB2312"/>
          <w:b/>
          <w:bCs w:val="0"/>
          <w:spacing w:val="-4"/>
          <w:szCs w:val="32"/>
        </w:rPr>
        <w:t>（一）基本支出</w:t>
      </w:r>
    </w:p>
    <w:p w14:paraId="4A83FDFD">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全年预算安排的基本支出为</w:t>
      </w:r>
      <w:r>
        <w:rPr>
          <w:rFonts w:hint="eastAsia" w:ascii="仿宋_GB2312" w:hAnsi="仿宋_GB2312" w:eastAsia="仿宋_GB2312" w:cs="仿宋_GB2312"/>
          <w:spacing w:val="-4"/>
          <w:szCs w:val="32"/>
          <w:lang w:val="en-US" w:eastAsia="zh-CN"/>
        </w:rPr>
        <w:t>453.96</w:t>
      </w:r>
      <w:r>
        <w:rPr>
          <w:rFonts w:hint="eastAsia" w:ascii="仿宋_GB2312" w:hAnsi="仿宋_GB2312" w:eastAsia="仿宋_GB2312" w:cs="仿宋_GB2312"/>
          <w:spacing w:val="-4"/>
          <w:szCs w:val="32"/>
        </w:rPr>
        <w:t>万元，其中：包括工资福利支出</w:t>
      </w:r>
      <w:r>
        <w:rPr>
          <w:rFonts w:hint="eastAsia" w:ascii="仿宋_GB2312" w:hAnsi="仿宋_GB2312" w:eastAsia="仿宋_GB2312" w:cs="仿宋_GB2312"/>
          <w:spacing w:val="-4"/>
          <w:szCs w:val="32"/>
          <w:lang w:val="en-US" w:eastAsia="zh-CN"/>
        </w:rPr>
        <w:t>365.24</w:t>
      </w:r>
      <w:r>
        <w:rPr>
          <w:rFonts w:hint="eastAsia" w:ascii="仿宋_GB2312" w:hAnsi="仿宋_GB2312" w:eastAsia="仿宋_GB2312" w:cs="仿宋_GB2312"/>
          <w:spacing w:val="-4"/>
          <w:szCs w:val="32"/>
        </w:rPr>
        <w:t>万元、对个人和家庭的补助支出</w:t>
      </w:r>
      <w:r>
        <w:rPr>
          <w:rFonts w:hint="eastAsia" w:ascii="仿宋_GB2312" w:hAnsi="仿宋_GB2312" w:eastAsia="仿宋_GB2312" w:cs="仿宋_GB2312"/>
          <w:spacing w:val="-4"/>
          <w:szCs w:val="32"/>
          <w:lang w:val="en-US" w:eastAsia="zh-CN"/>
        </w:rPr>
        <w:t>17.34</w:t>
      </w:r>
      <w:r>
        <w:rPr>
          <w:rFonts w:hint="eastAsia" w:ascii="仿宋_GB2312" w:hAnsi="仿宋_GB2312" w:eastAsia="仿宋_GB2312" w:cs="仿宋_GB2312"/>
          <w:spacing w:val="-4"/>
          <w:szCs w:val="32"/>
        </w:rPr>
        <w:t>万元，商品和服务支出</w:t>
      </w:r>
      <w:r>
        <w:rPr>
          <w:rFonts w:hint="eastAsia" w:ascii="仿宋_GB2312" w:hAnsi="仿宋_GB2312" w:eastAsia="仿宋_GB2312" w:cs="仿宋_GB2312"/>
          <w:spacing w:val="-4"/>
          <w:szCs w:val="32"/>
          <w:lang w:val="en-US" w:eastAsia="zh-CN"/>
        </w:rPr>
        <w:t>71.38</w:t>
      </w:r>
      <w:r>
        <w:rPr>
          <w:rFonts w:hint="eastAsia" w:ascii="仿宋_GB2312" w:hAnsi="仿宋_GB2312" w:eastAsia="仿宋_GB2312" w:cs="仿宋_GB2312"/>
          <w:spacing w:val="-4"/>
          <w:szCs w:val="32"/>
        </w:rPr>
        <w:t>万元。基本支出的主要用途是支付全体干职工的工资福利待遇，对个人和家庭进行适当补助，支付办公费用、公务用车费用、会议费用等。资金使用在财政局集中支付核算局的监督下使用，工资由财政统发中心代理。机关确立了会计、出纳等专职财务人员，建立了《机关财务制度》、《公务接待制度》、《公务用车制度》等，原则上每月会审联签报销当月的支出，各项制度能很好地执行。“三公”经费预算合计</w:t>
      </w:r>
      <w:r>
        <w:rPr>
          <w:rFonts w:hint="eastAsia" w:ascii="仿宋_GB2312" w:hAnsi="仿宋_GB2312" w:eastAsia="仿宋_GB2312" w:cs="仿宋_GB2312"/>
          <w:spacing w:val="-4"/>
          <w:szCs w:val="32"/>
          <w:lang w:val="en-US" w:eastAsia="zh-CN"/>
        </w:rPr>
        <w:t>1.01</w:t>
      </w:r>
      <w:r>
        <w:rPr>
          <w:rFonts w:hint="eastAsia" w:ascii="仿宋_GB2312" w:hAnsi="仿宋_GB2312" w:eastAsia="仿宋_GB2312" w:cs="仿宋_GB2312"/>
          <w:spacing w:val="-4"/>
          <w:szCs w:val="32"/>
        </w:rPr>
        <w:t>万元，其中： 公务接待费用</w:t>
      </w:r>
      <w:r>
        <w:rPr>
          <w:rFonts w:hint="eastAsia" w:ascii="仿宋_GB2312" w:hAnsi="仿宋_GB2312" w:eastAsia="仿宋_GB2312" w:cs="仿宋_GB2312"/>
          <w:spacing w:val="-4"/>
          <w:szCs w:val="32"/>
          <w:u w:val="single"/>
          <w:lang w:val="en-US" w:eastAsia="zh-CN"/>
        </w:rPr>
        <w:t>1.01</w:t>
      </w:r>
      <w:r>
        <w:rPr>
          <w:rFonts w:hint="eastAsia" w:ascii="仿宋_GB2312" w:hAnsi="仿宋_GB2312" w:eastAsia="仿宋_GB2312" w:cs="仿宋_GB2312"/>
          <w:spacing w:val="-4"/>
          <w:szCs w:val="32"/>
        </w:rPr>
        <w:t>万元。“三公”经费支出在年初的指标控制之下执行，预算、决算报表在桃江公众信息网上及时进行了公示，社会反响良好。</w:t>
      </w:r>
    </w:p>
    <w:p w14:paraId="25F97EA3">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（二）项目支出</w:t>
      </w:r>
      <w:r>
        <w:rPr>
          <w:rFonts w:hint="eastAsia" w:ascii="仿宋_GB2312" w:hAnsi="仿宋_GB2312" w:eastAsia="仿宋_GB2312" w:cs="仿宋_GB2312"/>
          <w:spacing w:val="-4"/>
          <w:szCs w:val="32"/>
        </w:rPr>
        <w:tab/>
      </w:r>
    </w:p>
    <w:p w14:paraId="3F951AF2">
      <w:pPr>
        <w:spacing w:line="600" w:lineRule="exact"/>
        <w:ind w:firstLine="624" w:firstLineChars="200"/>
        <w:rPr>
          <w:rFonts w:hint="eastAsia" w:ascii="仿宋_GB2312" w:hAnsi="仿宋_GB2312" w:eastAsia="仿宋_GB2312" w:cs="仿宋_GB2312"/>
          <w:spacing w:val="-4"/>
          <w:szCs w:val="32"/>
          <w:lang w:val="en-US" w:eastAsia="zh-CN"/>
        </w:rPr>
      </w:pPr>
      <w:r>
        <w:rPr>
          <w:rFonts w:hint="eastAsia" w:ascii="仿宋_GB2312" w:hAnsi="仿宋_GB2312" w:eastAsia="仿宋_GB2312" w:cs="仿宋_GB2312"/>
          <w:spacing w:val="-4"/>
          <w:szCs w:val="32"/>
        </w:rPr>
        <w:t>1. 项目资金（包括财政资金、自筹资金等）安排落实、总投入等情况分析。</w:t>
      </w:r>
      <w:r>
        <w:rPr>
          <w:rFonts w:hint="eastAsia" w:ascii="仿宋_GB2312" w:hAnsi="仿宋_GB2312" w:eastAsia="仿宋_GB2312" w:cs="仿宋_GB2312"/>
          <w:spacing w:val="-4"/>
          <w:szCs w:val="32"/>
          <w:lang w:eastAsia="zh-CN"/>
        </w:rPr>
        <w:t>202</w:t>
      </w:r>
      <w:r>
        <w:rPr>
          <w:rFonts w:hint="eastAsia" w:ascii="仿宋_GB2312" w:hAnsi="仿宋_GB2312" w:eastAsia="仿宋_GB2312" w:cs="仿宋_GB2312"/>
          <w:spacing w:val="-4"/>
          <w:szCs w:val="32"/>
          <w:lang w:val="en-US" w:eastAsia="zh-CN"/>
        </w:rPr>
        <w:t>2</w:t>
      </w:r>
      <w:r>
        <w:rPr>
          <w:rFonts w:hint="eastAsia" w:ascii="仿宋_GB2312" w:hAnsi="仿宋_GB2312" w:eastAsia="仿宋_GB2312" w:cs="仿宋_GB2312"/>
          <w:spacing w:val="-4"/>
          <w:szCs w:val="32"/>
        </w:rPr>
        <w:t>年县财政安排的项目支出为</w:t>
      </w:r>
      <w:r>
        <w:rPr>
          <w:rFonts w:hint="eastAsia" w:ascii="仿宋_GB2312" w:hAnsi="仿宋_GB2312" w:eastAsia="仿宋_GB2312" w:cs="仿宋_GB2312"/>
          <w:spacing w:val="-4"/>
          <w:szCs w:val="32"/>
          <w:u w:val="single"/>
          <w:lang w:val="en-US" w:eastAsia="zh-CN"/>
        </w:rPr>
        <w:t>71.38</w:t>
      </w:r>
      <w:r>
        <w:rPr>
          <w:rFonts w:hint="eastAsia" w:ascii="仿宋_GB2312" w:hAnsi="仿宋_GB2312" w:eastAsia="仿宋_GB2312" w:cs="仿宋_GB2312"/>
          <w:spacing w:val="-4"/>
          <w:szCs w:val="32"/>
        </w:rPr>
        <w:t xml:space="preserve">万元，包括：  </w:t>
      </w:r>
      <w:r>
        <w:rPr>
          <w:rFonts w:hint="eastAsia" w:ascii="仿宋_GB2312" w:hAnsi="仿宋_GB2312" w:eastAsia="仿宋_GB2312" w:cs="仿宋_GB2312"/>
          <w:spacing w:val="-4"/>
          <w:szCs w:val="32"/>
          <w:lang w:eastAsia="zh-CN"/>
        </w:rPr>
        <w:t>办公费</w:t>
      </w:r>
      <w:r>
        <w:rPr>
          <w:rFonts w:hint="eastAsia" w:ascii="仿宋_GB2312" w:hAnsi="仿宋_GB2312" w:eastAsia="仿宋_GB2312" w:cs="仿宋_GB2312"/>
          <w:spacing w:val="-4"/>
          <w:szCs w:val="32"/>
          <w:lang w:val="en-US" w:eastAsia="zh-CN"/>
        </w:rPr>
        <w:t>12万与其他项目经费69.38万</w:t>
      </w:r>
    </w:p>
    <w:p w14:paraId="144593EC">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2. 项目资金（主要指财政资金）实际使用情况分析。党校干部教育培训项目资金使用严格按照“经费跟着项目走”的原则，将县财政拨付的年度干部教育培训经费全部用于举办各类培训班次、党校教师进修、党校办公楼、教学楼、宿舍楼以及食堂维护，全年共使用培训经费</w:t>
      </w:r>
      <w:r>
        <w:rPr>
          <w:rFonts w:hint="eastAsia" w:ascii="仿宋_GB2312" w:hAnsi="仿宋_GB2312" w:eastAsia="仿宋_GB2312" w:cs="仿宋_GB2312"/>
          <w:spacing w:val="-4"/>
          <w:szCs w:val="32"/>
          <w:lang w:val="en-US" w:eastAsia="zh-CN"/>
        </w:rPr>
        <w:t>38</w:t>
      </w:r>
      <w:r>
        <w:rPr>
          <w:rFonts w:hint="eastAsia" w:ascii="仿宋_GB2312" w:hAnsi="仿宋_GB2312" w:eastAsia="仿宋_GB2312" w:cs="仿宋_GB2312"/>
          <w:spacing w:val="-4"/>
          <w:szCs w:val="32"/>
        </w:rPr>
        <w:t>万元，各类培训班均按原定计划完成培训任务。</w:t>
      </w:r>
    </w:p>
    <w:p w14:paraId="40CF5BCE">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3. 项目资金管理情况分析。党校按照县财政项目资金管理要求，严格遵守财务制度，规范项目资金管理，没有违反规定使用干部教育培训项目资金。</w:t>
      </w:r>
    </w:p>
    <w:p w14:paraId="2476A212">
      <w:pPr>
        <w:widowControl/>
        <w:spacing w:line="594" w:lineRule="exact"/>
        <w:ind w:firstLine="643" w:firstLineChars="200"/>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三、项目组织实施情况分析</w:t>
      </w:r>
    </w:p>
    <w:p w14:paraId="5D112A98">
      <w:pPr>
        <w:numPr>
          <w:ilvl w:val="0"/>
          <w:numId w:val="1"/>
        </w:numPr>
        <w:ind w:firstLine="640"/>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干部培训。</w:t>
      </w:r>
      <w:r>
        <w:rPr>
          <w:rFonts w:hint="eastAsia" w:ascii="仿宋_GB2312" w:hAnsi="仿宋_GB2312" w:eastAsia="仿宋_GB2312" w:cs="仿宋_GB2312"/>
          <w:spacing w:val="-4"/>
          <w:sz w:val="32"/>
          <w:szCs w:val="32"/>
          <w:lang w:val="en-US" w:eastAsia="zh-CN"/>
        </w:rPr>
        <w:t>先后举办科级领导干部专题讲座一期296人，中青年干部培训班一期53人，科级干部专题研修班一期41人，初任公务员培训班一期93人、桃江县第十三次党代</w:t>
      </w:r>
      <w:r>
        <w:rPr>
          <w:rFonts w:hint="eastAsia" w:ascii="仿宋_GB2312" w:hAnsi="仿宋_GB2312" w:eastAsia="仿宋_GB2312" w:cs="仿宋_GB2312"/>
          <w:color w:val="000000"/>
          <w:kern w:val="0"/>
          <w:sz w:val="32"/>
          <w:szCs w:val="32"/>
          <w:lang w:val="en-US" w:eastAsia="zh-CN"/>
        </w:rPr>
        <w:t>会生产和工作一线代表培训班一期120人，共培训人次 603人。主要做法：一是采取“请进来”、“走出去”的方式，请领导和专家教授进课堂， 提高了教学层次。邀请戴军教授、龙婧婧副教授等省市学术界名流、县委书记向荣书记带头的12名县级领导及县直相关部门负责人授课。二是丰富了教学形式。将“学员论坛”、“学员座谈”、“经验交流会”、“心得分享会”等活动融入课堂内容，如3月至4月，联合县纪</w:t>
      </w:r>
      <w:r>
        <w:rPr>
          <w:rFonts w:hint="eastAsia" w:ascii="仿宋_GB2312" w:hAnsi="仿宋_GB2312" w:eastAsia="仿宋_GB2312" w:cs="仿宋_GB2312"/>
          <w:spacing w:val="-4"/>
          <w:sz w:val="32"/>
          <w:szCs w:val="32"/>
          <w:lang w:val="en-US" w:eastAsia="zh-CN"/>
        </w:rPr>
        <w:t>委宣传部、驻县委组织部纪检组在“竹廉桃江”微信公众号开辟了“扣好人生第一粒扣子”廉政教育宣传专栏。创新性开展了情景模拟式教学、案例式教学、实地调查研究等教学模式。</w:t>
      </w:r>
      <w:r>
        <w:rPr>
          <w:rFonts w:hint="eastAsia" w:ascii="仿宋_GB2312" w:hAnsi="仿宋_GB2312" w:eastAsia="仿宋_GB2312" w:cs="仿宋_GB2312"/>
          <w:b/>
          <w:bCs/>
          <w:spacing w:val="-4"/>
          <w:sz w:val="32"/>
          <w:szCs w:val="32"/>
          <w:lang w:eastAsia="zh-CN"/>
        </w:rPr>
        <w:t>三</w:t>
      </w:r>
      <w:r>
        <w:rPr>
          <w:rFonts w:hint="eastAsia" w:ascii="仿宋_GB2312" w:hAnsi="仿宋_GB2312" w:eastAsia="仿宋_GB2312" w:cs="仿宋_GB2312"/>
          <w:spacing w:val="-4"/>
          <w:sz w:val="32"/>
          <w:szCs w:val="32"/>
          <w:lang w:eastAsia="zh-CN"/>
        </w:rPr>
        <w:t>是运用</w:t>
      </w:r>
      <w:r>
        <w:rPr>
          <w:rFonts w:hint="eastAsia" w:ascii="仿宋_GB2312" w:hAnsi="仿宋_GB2312" w:eastAsia="仿宋_GB2312" w:cs="仿宋_GB2312"/>
          <w:spacing w:val="-4"/>
          <w:szCs w:val="32"/>
          <w:lang w:eastAsia="zh-CN"/>
        </w:rPr>
        <w:t>了现代化的教学手段</w:t>
      </w:r>
      <w:r>
        <w:rPr>
          <w:rFonts w:hint="eastAsia" w:ascii="仿宋_GB2312" w:hAnsi="仿宋_GB2312" w:eastAsia="仿宋_GB2312" w:cs="仿宋_GB2312"/>
          <w:b/>
          <w:bCs/>
          <w:spacing w:val="-4"/>
          <w:sz w:val="32"/>
          <w:szCs w:val="32"/>
        </w:rPr>
        <w:t>。</w:t>
      </w:r>
      <w:r>
        <w:rPr>
          <w:rFonts w:hint="eastAsia" w:ascii="仿宋_GB2312" w:hAnsi="仿宋_GB2312" w:eastAsia="仿宋_GB2312" w:cs="仿宋_GB2312"/>
          <w:spacing w:val="-4"/>
          <w:sz w:val="32"/>
          <w:szCs w:val="32"/>
        </w:rPr>
        <w:t>在大部分课程的教学中，我们采</w:t>
      </w:r>
      <w:r>
        <w:rPr>
          <w:rFonts w:hint="eastAsia" w:ascii="仿宋_GB2312" w:hAnsi="仿宋_GB2312" w:eastAsia="仿宋_GB2312" w:cs="仿宋_GB2312"/>
          <w:spacing w:val="-4"/>
          <w:szCs w:val="32"/>
          <w:lang w:eastAsia="zh-CN"/>
        </w:rPr>
        <w:t>取了电脑课件投影教学的形式，很直观，很方便，非常便于大</w:t>
      </w:r>
      <w:r>
        <w:rPr>
          <w:rFonts w:hint="eastAsia" w:ascii="仿宋_GB2312" w:hAnsi="仿宋_GB2312" w:eastAsia="仿宋_GB2312" w:cs="仿宋_GB2312"/>
          <w:spacing w:val="-4"/>
          <w:szCs w:val="32"/>
        </w:rPr>
        <w:t>家学习和记录，效果很好。既增强了大家的学习兴趣，</w:t>
      </w:r>
      <w:r>
        <w:rPr>
          <w:rFonts w:hint="eastAsia" w:ascii="仿宋_GB2312" w:hAnsi="仿宋_GB2312" w:eastAsia="仿宋_GB2312" w:cs="仿宋_GB2312"/>
          <w:spacing w:val="-4"/>
          <w:szCs w:val="32"/>
          <w:lang w:eastAsia="zh-CN"/>
        </w:rPr>
        <w:t>又</w:t>
      </w:r>
      <w:r>
        <w:rPr>
          <w:rFonts w:hint="eastAsia" w:ascii="仿宋_GB2312" w:hAnsi="仿宋_GB2312" w:eastAsia="仿宋_GB2312" w:cs="仿宋_GB2312"/>
          <w:spacing w:val="-4"/>
          <w:szCs w:val="32"/>
        </w:rPr>
        <w:t>拓宽了教学内容，拓展了大家的知识面。</w:t>
      </w:r>
      <w:r>
        <w:rPr>
          <w:rFonts w:hint="eastAsia" w:ascii="仿宋_GB2312" w:hAnsi="仿宋_GB2312" w:eastAsia="仿宋_GB2312" w:cs="仿宋_GB2312"/>
          <w:spacing w:val="-4"/>
          <w:szCs w:val="32"/>
          <w:lang w:val="en-US" w:eastAsia="zh-CN"/>
        </w:rPr>
        <w:t>四是</w:t>
      </w:r>
      <w:r>
        <w:rPr>
          <w:rFonts w:hint="eastAsia" w:ascii="仿宋_GB2312" w:hAnsi="仿宋_GB2312" w:eastAsia="仿宋_GB2312" w:cs="仿宋_GB2312"/>
          <w:spacing w:val="-4"/>
          <w:szCs w:val="32"/>
        </w:rPr>
        <w:t>强化学员管理，严格规范干部培训</w:t>
      </w:r>
      <w:r>
        <w:rPr>
          <w:rFonts w:hint="eastAsia" w:ascii="仿宋_GB2312" w:hAnsi="仿宋_GB2312" w:eastAsia="仿宋_GB2312" w:cs="仿宋_GB2312"/>
          <w:spacing w:val="-4"/>
          <w:szCs w:val="32"/>
          <w:lang w:eastAsia="zh-CN"/>
        </w:rPr>
        <w:t>。</w:t>
      </w:r>
      <w:r>
        <w:rPr>
          <w:rFonts w:hint="eastAsia" w:ascii="仿宋_GB2312" w:hAnsi="仿宋_GB2312" w:eastAsia="仿宋_GB2312" w:cs="仿宋_GB2312"/>
          <w:spacing w:val="-4"/>
          <w:szCs w:val="32"/>
          <w:lang w:val="en-US" w:eastAsia="zh-CN"/>
        </w:rPr>
        <w:t>一方面</w:t>
      </w:r>
      <w:r>
        <w:rPr>
          <w:rFonts w:hint="eastAsia" w:ascii="仿宋_GB2312" w:hAnsi="仿宋_GB2312" w:eastAsia="仿宋_GB2312" w:cs="仿宋_GB2312"/>
          <w:spacing w:val="-4"/>
          <w:szCs w:val="32"/>
        </w:rPr>
        <w:t>狠抓学员的常规管理</w:t>
      </w:r>
      <w:r>
        <w:rPr>
          <w:rFonts w:hint="eastAsia" w:ascii="仿宋_GB2312" w:hAnsi="仿宋_GB2312" w:eastAsia="仿宋_GB2312" w:cs="仿宋_GB2312"/>
          <w:spacing w:val="-4"/>
          <w:szCs w:val="32"/>
          <w:lang w:eastAsia="zh-CN"/>
        </w:rPr>
        <w:t>。</w:t>
      </w:r>
      <w:r>
        <w:rPr>
          <w:rFonts w:hint="eastAsia" w:ascii="仿宋_GB2312" w:hAnsi="仿宋_GB2312" w:eastAsia="仿宋_GB2312" w:cs="仿宋_GB2312"/>
          <w:spacing w:val="-4"/>
          <w:szCs w:val="32"/>
        </w:rPr>
        <w:t>对学员常规管理</w:t>
      </w:r>
      <w:r>
        <w:rPr>
          <w:rFonts w:hint="eastAsia" w:ascii="仿宋_GB2312" w:hAnsi="仿宋_GB2312" w:eastAsia="仿宋_GB2312" w:cs="仿宋_GB2312"/>
          <w:spacing w:val="-4"/>
          <w:sz w:val="32"/>
          <w:szCs w:val="32"/>
        </w:rPr>
        <w:t>实行班主任负责制，对学员进行量化考核。</w:t>
      </w:r>
      <w:r>
        <w:rPr>
          <w:rFonts w:hint="eastAsia" w:ascii="仿宋_GB2312" w:hAnsi="仿宋_GB2312" w:eastAsia="仿宋_GB2312" w:cs="仿宋_GB2312"/>
          <w:spacing w:val="-4"/>
          <w:sz w:val="32"/>
          <w:szCs w:val="32"/>
          <w:lang w:val="en-US" w:eastAsia="zh-CN"/>
        </w:rPr>
        <w:t>另一方面</w:t>
      </w:r>
      <w:r>
        <w:rPr>
          <w:rFonts w:hint="eastAsia" w:ascii="仿宋_GB2312" w:hAnsi="仿宋_GB2312" w:eastAsia="仿宋_GB2312" w:cs="仿宋_GB2312"/>
          <w:spacing w:val="-4"/>
          <w:sz w:val="32"/>
          <w:szCs w:val="32"/>
        </w:rPr>
        <w:t>强化学员的自我管理意识</w:t>
      </w:r>
      <w:r>
        <w:rPr>
          <w:rFonts w:hint="eastAsia" w:ascii="仿宋_GB2312" w:hAnsi="仿宋_GB2312" w:eastAsia="仿宋_GB2312" w:cs="仿宋_GB2312"/>
          <w:spacing w:val="-4"/>
          <w:sz w:val="32"/>
          <w:szCs w:val="32"/>
          <w:lang w:eastAsia="zh-CN"/>
        </w:rPr>
        <w:t>。</w:t>
      </w:r>
    </w:p>
    <w:p w14:paraId="20E9A52D">
      <w:pPr>
        <w:spacing w:after="0" w:line="600" w:lineRule="exact"/>
        <w:ind w:firstLine="640" w:firstLineChars="200"/>
        <w:jc w:val="left"/>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z w:val="32"/>
          <w:szCs w:val="32"/>
        </w:rPr>
        <w:t>（二）科</w:t>
      </w:r>
      <w:r>
        <w:rPr>
          <w:rFonts w:hint="eastAsia" w:ascii="仿宋_GB2312" w:hAnsi="仿宋_GB2312" w:eastAsia="仿宋_GB2312" w:cs="仿宋_GB2312"/>
          <w:color w:val="000000"/>
          <w:kern w:val="0"/>
          <w:sz w:val="32"/>
          <w:szCs w:val="32"/>
          <w:lang w:val="en-US" w:eastAsia="zh-CN"/>
        </w:rPr>
        <w:t>研咨政。一是紧紧围绕“三个结合”展开科研，科研工作稳步推进。课题立项：省党校系统社科类规划课题《桃江县粮食安全与产业发展研究》圆满结项；向市社科联申报《永远为人民而奋斗——十八洞村脱贫攻坚的启示》等3个课题成功获批立项。理论研讨：向</w:t>
      </w:r>
      <w:r>
        <w:rPr>
          <w:rFonts w:hint="eastAsia" w:ascii="仿宋_GB2312" w:hAnsi="仿宋_GB2312" w:eastAsia="仿宋_GB2312" w:cs="仿宋_GB2312"/>
          <w:color w:val="000000"/>
          <w:kern w:val="0"/>
          <w:sz w:val="32"/>
          <w:szCs w:val="32"/>
          <w:lang w:eastAsia="zh-CN"/>
        </w:rPr>
        <w:t>芸珂、</w:t>
      </w:r>
      <w:r>
        <w:rPr>
          <w:rFonts w:hint="eastAsia" w:ascii="仿宋_GB2312" w:hAnsi="仿宋_GB2312" w:eastAsia="仿宋_GB2312" w:cs="仿宋_GB2312"/>
          <w:color w:val="000000"/>
          <w:kern w:val="0"/>
          <w:sz w:val="32"/>
          <w:szCs w:val="32"/>
          <w:lang w:val="en-US" w:eastAsia="zh-CN"/>
        </w:rPr>
        <w:t>肖胜男、胡娟、让楚仕、何婷等同志的9篇论文获省级奖励，8篇论文获市级奖励；《从“邻避”到“邻喜”的转变——益阳市生活垃圾焚烧发电厂的实践探》《文化振兴助力乡村振兴的大华实践》入选市委党校系统案例教材编写；在《湖南党校报》《新益阳研究》发表论文各1篇；</w:t>
      </w:r>
      <w:r>
        <w:rPr>
          <w:rFonts w:hint="eastAsia" w:ascii="仿宋_GB2312" w:hAnsi="仿宋_GB2312" w:eastAsia="仿宋_GB2312" w:cs="仿宋_GB2312"/>
          <w:color w:val="000000"/>
          <w:kern w:val="0"/>
          <w:sz w:val="32"/>
          <w:szCs w:val="32"/>
          <w:lang w:eastAsia="zh-CN"/>
        </w:rPr>
        <w:t>组织举办了“发扬挺抢作风喜迎党的二十大”主题征文活动和“发扬挺抢作风永葆清廉本色争做有为青年”理论研讨会；</w:t>
      </w:r>
      <w:r>
        <w:rPr>
          <w:rFonts w:hint="eastAsia" w:ascii="仿宋_GB2312" w:hAnsi="仿宋_GB2312" w:eastAsia="仿宋_GB2312" w:cs="仿宋_GB2312"/>
          <w:sz w:val="32"/>
          <w:szCs w:val="32"/>
          <w:lang w:val="en-US" w:eastAsia="zh-CN"/>
        </w:rPr>
        <w:t>承办了桃江县学习贯彻《习近平谈治国理政》第四卷暨“学金句 展成就 喜迎党的二十大”理论微宣讲比赛复赛、决赛。</w:t>
      </w:r>
      <w:r>
        <w:rPr>
          <w:rFonts w:hint="eastAsia" w:ascii="仿宋_GB2312" w:hAnsi="仿宋_GB2312" w:eastAsia="仿宋_GB2312" w:cs="仿宋_GB2312"/>
          <w:spacing w:val="-4"/>
          <w:sz w:val="32"/>
          <w:szCs w:val="32"/>
          <w:lang w:val="en-US" w:eastAsia="zh-CN"/>
        </w:rPr>
        <w:t>县情调研：成立了笋竹产业等专题调研组，由校委领导带队，骨干力量组成专题调研组，通过问卷调查、集体访谈、个别走访、实地考察等进行深入调研，并形成调研报告。围绕县委中心工作开展了“平安桃江”、“乡村振兴”、“乡村文化助力乡村振兴——大华实践”、“益阳市西部片区垃圾焚烧发电项目的实践探索”等调研活动。二是积极开展系列教研活动，促进教学质量提高。跟班听课：组织所有专职教师在没有其他工作任务时，进主体班课堂进行跟班听课，为他们今后的教学中积累了丰富经验。集体备课：实行集体备课与新课试讲制度，开发教学新专题。送课下基层：以“习近平新时代中国特色社会主义”、乡村振兴战略、弘扬抗疫精神、党的二十大宣讲为主题，面向全县深入开展 “送党课下基层”活动， 采取送课上门的方式，完成送党课进县直、下基层35堂，受众1万余人次。</w:t>
      </w:r>
    </w:p>
    <w:p w14:paraId="5C5525CB">
      <w:pPr>
        <w:spacing w:after="0" w:line="600" w:lineRule="exact"/>
        <w:ind w:firstLine="640" w:firstLineChars="200"/>
        <w:jc w:val="left"/>
        <w:rPr>
          <w:rFonts w:hint="eastAsia" w:ascii="仿宋_GB2312" w:hAnsi="仿宋_GB2312" w:eastAsia="仿宋_GB2312" w:cs="仿宋_GB2312"/>
          <w:sz w:val="21"/>
          <w:szCs w:val="2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其他工作</w:t>
      </w:r>
      <w:r>
        <w:rPr>
          <w:rFonts w:hint="eastAsia" w:ascii="仿宋_GB2312" w:hAnsi="仿宋_GB2312" w:eastAsia="仿宋_GB2312" w:cs="仿宋_GB2312"/>
          <w:sz w:val="32"/>
          <w:szCs w:val="32"/>
        </w:rPr>
        <w:t>。</w:t>
      </w:r>
      <w:r>
        <w:rPr>
          <w:rFonts w:hint="eastAsia" w:ascii="仿宋_GB2312" w:hAnsi="仿宋_GB2312" w:eastAsia="仿宋_GB2312" w:cs="仿宋_GB2312"/>
          <w:spacing w:val="-4"/>
          <w:sz w:val="32"/>
          <w:szCs w:val="32"/>
          <w:lang w:val="en-US" w:eastAsia="zh-CN"/>
        </w:rPr>
        <w:t>一是办学质量评估工作。我校接受了益阳市委党校（益阳行政学院）联合市委组织部开展的办学质量评估工作，以总分182.7分排全市第一，评估结果为优秀，其中积极开展“菜单式”教学改革等多项工作在评估工作中定为亮点工作；二是疫情防控集中隔离工作。我校作为我县新冠肺炎集中管理医学观察隔离点，2022年共接收集中隔离观察人员120多人次，较好地做好了隔离人员各项隔离服务工作,确保了集中隔离人员零感染，管理工作零失误，工作成效突出；三是校园基础设施建设工作。2022年我校</w:t>
      </w:r>
      <w:r>
        <w:rPr>
          <w:rFonts w:hint="eastAsia" w:ascii="仿宋_GB2312" w:hAnsi="仿宋_GB2312" w:eastAsia="仿宋_GB2312" w:cs="仿宋_GB2312"/>
          <w:sz w:val="32"/>
          <w:szCs w:val="32"/>
          <w:lang w:val="en-US" w:eastAsia="zh-CN"/>
        </w:rPr>
        <w:t>为T型教室添设了电子显示屏，对校园停车位重新规划划线，完善了篮球场、羽毛球场等各类运动场地的建设，新建校园文化墙等，基础设施条件得到较好改善。</w:t>
      </w:r>
      <w:r>
        <w:rPr>
          <w:rFonts w:hint="eastAsia" w:ascii="仿宋_GB2312" w:hAnsi="仿宋_GB2312" w:eastAsia="仿宋_GB2312" w:cs="仿宋_GB2312"/>
          <w:spacing w:val="-4"/>
          <w:sz w:val="32"/>
          <w:szCs w:val="32"/>
          <w:lang w:val="en-US" w:eastAsia="zh-CN"/>
        </w:rPr>
        <w:t>四是</w:t>
      </w:r>
      <w:r>
        <w:rPr>
          <w:rFonts w:hint="eastAsia" w:ascii="仿宋_GB2312" w:hAnsi="仿宋_GB2312" w:eastAsia="仿宋_GB2312" w:cs="仿宋_GB2312"/>
          <w:sz w:val="32"/>
          <w:szCs w:val="32"/>
          <w:lang w:val="en-US" w:eastAsia="zh-CN"/>
        </w:rPr>
        <w:t>积极完成全国文明城市和国家卫生县创建工作、巩固拓展脱贫攻坚成果与乡村振兴有效衔接、生态文明示范县建设等相关工作。</w:t>
      </w:r>
    </w:p>
    <w:p w14:paraId="41874DAF">
      <w:pPr>
        <w:widowControl/>
        <w:spacing w:line="594" w:lineRule="exact"/>
        <w:ind w:firstLine="643" w:firstLineChars="200"/>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四、部门整体支出绩效情况分析</w:t>
      </w:r>
    </w:p>
    <w:p w14:paraId="17A76D70">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部门整体支出的绩效表现在：</w:t>
      </w:r>
      <w:r>
        <w:rPr>
          <w:rFonts w:hint="eastAsia" w:ascii="仿宋_GB2312" w:hAnsi="仿宋_GB2312" w:eastAsia="仿宋_GB2312" w:cs="仿宋_GB2312"/>
          <w:spacing w:val="-4"/>
          <w:szCs w:val="32"/>
          <w:lang w:eastAsia="zh-CN"/>
        </w:rPr>
        <w:t>202</w:t>
      </w:r>
      <w:r>
        <w:rPr>
          <w:rFonts w:hint="eastAsia" w:ascii="仿宋_GB2312" w:hAnsi="仿宋_GB2312" w:eastAsia="仿宋_GB2312" w:cs="仿宋_GB2312"/>
          <w:spacing w:val="-4"/>
          <w:szCs w:val="32"/>
          <w:lang w:val="en-US" w:eastAsia="zh-CN"/>
        </w:rPr>
        <w:t>2</w:t>
      </w:r>
      <w:r>
        <w:rPr>
          <w:rFonts w:hint="eastAsia" w:ascii="仿宋_GB2312" w:hAnsi="仿宋_GB2312" w:eastAsia="仿宋_GB2312" w:cs="仿宋_GB2312"/>
          <w:spacing w:val="-4"/>
          <w:szCs w:val="32"/>
        </w:rPr>
        <w:t>年，我校以绩效目标实现为导向，进一步加强制度建设，提升自评质量，预算绩效管理取得新成效。一是抓好绩效目标编制，及时报送绩效目标。二是探索绩效跟踪监控。三是深入开展支出绩效评价，对专项资金实施绩效自评和项目核查，四是强化评价结果应用，组织绩效自评和绩效跟踪监控，对发现的问题用时改进，加强评价结果和项目资金安排的衔接。五是健全绩效管理工作机制，明确职责分工，努力提高了绩效管理工作水平。</w:t>
      </w:r>
    </w:p>
    <w:p w14:paraId="7757A494">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主要履职情况和履职效益表现在：一是基础工作管理。校委班子非常重视预算绩效管理工作，对该项工作给予大力支持和指导。二是绩效目标管理。我校严格按照上级的要求在规定的时间报送绩效目标申报。</w:t>
      </w:r>
      <w:r>
        <w:rPr>
          <w:rFonts w:hint="eastAsia" w:ascii="仿宋_GB2312" w:hAnsi="仿宋_GB2312" w:eastAsia="仿宋_GB2312" w:cs="仿宋_GB2312"/>
          <w:spacing w:val="-4"/>
          <w:szCs w:val="32"/>
          <w:lang w:eastAsia="zh-CN"/>
        </w:rPr>
        <w:t>202</w:t>
      </w:r>
      <w:r>
        <w:rPr>
          <w:rFonts w:hint="eastAsia" w:ascii="仿宋_GB2312" w:hAnsi="仿宋_GB2312" w:eastAsia="仿宋_GB2312" w:cs="仿宋_GB2312"/>
          <w:spacing w:val="-4"/>
          <w:szCs w:val="32"/>
          <w:lang w:val="en-US" w:eastAsia="zh-CN"/>
        </w:rPr>
        <w:t>2</w:t>
      </w:r>
      <w:r>
        <w:rPr>
          <w:rFonts w:hint="eastAsia" w:ascii="仿宋_GB2312" w:hAnsi="仿宋_GB2312" w:eastAsia="仿宋_GB2312" w:cs="仿宋_GB2312"/>
          <w:spacing w:val="-4"/>
          <w:szCs w:val="32"/>
        </w:rPr>
        <w:t>年对全校整体支出设定绩效目标评价，对主体班培训经费和其他专项经费进行绩效目标管理。三是项目实施管理。</w:t>
      </w:r>
      <w:r>
        <w:rPr>
          <w:rFonts w:hint="eastAsia" w:ascii="仿宋_GB2312" w:hAnsi="仿宋_GB2312" w:eastAsia="仿宋_GB2312" w:cs="仿宋_GB2312"/>
          <w:spacing w:val="-4"/>
          <w:sz w:val="32"/>
          <w:szCs w:val="32"/>
          <w:lang w:val="en-US" w:eastAsia="zh-CN"/>
        </w:rPr>
        <w:t>先后举办科级领导干部专题讲座一期296人，中青年干部培训班一期53人，科级干部专题研修班一期41人，初任公务员培训班一期93人、桃江县第十三次党代会生产和工作一线代表培训班一期120人，共培训人次 603人。</w:t>
      </w:r>
      <w:r>
        <w:rPr>
          <w:rFonts w:hint="eastAsia" w:ascii="仿宋_GB2312" w:hAnsi="仿宋_GB2312" w:eastAsia="仿宋_GB2312" w:cs="仿宋_GB2312"/>
          <w:szCs w:val="32"/>
        </w:rPr>
        <w:t>派出</w:t>
      </w:r>
      <w:r>
        <w:rPr>
          <w:rFonts w:hint="eastAsia" w:ascii="仿宋_GB2312" w:hAnsi="仿宋_GB2312" w:eastAsia="仿宋_GB2312" w:cs="仿宋_GB2312"/>
          <w:szCs w:val="32"/>
          <w:lang w:eastAsia="zh-CN"/>
        </w:rPr>
        <w:t>若干名</w:t>
      </w:r>
      <w:r>
        <w:rPr>
          <w:rFonts w:hint="eastAsia" w:ascii="仿宋_GB2312" w:hAnsi="仿宋_GB2312" w:eastAsia="仿宋_GB2312" w:cs="仿宋_GB2312"/>
          <w:szCs w:val="32"/>
        </w:rPr>
        <w:t>名教师分别到</w:t>
      </w:r>
      <w:r>
        <w:rPr>
          <w:rFonts w:hint="eastAsia" w:ascii="仿宋_GB2312" w:hAnsi="仿宋_GB2312" w:eastAsia="仿宋_GB2312" w:cs="仿宋_GB2312"/>
          <w:szCs w:val="32"/>
          <w:lang w:eastAsia="zh-CN"/>
        </w:rPr>
        <w:t>全国各大</w:t>
      </w:r>
      <w:r>
        <w:rPr>
          <w:rFonts w:hint="eastAsia" w:ascii="仿宋_GB2312" w:hAnsi="仿宋_GB2312" w:eastAsia="仿宋_GB2312" w:cs="仿宋_GB2312"/>
          <w:szCs w:val="32"/>
        </w:rPr>
        <w:t>院校进行培训学习。</w:t>
      </w:r>
      <w:r>
        <w:rPr>
          <w:rFonts w:hint="eastAsia" w:ascii="仿宋_GB2312" w:hAnsi="仿宋_GB2312" w:eastAsia="仿宋_GB2312" w:cs="仿宋_GB2312"/>
          <w:spacing w:val="-4"/>
          <w:szCs w:val="32"/>
        </w:rPr>
        <w:t>今年共组织学校老师集体备课2次，开发新专题5个，</w:t>
      </w:r>
      <w:r>
        <w:rPr>
          <w:rFonts w:hint="eastAsia" w:ascii="仿宋_GB2312" w:hAnsi="仿宋_GB2312" w:eastAsia="仿宋_GB2312" w:cs="仿宋_GB2312"/>
          <w:szCs w:val="32"/>
        </w:rPr>
        <w:t>通过组织试讲全部获准进课堂</w:t>
      </w:r>
      <w:r>
        <w:rPr>
          <w:rFonts w:hint="eastAsia" w:ascii="仿宋_GB2312" w:hAnsi="仿宋_GB2312" w:eastAsia="仿宋_GB2312" w:cs="仿宋_GB2312"/>
          <w:spacing w:val="-4"/>
          <w:szCs w:val="32"/>
        </w:rPr>
        <w:t>。</w:t>
      </w:r>
    </w:p>
    <w:p w14:paraId="6AA8B286">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 xml:space="preserve">经过综合评估，部门整体支出的经济性、效率性、有效性和可持续性等方面都达到财政绩效管理的要求。机关实施精细化考核管理，年终进行绩效考核评比。 </w:t>
      </w:r>
    </w:p>
    <w:p w14:paraId="6258A2E4">
      <w:pPr>
        <w:widowControl/>
        <w:spacing w:line="594" w:lineRule="exact"/>
        <w:ind w:firstLine="643" w:firstLineChars="200"/>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五、绩效评价工作开展情况</w:t>
      </w:r>
    </w:p>
    <w:p w14:paraId="00644791">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（一）绩效评价目的</w:t>
      </w:r>
    </w:p>
    <w:p w14:paraId="0C071A10">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党校非经济管理部门，本次绩效评价主要是侧重对部门整体支出的政治效益和社会效益的评价。</w:t>
      </w:r>
    </w:p>
    <w:p w14:paraId="7C56B32A">
      <w:pPr>
        <w:widowControl/>
        <w:numPr>
          <w:ilvl w:val="0"/>
          <w:numId w:val="2"/>
        </w:numPr>
        <w:spacing w:line="594"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绩效评价工作过程</w:t>
      </w:r>
    </w:p>
    <w:p w14:paraId="05B7A3C7">
      <w:pPr>
        <w:spacing w:line="600" w:lineRule="exact"/>
        <w:ind w:firstLine="624" w:firstLineChars="200"/>
        <w:rPr>
          <w:rFonts w:hint="eastAsia" w:ascii="仿宋_GB2312" w:hAnsi="仿宋_GB2312" w:eastAsia="仿宋_GB2312" w:cs="仿宋_GB2312"/>
          <w:kern w:val="0"/>
          <w:szCs w:val="32"/>
        </w:rPr>
      </w:pPr>
      <w:r>
        <w:rPr>
          <w:rFonts w:hint="eastAsia" w:ascii="仿宋_GB2312" w:hAnsi="仿宋_GB2312" w:eastAsia="仿宋_GB2312" w:cs="仿宋_GB2312"/>
          <w:spacing w:val="-4"/>
          <w:szCs w:val="32"/>
        </w:rPr>
        <w:t>我们对部门整体支出评价进行了前期准备，对一年来的基本支出和项目资金使用情况进行了梳理和讨论。根据党校校委班子的安排，由党校行政科具体组织实施并进行综合分析，分析认为：部门的整体支出在使用上符合财政部门的要求，保障了干职工工资福利待遇的落实，保障了机关日常运转，保障了党建工作、双创工作、扶贫工作、干部教育工作的正常运行，并取得了良好的政治效益和社会效益，在资金的使用过程中不存在违纪违规问题，自评结果为优良。</w:t>
      </w:r>
    </w:p>
    <w:p w14:paraId="35000AA7">
      <w:pPr>
        <w:widowControl/>
        <w:spacing w:line="594" w:lineRule="exact"/>
        <w:ind w:firstLine="643" w:firstLineChars="200"/>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六、存在的主要问题</w:t>
      </w:r>
    </w:p>
    <w:p w14:paraId="0BB1EB79">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根据《干部教育培训条例》（2016）和《中国共产党党校工作条例》</w:t>
      </w:r>
      <w:r>
        <w:rPr>
          <w:rFonts w:hint="eastAsia" w:ascii="仿宋_GB2312" w:hAnsi="仿宋_GB2312" w:eastAsia="仿宋_GB2312" w:cs="仿宋_GB2312"/>
          <w:spacing w:val="-4"/>
          <w:szCs w:val="32"/>
          <w:lang w:val="en-GB"/>
        </w:rPr>
        <w:t>要求，</w:t>
      </w:r>
      <w:r>
        <w:rPr>
          <w:rFonts w:hint="eastAsia" w:ascii="仿宋_GB2312" w:hAnsi="仿宋_GB2312" w:eastAsia="仿宋_GB2312" w:cs="仿宋_GB2312"/>
          <w:spacing w:val="-4"/>
          <w:szCs w:val="32"/>
        </w:rPr>
        <w:t>对党员领导干部的培训批次和培训时间以及党校教师进修提出了更高的要求，经费预算达不到干部教育培训的要求。</w:t>
      </w:r>
    </w:p>
    <w:p w14:paraId="312CE7FF">
      <w:pPr>
        <w:widowControl/>
        <w:spacing w:line="594" w:lineRule="exact"/>
        <w:ind w:firstLine="643" w:firstLineChars="200"/>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七、改进措施和有关建议</w:t>
      </w:r>
    </w:p>
    <w:p w14:paraId="7ABBAFB0">
      <w:pPr>
        <w:spacing w:line="600" w:lineRule="exact"/>
        <w:ind w:firstLine="624"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建议增加培训经费的预算。</w:t>
      </w:r>
    </w:p>
    <w:p w14:paraId="5A9975B9">
      <w:pPr>
        <w:tabs>
          <w:tab w:val="left" w:pos="7026"/>
        </w:tabs>
        <w:rPr>
          <w:rFonts w:hint="eastAsia" w:ascii="仿宋_GB2312" w:hAnsi="仿宋_GB2312" w:eastAsia="仿宋_GB2312" w:cs="仿宋_GB2312"/>
          <w:lang w:eastAsia="zh-CN"/>
        </w:rPr>
      </w:pPr>
      <w:r>
        <w:rPr>
          <w:rFonts w:hint="eastAsia" w:ascii="仿宋_GB2312" w:hAnsi="仿宋_GB2312" w:cs="仿宋_GB2312"/>
          <w:lang w:eastAsia="zh-CN"/>
        </w:rPr>
        <w:tab/>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0DCE5"/>
    <w:multiLevelType w:val="singleLevel"/>
    <w:tmpl w:val="CBF0DCE5"/>
    <w:lvl w:ilvl="0" w:tentative="0">
      <w:start w:val="2"/>
      <w:numFmt w:val="chineseCounting"/>
      <w:suff w:val="nothing"/>
      <w:lvlText w:val="（%1）"/>
      <w:lvlJc w:val="left"/>
      <w:rPr>
        <w:rFonts w:hint="eastAsia"/>
      </w:rPr>
    </w:lvl>
  </w:abstractNum>
  <w:abstractNum w:abstractNumId="1">
    <w:nsid w:val="4336CBBB"/>
    <w:multiLevelType w:val="singleLevel"/>
    <w:tmpl w:val="4336CBB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DVjMzI2OTdkM2E0NzgyMTNjODc1NjFiNWJhNjQifQ=="/>
    <w:docVar w:name="KSO_WPS_MARK_KEY" w:val="a2172842-9dd8-420e-a5e0-877c98187a53"/>
  </w:docVars>
  <w:rsids>
    <w:rsidRoot w:val="6A927C95"/>
    <w:rsid w:val="02DA0C70"/>
    <w:rsid w:val="1E5F23C9"/>
    <w:rsid w:val="32F7777A"/>
    <w:rsid w:val="51D75253"/>
    <w:rsid w:val="524E7B5E"/>
    <w:rsid w:val="6A927C95"/>
    <w:rsid w:val="70AB1BB0"/>
    <w:rsid w:val="777F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next w:val="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6">
    <w:name w:val="font61"/>
    <w:basedOn w:val="5"/>
    <w:qFormat/>
    <w:uiPriority w:val="0"/>
    <w:rPr>
      <w:rFonts w:hint="eastAsia" w:ascii="Times New Roman" w:eastAsia="楷体_GB2312" w:cs="楷体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3756</Words>
  <Characters>3864</Characters>
  <Lines>0</Lines>
  <Paragraphs>0</Paragraphs>
  <TotalTime>71</TotalTime>
  <ScaleCrop>false</ScaleCrop>
  <LinksUpToDate>false</LinksUpToDate>
  <CharactersWithSpaces>3879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2021-11-05T02:20:00Z</dcterms:created>
  <dc:creator>苏宸锐John</dc:creator>
  <cp:lastModifiedBy>Administrator</cp:lastModifiedBy>
  <dcterms:modified xsi:type="dcterms:W3CDTF">2024-09-13T02:55:49Z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511495056B6440A980485AF86315C106_13</vt:lpwstr>
  </property>
</Properties>
</file>