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497DF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3599A99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45F653ED">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69A6630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00B40B4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5F4914B4">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2022年度部门整体绩效评价报告</w:t>
      </w:r>
    </w:p>
    <w:p w14:paraId="3B3C2328">
      <w:pPr>
        <w:keepNext w:val="0"/>
        <w:keepLines w:val="0"/>
        <w:pageBreakBefore w:val="0"/>
        <w:widowControl w:val="0"/>
        <w:kinsoku/>
        <w:wordWrap/>
        <w:overflowPunct/>
        <w:topLinePunct w:val="0"/>
        <w:autoSpaceDE/>
        <w:autoSpaceDN/>
        <w:bidi w:val="0"/>
        <w:adjustRightInd/>
        <w:snapToGrid/>
        <w:ind w:firstLine="880" w:firstLineChars="200"/>
        <w:jc w:val="center"/>
        <w:textAlignment w:val="auto"/>
        <w:rPr>
          <w:rFonts w:hint="eastAsia" w:ascii="方正小标宋简体" w:hAnsi="方正小标宋简体" w:eastAsia="方正小标宋简体" w:cs="方正小标宋简体"/>
          <w:sz w:val="44"/>
          <w:szCs w:val="44"/>
        </w:rPr>
      </w:pPr>
    </w:p>
    <w:p w14:paraId="4086DD7A">
      <w:pPr>
        <w:keepNext w:val="0"/>
        <w:keepLines w:val="0"/>
        <w:pageBreakBefore w:val="0"/>
        <w:widowControl w:val="0"/>
        <w:kinsoku/>
        <w:wordWrap/>
        <w:overflowPunct/>
        <w:topLinePunct w:val="0"/>
        <w:autoSpaceDE/>
        <w:autoSpaceDN/>
        <w:bidi w:val="0"/>
        <w:adjustRightInd/>
        <w:snapToGrid/>
        <w:ind w:firstLine="880" w:firstLineChars="200"/>
        <w:jc w:val="center"/>
        <w:textAlignment w:val="auto"/>
        <w:rPr>
          <w:rFonts w:hint="eastAsia" w:ascii="方正小标宋简体" w:hAnsi="方正小标宋简体" w:eastAsia="方正小标宋简体" w:cs="方正小标宋简体"/>
          <w:sz w:val="44"/>
          <w:szCs w:val="44"/>
        </w:rPr>
      </w:pPr>
    </w:p>
    <w:p w14:paraId="1DAD6F58">
      <w:pPr>
        <w:keepNext w:val="0"/>
        <w:keepLines w:val="0"/>
        <w:pageBreakBefore w:val="0"/>
        <w:widowControl w:val="0"/>
        <w:kinsoku/>
        <w:wordWrap/>
        <w:overflowPunct/>
        <w:topLinePunct w:val="0"/>
        <w:autoSpaceDE/>
        <w:autoSpaceDN/>
        <w:bidi w:val="0"/>
        <w:adjustRightInd/>
        <w:snapToGrid/>
        <w:ind w:firstLine="880" w:firstLineChars="200"/>
        <w:jc w:val="center"/>
        <w:textAlignment w:val="auto"/>
        <w:rPr>
          <w:rFonts w:hint="eastAsia" w:ascii="方正小标宋简体" w:hAnsi="方正小标宋简体" w:eastAsia="方正小标宋简体" w:cs="方正小标宋简体"/>
          <w:sz w:val="44"/>
          <w:szCs w:val="44"/>
        </w:rPr>
      </w:pPr>
    </w:p>
    <w:p w14:paraId="13602B64">
      <w:pPr>
        <w:keepNext w:val="0"/>
        <w:keepLines w:val="0"/>
        <w:pageBreakBefore w:val="0"/>
        <w:widowControl w:val="0"/>
        <w:kinsoku/>
        <w:wordWrap/>
        <w:overflowPunct/>
        <w:topLinePunct w:val="0"/>
        <w:autoSpaceDE/>
        <w:autoSpaceDN/>
        <w:bidi w:val="0"/>
        <w:adjustRightInd/>
        <w:snapToGrid/>
        <w:ind w:firstLine="880" w:firstLineChars="200"/>
        <w:jc w:val="center"/>
        <w:textAlignment w:val="auto"/>
        <w:rPr>
          <w:rFonts w:hint="eastAsia" w:ascii="方正小标宋简体" w:hAnsi="方正小标宋简体" w:eastAsia="方正小标宋简体" w:cs="方正小标宋简体"/>
          <w:sz w:val="44"/>
          <w:szCs w:val="44"/>
        </w:rPr>
      </w:pPr>
    </w:p>
    <w:p w14:paraId="1B0515D1">
      <w:pPr>
        <w:keepNext w:val="0"/>
        <w:keepLines w:val="0"/>
        <w:pageBreakBefore w:val="0"/>
        <w:widowControl w:val="0"/>
        <w:kinsoku/>
        <w:wordWrap/>
        <w:overflowPunct/>
        <w:topLinePunct w:val="0"/>
        <w:autoSpaceDE/>
        <w:autoSpaceDN/>
        <w:bidi w:val="0"/>
        <w:adjustRightInd/>
        <w:snapToGrid/>
        <w:ind w:firstLine="880" w:firstLineChars="200"/>
        <w:jc w:val="center"/>
        <w:textAlignment w:val="auto"/>
        <w:rPr>
          <w:rFonts w:hint="eastAsia" w:ascii="方正小标宋简体" w:hAnsi="方正小标宋简体" w:eastAsia="方正小标宋简体" w:cs="方正小标宋简体"/>
          <w:sz w:val="44"/>
          <w:szCs w:val="44"/>
        </w:rPr>
      </w:pPr>
    </w:p>
    <w:p w14:paraId="719A21F4">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桃江县市政设施管理站</w:t>
      </w:r>
    </w:p>
    <w:p w14:paraId="0FBA947E">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22A8C578">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10CA73B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04CD8A59">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299096B4">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3CB77D3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551C025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p>
    <w:p w14:paraId="0448C48C">
      <w:pPr>
        <w:keepNext w:val="0"/>
        <w:keepLines w:val="0"/>
        <w:pageBreakBefore w:val="0"/>
        <w:widowControl w:val="0"/>
        <w:kinsoku/>
        <w:wordWrap/>
        <w:overflowPunct/>
        <w:topLinePunct w:val="0"/>
        <w:autoSpaceDE/>
        <w:autoSpaceDN/>
        <w:bidi w:val="0"/>
        <w:adjustRightInd/>
        <w:snapToGrid/>
        <w:ind w:firstLine="640" w:firstLineChars="200"/>
        <w:jc w:val="center"/>
        <w:textAlignment w:val="auto"/>
        <w:rPr>
          <w:rFonts w:hint="eastAsia" w:ascii="黑体" w:hAnsi="黑体" w:eastAsia="黑体" w:cs="黑体"/>
          <w:sz w:val="32"/>
          <w:szCs w:val="32"/>
        </w:rPr>
      </w:pPr>
      <w:r>
        <w:rPr>
          <w:rFonts w:hint="eastAsia" w:ascii="黑体" w:hAnsi="黑体" w:eastAsia="黑体" w:cs="黑体"/>
          <w:sz w:val="32"/>
          <w:szCs w:val="32"/>
        </w:rPr>
        <w:t>目    录</w:t>
      </w:r>
    </w:p>
    <w:p w14:paraId="0B0A2854">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 xml:space="preserve"> 一、部门概况</w:t>
      </w:r>
    </w:p>
    <w:p w14:paraId="15C476D3">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（一）部门基本情况</w:t>
      </w:r>
    </w:p>
    <w:p w14:paraId="7574EF7A">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（二）部门整体支出规模</w:t>
      </w:r>
    </w:p>
    <w:p w14:paraId="55FB31B2">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（三）部门整体支出使用方向和主要内容、涉及范围</w:t>
      </w:r>
    </w:p>
    <w:p w14:paraId="1AA7DBA2">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（四）绩效目标设立情况</w:t>
      </w:r>
    </w:p>
    <w:p w14:paraId="191F187B">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二、部门整体支出管理及使用情况分析</w:t>
      </w:r>
    </w:p>
    <w:p w14:paraId="783CD28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（一）基本支出</w:t>
      </w:r>
    </w:p>
    <w:p w14:paraId="1F4E3C6D">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（二）项目支出</w:t>
      </w:r>
    </w:p>
    <w:p w14:paraId="7E3F60C0">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1.项目资金安排落实、总投入等情况分析。</w:t>
      </w:r>
    </w:p>
    <w:p w14:paraId="6BA9C179">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2.项目资金（财政资金）实际使用情况分析。</w:t>
      </w:r>
    </w:p>
    <w:p w14:paraId="7C430CC1">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3.项目资金管理情况分析。</w:t>
      </w:r>
    </w:p>
    <w:p w14:paraId="10EDD1D7">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三、项目组织实施情况分析</w:t>
      </w:r>
    </w:p>
    <w:p w14:paraId="58C471E0">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（一）项目组织情况分析</w:t>
      </w:r>
    </w:p>
    <w:p w14:paraId="749978ED">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（二）项目管理情况分析</w:t>
      </w:r>
    </w:p>
    <w:p w14:paraId="5465F4E2">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四、部门整体支出绩效情况分析</w:t>
      </w:r>
    </w:p>
    <w:p w14:paraId="1893B76F">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（一）经济性分析</w:t>
      </w:r>
    </w:p>
    <w:p w14:paraId="2DD3A902">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（二）效率性分析</w:t>
      </w:r>
    </w:p>
    <w:p w14:paraId="6EF4742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五、绩效评价工作开展情况</w:t>
      </w:r>
    </w:p>
    <w:p w14:paraId="45EF3C97">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（一）绩效评价目的</w:t>
      </w:r>
    </w:p>
    <w:p w14:paraId="1EBBDFEE">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（二）绩效评价工作过程</w:t>
      </w:r>
    </w:p>
    <w:p w14:paraId="169D69B1">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六、存在的主要问题</w:t>
      </w:r>
    </w:p>
    <w:p w14:paraId="3010BEFA">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七、有关建议</w:t>
      </w:r>
    </w:p>
    <w:p w14:paraId="30951574">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一、部门概况</w:t>
      </w:r>
    </w:p>
    <w:p w14:paraId="0A70EAAA">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（一）部门基本情况</w:t>
      </w:r>
    </w:p>
    <w:p w14:paraId="06FE4094">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1、机构设置</w:t>
      </w:r>
    </w:p>
    <w:p w14:paraId="103FE69B">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桃江县市政设施管理站、城市排水设施管理站二个单位合并而成，属于财政补助事业单位,内部实行二块牌子，一套人马集中管理。下设五个组</w:t>
      </w:r>
      <w:bookmarkStart w:id="0" w:name="_GoBack"/>
      <w:bookmarkEnd w:id="0"/>
      <w:r>
        <w:rPr>
          <w:rFonts w:hint="eastAsia" w:ascii="仿宋" w:hAnsi="仿宋" w:eastAsia="仿宋" w:cs="仿宋"/>
          <w:sz w:val="32"/>
          <w:szCs w:val="32"/>
        </w:rPr>
        <w:t>室：办公室、市政维护建设组、桥梁管理组、绿化维护组、污水泵站。</w:t>
      </w:r>
    </w:p>
    <w:p w14:paraId="33FFFBD5">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2、人员构成</w:t>
      </w:r>
    </w:p>
    <w:p w14:paraId="0F07A863">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财政补助事业人员：年初在职在编人数41人，年末38人（其中1人调出其他单位，2人退休），退休人员17人。</w:t>
      </w:r>
    </w:p>
    <w:p w14:paraId="3ED0D49E">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3、部门主要工作职责</w:t>
      </w:r>
    </w:p>
    <w:p w14:paraId="7BAC591F">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①协助县城城市道路统一规划、配套建设、协调发展，负责县城区规划内公用道路、人行道及井盖、吸水栅等附属设施的建设、维护、维修。负责县城区规划内下水道的建设、维护和疏通。</w:t>
      </w:r>
    </w:p>
    <w:p w14:paraId="76F4983E">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②负责县城内道路的占道、破道挖掘和恢复执法管理。审批城市供水、排水、燃气、热力、供电、通信、消防等依附于城市道路的各种管线、杆线等设施的建设、计划、审批。</w:t>
      </w:r>
    </w:p>
    <w:p w14:paraId="5CFA3413">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③负责城市规划区内树木花草的种植和养护。</w:t>
      </w:r>
    </w:p>
    <w:p w14:paraId="7DF3D8BC">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④负责办理《临时占用城市道路许可证》、《挖掘城市道路许可证》、《临时占用城市绿化用地许可证》、《砍伐、移植、修剪和毁坏城市树木花草许可证》的一般程序。</w:t>
      </w:r>
    </w:p>
    <w:p w14:paraId="78477C19">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⑤根据实际情况，提出合理开发利用有用空间的建议和意见，协调有关城市建设、园林绿化中存在的问题。</w:t>
      </w:r>
    </w:p>
    <w:p w14:paraId="6E2EF11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⑥负责桃花江广场的维护维修与管理工作。</w:t>
      </w:r>
    </w:p>
    <w:p w14:paraId="2425370B">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⑦负责县城污水提升泵站的管理、维护工作。</w:t>
      </w:r>
    </w:p>
    <w:p w14:paraId="0C75CFA7">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（二）部门整体支出规模</w:t>
      </w:r>
    </w:p>
    <w:p w14:paraId="48A842CB">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1、收入</w:t>
      </w:r>
    </w:p>
    <w:p w14:paraId="3E62E32F">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财政资金年初预算数565.3万元，预算调整数606.3万元，年末决算数606.3万元。</w:t>
      </w:r>
    </w:p>
    <w:p w14:paraId="5AC7F25B">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2、支出</w:t>
      </w:r>
    </w:p>
    <w:p w14:paraId="4AAA0202">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2020年基本支出490.33万元，项目支出115.97万元，合计606.3万元。</w:t>
      </w:r>
    </w:p>
    <w:p w14:paraId="53167D10">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（三）部门整体支出使用方向及主要内容、涉及的范围</w:t>
      </w:r>
    </w:p>
    <w:p w14:paraId="481A5AB5">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部门整体支出中基本支出490.33万元，主要用于人员工资福利支出及一般公务支出，包含工资福利支出463.53万元、商品服务支出51.98万元、对个人和家庭的补助支出1.82万元，资本性支出0万元。2022年“三公经费”支出0万元，无公务接待支出，无公车运行维护费用支出。</w:t>
      </w:r>
    </w:p>
    <w:p w14:paraId="18DC734E">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部门整体支出中项目支出总投入115.5万元，主要污水提升泵电费及日常维护项目而发生的各项业务支出。</w:t>
      </w:r>
    </w:p>
    <w:p w14:paraId="200A98B9">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（四）绩效目标设立情况</w:t>
      </w:r>
    </w:p>
    <w:p w14:paraId="231050E9">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年度目标：一是确保38名干职工及17名退休职工的工资福利发放到位，按时缴纳社会保障费用；二是保质保量完成本职工作；三是完成七项基础工作及县委县政府的的重点工作考核任务；四是加强城市建设，创建卫生县城。</w:t>
      </w:r>
    </w:p>
    <w:p w14:paraId="370025C9">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中长期目标：深化城市精细化管理，逐步推进城市管理精细化向网格化、信息化纵深发展，稳步提升城市管理和服务水平。</w:t>
      </w:r>
    </w:p>
    <w:p w14:paraId="52345212">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二、部门整体支出管理及使用情况分析</w:t>
      </w:r>
    </w:p>
    <w:p w14:paraId="0384D92F">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（一）基本支出</w:t>
      </w:r>
    </w:p>
    <w:p w14:paraId="2F524102">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2022年基本支出主要用于人员工资福利支出及一般公务支出，我站制定了《财务管理制度》、《财务审批内控制度》，要求首先应当保证本部门履行基本职能所需要的人员经费和公用经费，对其他弹性支出和专项支出应当严格控制。 人员支出必须严格按照国家政策规定和标准，逐项核定，没有政策规定的项目，不得列支。日常公用支出预算的编制应本着节约、从俭的原则编报。2022年工资福利支出436.53万元、商品服务支出51.98万元、对个人和家庭的补助支出1.82万元、资本性支出0万元。2022年三公经费预算数为2万元，全部为公务接待费用，因公务车自2021年起收归县公车平台统一管理，没有公车运行维护费用支出。2022年公务接待费用实际支出0万元。</w:t>
      </w:r>
    </w:p>
    <w:p w14:paraId="4601328C">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（二）项目支出</w:t>
      </w:r>
      <w:r>
        <w:rPr>
          <w:rFonts w:hint="eastAsia" w:ascii="仿宋" w:hAnsi="仿宋" w:eastAsia="仿宋" w:cs="仿宋"/>
          <w:b/>
          <w:bCs/>
          <w:sz w:val="32"/>
          <w:szCs w:val="32"/>
        </w:rPr>
        <w:tab/>
      </w:r>
    </w:p>
    <w:p w14:paraId="3A420CD0">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1.项目资金安排落实、总投入等情况分析。</w:t>
      </w:r>
    </w:p>
    <w:p w14:paraId="50558DDE">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部门整体支出中项目支出财政资金年初预算115.5万元，总投入115.5万元，主要项目如下：</w:t>
      </w:r>
    </w:p>
    <w:p w14:paraId="19FB9B55">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污水提升泵站电费及日常维护费：115.5万元</w:t>
      </w:r>
    </w:p>
    <w:p w14:paraId="578708F5">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非税结算收入：0.47万元</w:t>
      </w:r>
    </w:p>
    <w:p w14:paraId="445F1959">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2.项目资金（财政资金）实际使用情况分析。</w:t>
      </w:r>
    </w:p>
    <w:p w14:paraId="360758D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2022年项目资金用于支出水费0.55万元，电费88.74万元，维修（护）费16.13万元，劳务费10.03万元，其他商品和服务支出0.05万元。</w:t>
      </w:r>
    </w:p>
    <w:p w14:paraId="3A67B8C1">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3.项目资金管理情况分析。</w:t>
      </w:r>
    </w:p>
    <w:p w14:paraId="144D66E7">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按照我站《财务管理制度》、《项目资金管理办法》规定项目资金支出应紧密结合单位当年主要职责任务、工作目标及事业发展设想，并充分考虑单位财力，本着实事求是，从严从紧、区别轻重缓急，急事优先的原则按序安排支出事项。</w:t>
      </w:r>
    </w:p>
    <w:p w14:paraId="4F12F3B0">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三、项目组织实施情况分析</w:t>
      </w:r>
    </w:p>
    <w:p w14:paraId="3ECC5C4E">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（一）项目组织情况分析</w:t>
      </w:r>
    </w:p>
    <w:p w14:paraId="40B03F07">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我站项目为常年支出项目，污水提升泵站电费及日常维护费工作经费每年支出固定，根据贯例污水提升泵站电费及日常维护根据上年度实际支出情况在第二年年中追加。</w:t>
      </w:r>
    </w:p>
    <w:p w14:paraId="275CD08F">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（二）项目管理情况分析</w:t>
      </w:r>
    </w:p>
    <w:p w14:paraId="02679270">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为加强项目（专项）资金管理，我站制定了《专项资金管理办法》，对县财政局下达的单位部门预算、城维费预算中的具有指定项目和用途的资金加强管理，项目从立项、执行、完工到运营的全过程接受县桃江县市政设施管理站及财政、审计等部门的管理和监督。</w:t>
      </w:r>
    </w:p>
    <w:p w14:paraId="471439DA">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四、部门整体支出绩效情况分析</w:t>
      </w:r>
    </w:p>
    <w:p w14:paraId="16DBE1C2">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（一）经济性分析</w:t>
      </w:r>
    </w:p>
    <w:p w14:paraId="5BE7446A">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2022年工资福利支出463.53万元、商品服务支出51.98万元、对个人和家庭的补助支出1.82万元、资本性支出0万元。人员经费支出较上年增加84.29万元，增长21.96%，主要原因是人员增加（退伍安置5人），相应人员经费增加。一般公务支出比上年增加7.8万元，增长17.66%，主要原因是人员增加，公务支出相应增加。2022年三公经费预算数为2万元，全部为公务接待费用，本单位无公车用车，没有公车运行维护费用支出。2022年公务接待费用实际支出0万元。</w:t>
      </w:r>
    </w:p>
    <w:p w14:paraId="26B2F646">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（二）效率性分析</w:t>
      </w:r>
    </w:p>
    <w:p w14:paraId="19E345B4">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路面及附属设施维护方面：至2022年12月，完成城区各街道下水道疏通和清淤13950余米，清理泥沙垃圾660余吨；冷补沥青路面2715平方米；修复夯实破损水泥路面450平方米、人行道7150平方米；维修更换树围760套；修复侧石、平石1310余米；盲道改造1400米；加装污水井防护网452个；更换吸水栅91个、井盖102套。</w:t>
      </w:r>
    </w:p>
    <w:p w14:paraId="029BF04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公共绿化养护方面： 完成城区约40万平方米公共绿化区域12个轮次的养护作业及四个公厕的日常清扫和消毒；年初因暴雪导致城区主次干道行道树倒伏、断枝现象，对树木积雪较重的路段进行行道树扫雪除冻，共处理倒伏树木30多株、修剪清理断枝树木6000余株，清理落叶断枝15吨；对桃益线、金盆广场、芙蓉路补植苗木及草皮共计0.9万平方米；从7月9日开始至11月中旬，每天采用洒水车，人工，电机抽水等方式对县城公共绿化带进行了每天三轮次的抗旱浇水，全力保苗抗旱止损；整枝公共行道树3000多棵；城区补植行道树404株、苗木1800平方米；树围铺设草皮提质改造560平方米；修复沿江风光带人行道板、墙砖1700平方米；对100米人行木栈道、40条景观休闲木凳、4个亲水平台护栏、风光带东侧景观小品刷漆养护；修复风光带麻石护栏5处、石桌石凳4处；对金盆广场两个喷泉池进行清洗6次；雾炮车降尘作业206次。建设规划提质改造5个口袋公园。</w:t>
      </w:r>
    </w:p>
    <w:p w14:paraId="5CCF91E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桥梁管理和地下管线、管道巡查方面：处理违规占道、破道的行为12起，2022年共收取占道费1.81万元。对桃花江桥和美人窝桥人行道不符合安全规范的情况进行重点整改，安装人行道护栏43米；加装漏水装置160套，对牛潭河大桥主桥与引桥伸缩缝中多年沉积的渣土清理约十余吨，强化城区5座桥梁的日常维护和安装限速和限载标志，每月对桥头锥坡及桥墩的杂草和垃圾进行清除，对伸缩缝泥沙清理7次，疏通泄水孔，补齐桥梁附属设备和救生圈12套，并顺利通过省、市相关部门的督导检查。</w:t>
      </w:r>
    </w:p>
    <w:p w14:paraId="00F4277C">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污水提升泵站管理方面：加强了鲇鱼港、团山、七星河泵站的值勤管理，确保24小时人员在岗在位，做好了排污泵工作状态的登记。全年维护保养电气设备6次；三台专变各检测两次、鲇鱼港泵站变压器故障抢修一次；更换检察院家属楼泵站电器线路、水位计、潜水泵；对团山、七星河、鲇鱼港泵站1、2、3号泵机进行检修3次和武装部泵站泵机，水位记和电器设备的检修；清运谷山路、武装部两个自动泵站垃圾。</w:t>
      </w:r>
    </w:p>
    <w:p w14:paraId="2E707117">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五、绩效评价工作开展情况</w:t>
      </w:r>
    </w:p>
    <w:p w14:paraId="0D0941DE">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（一）绩效评价的目的</w:t>
      </w:r>
    </w:p>
    <w:p w14:paraId="3181044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为认真贯彻落实二十大报告精神，强化财政支出绩效理念和部门责任意识，规范财政资金管理，提高财政资金使用效益，依据中央、省、市、县相关文件精神和工作要求对年度财政资金使用情况及产生的效益进行评价。</w:t>
      </w:r>
    </w:p>
    <w:p w14:paraId="7F3BC829">
      <w:pPr>
        <w:keepNext w:val="0"/>
        <w:keepLines w:val="0"/>
        <w:pageBreakBefore w:val="0"/>
        <w:widowControl w:val="0"/>
        <w:kinsoku/>
        <w:wordWrap/>
        <w:overflowPunct/>
        <w:topLinePunct w:val="0"/>
        <w:autoSpaceDE/>
        <w:autoSpaceDN/>
        <w:bidi w:val="0"/>
        <w:adjustRightInd/>
        <w:snapToGrid/>
        <w:spacing w:line="596"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（二）绩效评价的过程</w:t>
      </w:r>
    </w:p>
    <w:p w14:paraId="7C84238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1、成立绩效评价领导小组。组长：贺庆 副组长：曾朝辉、薛志伟、吴红军、李璎； 成员：俞国斌、盛可、王芳玲、李志红及办公室全部人员。本职工作每月考核；七项基础工作、县委县政府的重点工作和其他工作按相应考核细则进行考核，由平常抽查考核和局绩效考核领导小组年终考核相结合。</w:t>
      </w:r>
    </w:p>
    <w:p w14:paraId="6E77B5A1">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2、资料收集整理。自评工作资料整理由站财务室牵头，各业务股室全面配合，收集相关资料，按绩效评价指标及评分表相关内容一一对照整理成册。</w:t>
      </w:r>
    </w:p>
    <w:p w14:paraId="37A579A5">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3、自查自评。按照《预算绩效管理政策与业务操作手册》的文件要求，对照2022年度部门整体支出绩效评价指标及评分表的内容如实填报相关资料，作出公正、客观、真实的自评。自评分96分。</w:t>
      </w:r>
    </w:p>
    <w:p w14:paraId="2BEF72A8">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4、上报审核。站财务室工作人员按时上报相关自评资料，对上报资料跟进，及时反馈县财政局提出的审查意见，根据审查结果认真分析工作中存在的不足，进行整改，并对来年财政部门预算编制计划提出建议和意见。</w:t>
      </w:r>
    </w:p>
    <w:p w14:paraId="035E7DFB">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 xml:space="preserve"> 六、存在的主要问题</w:t>
      </w:r>
    </w:p>
    <w:p w14:paraId="5360F088">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我站在经费保障方面一直得到了县政府及县财政的大力支持与关怀，但随着工作的深入开展，各项支出的增加，经费短缺的矛盾越来越突出，严重影响到我站工作的正常开展。</w:t>
      </w:r>
    </w:p>
    <w:p w14:paraId="2C260F6F">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资金缺口问题，主要是由于按政策可以发放的职工工会福利待遇、伙食补助、年度绩效考核奖励金等未纳入财政预算，造成人员经费缺口巨大。</w:t>
      </w:r>
    </w:p>
    <w:p w14:paraId="7FCA2F57">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七、有关建议</w:t>
      </w:r>
    </w:p>
    <w:p w14:paraId="3CCEF448">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1、工资福利待遇及正常的办公工作产生的费用建议由县财政解决。</w:t>
      </w:r>
    </w:p>
    <w:p w14:paraId="12BDD70A">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2、为确保城市管理日常运行的项目支出，如市政设施建设维修维护费用建议由县财政按实予以保障。</w:t>
      </w:r>
    </w:p>
    <w:p w14:paraId="10E53E57">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3、精简人员，压缩开支。</w:t>
      </w:r>
    </w:p>
    <w:p w14:paraId="552EA936">
      <w:pPr>
        <w:keepNext w:val="0"/>
        <w:keepLines w:val="0"/>
        <w:pageBreakBefore w:val="0"/>
        <w:widowControl w:val="0"/>
        <w:kinsoku/>
        <w:wordWrap/>
        <w:overflowPunct/>
        <w:topLinePunct w:val="0"/>
        <w:autoSpaceDE/>
        <w:autoSpaceDN/>
        <w:bidi w:val="0"/>
        <w:adjustRightInd/>
        <w:snapToGrid/>
        <w:spacing w:line="596" w:lineRule="exact"/>
        <w:ind w:firstLine="640" w:firstLineChars="200"/>
        <w:textAlignment w:val="auto"/>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1ZTY4NGNjODhlZTllNTk4MmY4YzcxYjY4YTE0NjEifQ=="/>
  </w:docVars>
  <w:rsids>
    <w:rsidRoot w:val="2B1C67D9"/>
    <w:rsid w:val="0F1A6FD6"/>
    <w:rsid w:val="2B1C67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6</TotalTime>
  <ScaleCrop>false</ScaleCrop>
  <LinksUpToDate>false</LinksUpToDate>
  <CharactersWithSpaces>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2024-09-12T01:44:00Z</dcterms:created>
  <dc:creator>吴锋</dc:creator>
  <cp:lastModifiedBy>吴锋</cp:lastModifiedBy>
  <dcterms:modified xsi:type="dcterms:W3CDTF">2024-09-12T06:45:56Z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063809338C5742C489B560069A9119E4_11</vt:lpwstr>
  </property>
</Properties>
</file>