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A8A69">
      <w:pPr>
        <w:widowControl/>
        <w:spacing w:line="594" w:lineRule="exact"/>
        <w:jc w:val="center"/>
        <w:rPr>
          <w:rFonts w:eastAsia="方正小标宋简体"/>
          <w:kern w:val="0"/>
          <w:sz w:val="44"/>
          <w:szCs w:val="44"/>
        </w:rPr>
      </w:pPr>
      <w:r>
        <w:rPr>
          <w:rFonts w:eastAsia="方正小标宋简体"/>
          <w:kern w:val="0"/>
          <w:sz w:val="44"/>
          <w:szCs w:val="44"/>
        </w:rPr>
        <w:t>桃江县重点项目建设事务中心</w:t>
      </w:r>
    </w:p>
    <w:p w14:paraId="01509C3D">
      <w:pPr>
        <w:widowControl/>
        <w:spacing w:line="594" w:lineRule="exact"/>
        <w:jc w:val="center"/>
        <w:rPr>
          <w:rFonts w:eastAsia="方正小标宋简体"/>
          <w:kern w:val="0"/>
          <w:sz w:val="44"/>
          <w:szCs w:val="44"/>
        </w:rPr>
      </w:pPr>
      <w:r>
        <w:rPr>
          <w:rFonts w:eastAsia="方正小标宋简体"/>
          <w:kern w:val="0"/>
          <w:sz w:val="44"/>
          <w:szCs w:val="44"/>
        </w:rPr>
        <w:t>2022年度部门整体支出绩效自评报告</w:t>
      </w:r>
    </w:p>
    <w:p w14:paraId="3AE4C9AE">
      <w:pPr>
        <w:widowControl/>
        <w:spacing w:line="594" w:lineRule="exact"/>
        <w:jc w:val="center"/>
        <w:rPr>
          <w:kern w:val="0"/>
          <w:sz w:val="28"/>
          <w:szCs w:val="28"/>
        </w:rPr>
      </w:pPr>
    </w:p>
    <w:p w14:paraId="73E9FD47">
      <w:pPr>
        <w:widowControl/>
        <w:spacing w:line="594" w:lineRule="exact"/>
        <w:ind w:firstLine="640" w:firstLineChars="200"/>
        <w:rPr>
          <w:rFonts w:eastAsia="黑体"/>
          <w:kern w:val="0"/>
          <w:szCs w:val="32"/>
        </w:rPr>
      </w:pPr>
      <w:r>
        <w:rPr>
          <w:rFonts w:eastAsia="黑体"/>
          <w:bCs/>
          <w:kern w:val="0"/>
          <w:szCs w:val="32"/>
        </w:rPr>
        <w:t xml:space="preserve"> 一、部门概况</w:t>
      </w:r>
    </w:p>
    <w:p w14:paraId="7A1346DB">
      <w:pPr>
        <w:widowControl/>
        <w:spacing w:line="594" w:lineRule="exact"/>
        <w:ind w:firstLine="640" w:firstLineChars="200"/>
        <w:rPr>
          <w:rFonts w:eastAsia="楷体_GB2312"/>
          <w:bCs/>
          <w:kern w:val="0"/>
          <w:szCs w:val="32"/>
        </w:rPr>
      </w:pPr>
      <w:r>
        <w:rPr>
          <w:rFonts w:eastAsia="楷体_GB2312"/>
          <w:bCs/>
          <w:kern w:val="0"/>
          <w:szCs w:val="32"/>
        </w:rPr>
        <w:t>（一）部门基本情况</w:t>
      </w:r>
    </w:p>
    <w:p w14:paraId="1A87356A">
      <w:pPr>
        <w:widowControl/>
        <w:spacing w:line="594" w:lineRule="exact"/>
        <w:ind w:firstLine="640" w:firstLineChars="200"/>
        <w:rPr>
          <w:kern w:val="0"/>
          <w:szCs w:val="32"/>
        </w:rPr>
      </w:pPr>
      <w:r>
        <w:rPr>
          <w:kern w:val="0"/>
          <w:szCs w:val="32"/>
        </w:rPr>
        <w:t>桃江县重点项目建设事务中心成立于2022年5月，</w:t>
      </w:r>
      <w:r>
        <w:rPr>
          <w:szCs w:val="32"/>
        </w:rPr>
        <w:t>是县人民政府直属正科级公益一类</w:t>
      </w:r>
      <w:r>
        <w:rPr>
          <w:kern w:val="0"/>
          <w:szCs w:val="32"/>
        </w:rPr>
        <w:t>事业单位</w:t>
      </w:r>
      <w:r>
        <w:rPr>
          <w:rFonts w:hint="eastAsia"/>
          <w:kern w:val="0"/>
          <w:szCs w:val="32"/>
        </w:rPr>
        <w:t>。中心</w:t>
      </w:r>
      <w:r>
        <w:rPr>
          <w:kern w:val="0"/>
          <w:szCs w:val="32"/>
        </w:rPr>
        <w:t>内设机构包括：办公室、项目前期股、重点项目全程服务股、项目协调股。</w:t>
      </w:r>
      <w:r>
        <w:rPr>
          <w:szCs w:val="32"/>
        </w:rPr>
        <w:t>截止至2022年12月31日，核定全额拨款事业编制21名，实有人数14人。</w:t>
      </w:r>
    </w:p>
    <w:p w14:paraId="2A397F23">
      <w:pPr>
        <w:widowControl/>
        <w:spacing w:line="594" w:lineRule="exact"/>
        <w:ind w:firstLine="640" w:firstLineChars="200"/>
        <w:rPr>
          <w:kern w:val="0"/>
          <w:szCs w:val="32"/>
        </w:rPr>
      </w:pPr>
      <w:r>
        <w:rPr>
          <w:rFonts w:hint="eastAsia"/>
          <w:kern w:val="0"/>
          <w:szCs w:val="32"/>
        </w:rPr>
        <w:t>中心</w:t>
      </w:r>
      <w:r>
        <w:rPr>
          <w:kern w:val="0"/>
          <w:szCs w:val="32"/>
        </w:rPr>
        <w:t>主要职责为：</w:t>
      </w:r>
    </w:p>
    <w:p w14:paraId="6BEF485F">
      <w:pPr>
        <w:spacing w:line="594" w:lineRule="exact"/>
        <w:ind w:firstLine="640" w:firstLineChars="200"/>
        <w:rPr>
          <w:szCs w:val="32"/>
        </w:rPr>
      </w:pPr>
      <w:r>
        <w:rPr>
          <w:szCs w:val="32"/>
        </w:rPr>
        <w:t>1. 负责研究提出全县重点项目管理的政策、制度和建议，经审定同意后组织实施；统筹协调解决重点项目建设中的重大问题。</w:t>
      </w:r>
    </w:p>
    <w:p w14:paraId="76E10884">
      <w:pPr>
        <w:spacing w:line="594" w:lineRule="exact"/>
        <w:ind w:firstLine="640" w:firstLineChars="200"/>
        <w:rPr>
          <w:szCs w:val="32"/>
        </w:rPr>
      </w:pPr>
      <w:r>
        <w:rPr>
          <w:szCs w:val="32"/>
        </w:rPr>
        <w:t>2. 负责提出全县年度重点建设项目计划，调度、督促重点项目建设计划执行；建设、维护全县重点建设项目库。</w:t>
      </w:r>
    </w:p>
    <w:p w14:paraId="7B370343">
      <w:pPr>
        <w:spacing w:line="594" w:lineRule="exact"/>
        <w:ind w:firstLine="640" w:firstLineChars="200"/>
        <w:rPr>
          <w:szCs w:val="32"/>
        </w:rPr>
      </w:pPr>
      <w:r>
        <w:rPr>
          <w:szCs w:val="32"/>
        </w:rPr>
        <w:t>3. 负责统筹协调重点项目前期条件的落实，拟订前期工作经费管理的政策及计划，督促和指导前期工作开展；负责县内重大项目的前期工作对接、争取、联络。</w:t>
      </w:r>
    </w:p>
    <w:p w14:paraId="273C3C94">
      <w:pPr>
        <w:spacing w:line="594" w:lineRule="exact"/>
        <w:ind w:firstLine="640" w:firstLineChars="200"/>
        <w:rPr>
          <w:szCs w:val="32"/>
        </w:rPr>
      </w:pPr>
      <w:r>
        <w:rPr>
          <w:szCs w:val="32"/>
        </w:rPr>
        <w:t>4. 参与重点项目的招商论证和项目可行性论证，负责牵头组织重点项目制约性因素排查，提出项目建设的意见、建议。</w:t>
      </w:r>
    </w:p>
    <w:p w14:paraId="7ED3EEC3">
      <w:pPr>
        <w:spacing w:line="594" w:lineRule="exact"/>
        <w:ind w:firstLine="640" w:firstLineChars="200"/>
        <w:rPr>
          <w:szCs w:val="32"/>
        </w:rPr>
      </w:pPr>
      <w:r>
        <w:rPr>
          <w:szCs w:val="32"/>
        </w:rPr>
        <w:t>5. 负责统筹推进重点项目建设。全程代办社会投资重点项目相关手续；会同相关部门统筹拟订并组织落实政府投资项目实施方案和资金组织方案。</w:t>
      </w:r>
    </w:p>
    <w:p w14:paraId="7E210FD7">
      <w:pPr>
        <w:spacing w:line="594" w:lineRule="exact"/>
        <w:ind w:firstLine="640" w:firstLineChars="200"/>
        <w:rPr>
          <w:szCs w:val="32"/>
        </w:rPr>
      </w:pPr>
      <w:r>
        <w:rPr>
          <w:szCs w:val="32"/>
        </w:rPr>
        <w:t>6. 负责政府投资代建制项目的组织、招标、协调和监督实施。</w:t>
      </w:r>
    </w:p>
    <w:p w14:paraId="34A289F2">
      <w:pPr>
        <w:spacing w:line="594" w:lineRule="exact"/>
        <w:ind w:firstLine="640" w:firstLineChars="200"/>
        <w:rPr>
          <w:szCs w:val="32"/>
        </w:rPr>
      </w:pPr>
      <w:r>
        <w:rPr>
          <w:szCs w:val="32"/>
        </w:rPr>
        <w:t>7. 负责全县重点项目指挥协调机构和政府投资建设项目公司的协调、服务与归口管理。</w:t>
      </w:r>
    </w:p>
    <w:p w14:paraId="4A891FD6">
      <w:pPr>
        <w:spacing w:line="594" w:lineRule="exact"/>
        <w:ind w:firstLine="640" w:firstLineChars="200"/>
        <w:rPr>
          <w:szCs w:val="32"/>
        </w:rPr>
      </w:pPr>
      <w:r>
        <w:rPr>
          <w:szCs w:val="32"/>
        </w:rPr>
        <w:t>8. 完成县委、县政府交办的其他任务。</w:t>
      </w:r>
    </w:p>
    <w:p w14:paraId="5FD18D0D">
      <w:pPr>
        <w:widowControl/>
        <w:spacing w:line="594" w:lineRule="exact"/>
        <w:rPr>
          <w:rFonts w:eastAsia="楷体_GB2312"/>
          <w:bCs/>
          <w:kern w:val="0"/>
          <w:szCs w:val="32"/>
        </w:rPr>
      </w:pPr>
      <w:r>
        <w:rPr>
          <w:rFonts w:eastAsia="楷体_GB2312"/>
          <w:b/>
          <w:kern w:val="0"/>
          <w:szCs w:val="32"/>
        </w:rPr>
        <w:t xml:space="preserve"> </w:t>
      </w:r>
      <w:r>
        <w:rPr>
          <w:rFonts w:eastAsia="楷体_GB2312"/>
          <w:bCs/>
          <w:kern w:val="0"/>
          <w:szCs w:val="32"/>
        </w:rPr>
        <w:t xml:space="preserve">  </w:t>
      </w:r>
      <w:r>
        <w:rPr>
          <w:rFonts w:eastAsia="楷体_GB2312"/>
          <w:bCs/>
          <w:w w:val="95"/>
          <w:kern w:val="0"/>
          <w:szCs w:val="32"/>
        </w:rPr>
        <w:t>（二）部门整体支出规模、使用方向和主要内容、涉及范围等</w:t>
      </w:r>
    </w:p>
    <w:p w14:paraId="310B488F">
      <w:pPr>
        <w:widowControl/>
        <w:spacing w:line="594" w:lineRule="exact"/>
        <w:ind w:firstLine="640"/>
        <w:rPr>
          <w:kern w:val="0"/>
          <w:szCs w:val="32"/>
        </w:rPr>
      </w:pPr>
      <w:r>
        <w:rPr>
          <w:kern w:val="0"/>
          <w:szCs w:val="32"/>
        </w:rPr>
        <w:t>2022年度收入92.67万元，其中</w:t>
      </w:r>
      <w:r>
        <w:rPr>
          <w:szCs w:val="32"/>
        </w:rPr>
        <w:t>一般公共预算财政拨款92.67万元</w:t>
      </w:r>
      <w:r>
        <w:rPr>
          <w:kern w:val="0"/>
          <w:szCs w:val="32"/>
        </w:rPr>
        <w:t>。</w:t>
      </w:r>
    </w:p>
    <w:p w14:paraId="70851800">
      <w:pPr>
        <w:widowControl/>
        <w:spacing w:line="594" w:lineRule="exact"/>
        <w:ind w:firstLine="640"/>
        <w:rPr>
          <w:kern w:val="0"/>
          <w:szCs w:val="32"/>
        </w:rPr>
      </w:pPr>
      <w:r>
        <w:rPr>
          <w:kern w:val="0"/>
          <w:szCs w:val="32"/>
        </w:rPr>
        <w:t>2022年度支出92.67万元，其中基本支出74.68万元。项目支出17.99万元。</w:t>
      </w:r>
    </w:p>
    <w:p w14:paraId="7EC28FFF">
      <w:pPr>
        <w:widowControl/>
        <w:spacing w:line="594" w:lineRule="exact"/>
        <w:ind w:firstLine="640" w:firstLineChars="200"/>
        <w:rPr>
          <w:rFonts w:eastAsia="楷体_GB2312"/>
          <w:bCs/>
          <w:kern w:val="0"/>
          <w:szCs w:val="32"/>
        </w:rPr>
      </w:pPr>
      <w:r>
        <w:rPr>
          <w:rFonts w:eastAsia="楷体_GB2312"/>
          <w:bCs/>
          <w:kern w:val="0"/>
          <w:szCs w:val="32"/>
        </w:rPr>
        <w:t>（三）绩效目标设立情况，主要包括部门中长期绩效目标和年度绩效目标</w:t>
      </w:r>
    </w:p>
    <w:p w14:paraId="26C9987C">
      <w:pPr>
        <w:spacing w:line="594" w:lineRule="exact"/>
        <w:ind w:firstLine="640" w:firstLineChars="200"/>
        <w:rPr>
          <w:szCs w:val="32"/>
        </w:rPr>
      </w:pPr>
      <w:r>
        <w:rPr>
          <w:szCs w:val="32"/>
        </w:rPr>
        <w:t>2022年，在县委、县政府的正确领导下，我中心的重点工作目标任务如下：</w:t>
      </w:r>
      <w:r>
        <w:rPr>
          <w:b/>
          <w:bCs/>
          <w:szCs w:val="32"/>
        </w:rPr>
        <w:t>一是</w:t>
      </w:r>
      <w:r>
        <w:rPr>
          <w:szCs w:val="32"/>
        </w:rPr>
        <w:t>完成全国文明城市和国家卫生县创建工作、巩固拓展脱贫攻坚成果与乡村振兴有效衔接等相关工作任务。</w:t>
      </w:r>
      <w:r>
        <w:rPr>
          <w:b/>
          <w:bCs/>
          <w:szCs w:val="32"/>
        </w:rPr>
        <w:t>二是</w:t>
      </w:r>
      <w:r>
        <w:rPr>
          <w:szCs w:val="32"/>
        </w:rPr>
        <w:t>牵头完成市定重点项目建设目标任务。按要求做好市重点项目申报、开竣工、进度、问题调处等工作。</w:t>
      </w:r>
      <w:r>
        <w:rPr>
          <w:b/>
          <w:bCs/>
          <w:szCs w:val="32"/>
        </w:rPr>
        <w:t>三是</w:t>
      </w:r>
      <w:r>
        <w:rPr>
          <w:szCs w:val="32"/>
        </w:rPr>
        <w:t>牵头完成省、市、县重点项目集中开竣工、现场观摩等活动的组织实施。</w:t>
      </w:r>
      <w:r>
        <w:rPr>
          <w:b/>
          <w:bCs/>
          <w:szCs w:val="32"/>
        </w:rPr>
        <w:t>四是</w:t>
      </w:r>
      <w:r>
        <w:rPr>
          <w:szCs w:val="32"/>
        </w:rPr>
        <w:t>牵头做好全县重点建设项目库的建设、维护，每月通报项目进展情况。</w:t>
      </w:r>
    </w:p>
    <w:p w14:paraId="62FD1EC2">
      <w:pPr>
        <w:spacing w:line="594" w:lineRule="exact"/>
        <w:rPr>
          <w:szCs w:val="32"/>
        </w:rPr>
      </w:pPr>
      <w:r>
        <w:rPr>
          <w:b/>
          <w:bCs/>
          <w:szCs w:val="32"/>
        </w:rPr>
        <w:t>五是</w:t>
      </w:r>
      <w:r>
        <w:rPr>
          <w:szCs w:val="32"/>
        </w:rPr>
        <w:t>调度、督促重点项目建设计划执行，以目标导向和问题导向促推重点项目建设，及时督办交办问题清单。</w:t>
      </w:r>
      <w:r>
        <w:rPr>
          <w:b/>
          <w:bCs/>
          <w:szCs w:val="32"/>
        </w:rPr>
        <w:t>六是</w:t>
      </w:r>
      <w:r>
        <w:rPr>
          <w:szCs w:val="32"/>
        </w:rPr>
        <w:t>会同县政务服务中心做好社会投资类重点项目相关手续全程代办服务相关工作。</w:t>
      </w:r>
      <w:r>
        <w:rPr>
          <w:b/>
          <w:bCs/>
          <w:szCs w:val="32"/>
        </w:rPr>
        <w:t>七是</w:t>
      </w:r>
      <w:r>
        <w:rPr>
          <w:szCs w:val="32"/>
        </w:rPr>
        <w:t>牵头做好桃江县桃花江储能电站项目前期工作的督促指导和协调，促推项目尽早开工建设。</w:t>
      </w:r>
      <w:r>
        <w:rPr>
          <w:b/>
          <w:bCs/>
          <w:szCs w:val="32"/>
        </w:rPr>
        <w:t>八是</w:t>
      </w:r>
      <w:r>
        <w:rPr>
          <w:szCs w:val="32"/>
        </w:rPr>
        <w:t>牵头组织重点项目制约性因素排查，参与重点项目的招商论证和项目可行性论证。</w:t>
      </w:r>
    </w:p>
    <w:p w14:paraId="05980425">
      <w:pPr>
        <w:widowControl/>
        <w:spacing w:line="594" w:lineRule="exact"/>
        <w:ind w:firstLine="640" w:firstLineChars="200"/>
        <w:rPr>
          <w:rFonts w:eastAsia="黑体"/>
          <w:kern w:val="0"/>
          <w:szCs w:val="32"/>
        </w:rPr>
      </w:pPr>
      <w:r>
        <w:rPr>
          <w:rFonts w:eastAsia="黑体"/>
          <w:bCs/>
          <w:kern w:val="0"/>
          <w:szCs w:val="32"/>
        </w:rPr>
        <w:t>二、部门整体支出管理及使用情况分析</w:t>
      </w:r>
    </w:p>
    <w:p w14:paraId="27E4EB8B">
      <w:pPr>
        <w:widowControl/>
        <w:spacing w:line="594" w:lineRule="exact"/>
        <w:ind w:firstLine="640" w:firstLineChars="200"/>
        <w:rPr>
          <w:rFonts w:eastAsia="楷体_GB2312"/>
          <w:bCs/>
          <w:kern w:val="0"/>
          <w:szCs w:val="32"/>
        </w:rPr>
      </w:pPr>
      <w:r>
        <w:rPr>
          <w:rFonts w:eastAsia="楷体_GB2312"/>
          <w:bCs/>
          <w:kern w:val="0"/>
          <w:szCs w:val="32"/>
        </w:rPr>
        <w:t>（一）基本支出</w:t>
      </w:r>
    </w:p>
    <w:p w14:paraId="512D1B0D">
      <w:pPr>
        <w:widowControl/>
        <w:spacing w:line="594" w:lineRule="exact"/>
        <w:ind w:firstLine="640" w:firstLineChars="200"/>
        <w:rPr>
          <w:szCs w:val="32"/>
        </w:rPr>
      </w:pPr>
      <w:r>
        <w:rPr>
          <w:szCs w:val="32"/>
        </w:rPr>
        <w:t>基本支出74.68万元（因单位年中成立，无往年数据对比），其中工资福利支出30.18万元，主要包括：基本工资、津贴补贴、伙食补助费、机关事业单位基本养老保险缴费、职业年金缴费、职工基本医疗保险缴费、其他社会保障缴费、住房公积金；商品和服务支出23.88万元，主要包括：办公费、水费、电费、邮电费、差旅费、维修（护）费、劳务费等日常经费支出；资本性支出20.62万元，主要包括：办公设备购置、家具购置。</w:t>
      </w:r>
    </w:p>
    <w:p w14:paraId="572BBCEA">
      <w:pPr>
        <w:widowControl/>
        <w:spacing w:line="594" w:lineRule="exact"/>
        <w:ind w:firstLine="640" w:firstLineChars="200"/>
        <w:rPr>
          <w:rFonts w:eastAsia="楷体_GB2312"/>
          <w:b/>
          <w:kern w:val="0"/>
          <w:szCs w:val="32"/>
        </w:rPr>
      </w:pPr>
      <w:r>
        <w:rPr>
          <w:szCs w:val="32"/>
        </w:rPr>
        <w:t>2022年度三公经费支出为0.00万元，其中：因公出国（境）费0.00万元，公车保有量0辆，公务用车购置费0.00万元，公务用车运行费0.00万元，公务接待费0.00万元，因单位为年中成立，厉行节约，暂未产生公务接待费支出。</w:t>
      </w:r>
    </w:p>
    <w:p w14:paraId="70EF3123">
      <w:pPr>
        <w:widowControl/>
        <w:spacing w:line="594" w:lineRule="exact"/>
        <w:ind w:firstLine="640" w:firstLineChars="200"/>
        <w:rPr>
          <w:rFonts w:eastAsia="楷体_GB2312"/>
          <w:bCs/>
          <w:kern w:val="0"/>
          <w:szCs w:val="32"/>
        </w:rPr>
      </w:pPr>
      <w:r>
        <w:rPr>
          <w:rFonts w:eastAsia="楷体_GB2312"/>
          <w:bCs/>
          <w:kern w:val="0"/>
          <w:szCs w:val="32"/>
        </w:rPr>
        <w:t>（二）项目支出</w:t>
      </w:r>
    </w:p>
    <w:p w14:paraId="6B932D88">
      <w:pPr>
        <w:widowControl/>
        <w:spacing w:line="594" w:lineRule="exact"/>
        <w:ind w:firstLine="640" w:firstLineChars="200"/>
        <w:rPr>
          <w:szCs w:val="32"/>
        </w:rPr>
      </w:pPr>
      <w:r>
        <w:rPr>
          <w:kern w:val="0"/>
          <w:szCs w:val="32"/>
        </w:rPr>
        <w:t>项目支出17.99万元</w:t>
      </w:r>
      <w:r>
        <w:rPr>
          <w:szCs w:val="32"/>
        </w:rPr>
        <w:t>，</w:t>
      </w:r>
      <w:r>
        <w:rPr>
          <w:kern w:val="0"/>
          <w:szCs w:val="32"/>
        </w:rPr>
        <w:t>是单位为完成特定行政工作任务或事业发展目标而发生的支出。</w:t>
      </w:r>
      <w:r>
        <w:rPr>
          <w:szCs w:val="32"/>
        </w:rPr>
        <w:t>因单位年中成立，无上年度数据可比</w:t>
      </w:r>
      <w:r>
        <w:rPr>
          <w:color w:val="000000"/>
          <w:kern w:val="0"/>
          <w:szCs w:val="32"/>
        </w:rPr>
        <w:t>。财政预算追加“经费补助缺口”项目经费用于保障单位正常运转，</w:t>
      </w:r>
      <w:r>
        <w:rPr>
          <w:szCs w:val="32"/>
        </w:rPr>
        <w:t>完成日常工作任务而发生的各项支出。</w:t>
      </w:r>
    </w:p>
    <w:p w14:paraId="4A5CC9AE">
      <w:pPr>
        <w:widowControl/>
        <w:spacing w:line="594" w:lineRule="exact"/>
        <w:ind w:firstLine="640" w:firstLineChars="200"/>
        <w:rPr>
          <w:kern w:val="0"/>
          <w:szCs w:val="32"/>
        </w:rPr>
      </w:pPr>
      <w:r>
        <w:rPr>
          <w:kern w:val="0"/>
          <w:szCs w:val="32"/>
        </w:rPr>
        <w:t>在资金使用管理方面我中心严格按照财政相关规定及行政单位会计制度规定和财政下达资金的使用范围管理和使用项目经费，做到专款专用，确保资金支出的真实性、安全性、合理性。</w:t>
      </w:r>
    </w:p>
    <w:p w14:paraId="1FF4F5B6">
      <w:pPr>
        <w:widowControl/>
        <w:spacing w:line="594" w:lineRule="exact"/>
        <w:ind w:firstLine="640" w:firstLineChars="200"/>
        <w:rPr>
          <w:rFonts w:eastAsia="黑体"/>
          <w:bCs/>
          <w:kern w:val="0"/>
          <w:szCs w:val="32"/>
        </w:rPr>
      </w:pPr>
      <w:r>
        <w:rPr>
          <w:rFonts w:eastAsia="黑体"/>
          <w:bCs/>
          <w:kern w:val="0"/>
          <w:szCs w:val="32"/>
        </w:rPr>
        <w:t>三、项目组织实施情况分析</w:t>
      </w:r>
    </w:p>
    <w:p w14:paraId="6EFDE4EA">
      <w:pPr>
        <w:widowControl/>
        <w:spacing w:line="594" w:lineRule="exact"/>
        <w:ind w:firstLine="640" w:firstLineChars="200"/>
        <w:rPr>
          <w:rFonts w:eastAsia="黑体"/>
          <w:bCs/>
          <w:szCs w:val="32"/>
        </w:rPr>
      </w:pPr>
      <w:r>
        <w:rPr>
          <w:rFonts w:eastAsia="楷体_GB2312"/>
          <w:bCs/>
          <w:kern w:val="0"/>
          <w:szCs w:val="32"/>
        </w:rPr>
        <w:t>（一）项目资金安排落实、使用等情况分析</w:t>
      </w:r>
    </w:p>
    <w:p w14:paraId="33D2E783">
      <w:pPr>
        <w:spacing w:line="594" w:lineRule="exact"/>
        <w:ind w:firstLine="640" w:firstLineChars="200"/>
        <w:rPr>
          <w:szCs w:val="32"/>
        </w:rPr>
      </w:pPr>
      <w:r>
        <w:rPr>
          <w:szCs w:val="32"/>
        </w:rPr>
        <w:t>2022年度项目支出17.99万元，资金主要用于中心重点项目协调服务经费等。</w:t>
      </w:r>
    </w:p>
    <w:p w14:paraId="700633C8">
      <w:pPr>
        <w:widowControl/>
        <w:spacing w:line="594" w:lineRule="exact"/>
        <w:ind w:firstLine="640" w:firstLineChars="200"/>
        <w:rPr>
          <w:rFonts w:eastAsia="楷体_GB2312"/>
          <w:bCs/>
          <w:kern w:val="0"/>
          <w:szCs w:val="32"/>
        </w:rPr>
      </w:pPr>
      <w:r>
        <w:rPr>
          <w:rFonts w:eastAsia="楷体_GB2312"/>
          <w:bCs/>
          <w:kern w:val="0"/>
          <w:szCs w:val="32"/>
        </w:rPr>
        <w:t>（二）项目资金管理情况分析</w:t>
      </w:r>
    </w:p>
    <w:p w14:paraId="5BF6EA11">
      <w:pPr>
        <w:spacing w:line="594" w:lineRule="exact"/>
        <w:ind w:firstLine="640" w:firstLineChars="200"/>
      </w:pPr>
      <w:r>
        <w:rPr>
          <w:szCs w:val="32"/>
        </w:rPr>
        <w:t>严格按照国家政策法规规定和本部门实际，建立健全财务基础制度和约束机制，依法、有效地使用财政资金，提高财政资金使用效率，在完成部门职能目标中合理分配人、财、物，使之达到了较高的工作效率和水平。</w:t>
      </w:r>
    </w:p>
    <w:p w14:paraId="52211456">
      <w:pPr>
        <w:widowControl/>
        <w:spacing w:line="594" w:lineRule="exact"/>
        <w:ind w:firstLine="640" w:firstLineChars="200"/>
        <w:rPr>
          <w:rFonts w:eastAsia="黑体"/>
          <w:bCs/>
          <w:kern w:val="0"/>
          <w:szCs w:val="32"/>
        </w:rPr>
      </w:pPr>
      <w:r>
        <w:rPr>
          <w:rFonts w:eastAsia="黑体"/>
          <w:bCs/>
          <w:kern w:val="0"/>
          <w:szCs w:val="32"/>
        </w:rPr>
        <w:t>四、部门整体支出绩效情况分析</w:t>
      </w:r>
    </w:p>
    <w:p w14:paraId="2224FB46">
      <w:pPr>
        <w:spacing w:line="594" w:lineRule="exact"/>
        <w:ind w:firstLine="640" w:firstLineChars="200"/>
        <w:rPr>
          <w:szCs w:val="32"/>
        </w:rPr>
      </w:pPr>
      <w:r>
        <w:rPr>
          <w:szCs w:val="32"/>
        </w:rPr>
        <w:t>2022年以来，在县委、县政府的正确领导下，我中心全面贯彻党的二十大和二十届一中全会精神，紧紧围绕县委“12345”工作思路和县政府“六七八九十”工作要点，牢固树立“项目为王”工作理念，大力发扬“挺抢”作风，积极应对疫情和各类制约项目建设因素影响，开拓创新，积极进取，以实干担当推动重点项目建设高质量发展，圆满完成各项工作任务。</w:t>
      </w:r>
    </w:p>
    <w:p w14:paraId="40E73EEE">
      <w:pPr>
        <w:spacing w:line="594" w:lineRule="exact"/>
        <w:ind w:firstLine="640" w:firstLineChars="200"/>
        <w:rPr>
          <w:rFonts w:eastAsia="楷体_GB2312"/>
          <w:szCs w:val="32"/>
        </w:rPr>
      </w:pPr>
      <w:r>
        <w:rPr>
          <w:rFonts w:eastAsia="楷体_GB2312"/>
          <w:szCs w:val="32"/>
        </w:rPr>
        <w:t>（一）聚焦主责主业，全力以赴推进项目建设</w:t>
      </w:r>
    </w:p>
    <w:p w14:paraId="21F524D5">
      <w:pPr>
        <w:spacing w:line="594" w:lineRule="exact"/>
        <w:ind w:firstLine="640" w:firstLineChars="200"/>
        <w:rPr>
          <w:szCs w:val="32"/>
        </w:rPr>
      </w:pPr>
      <w:r>
        <w:rPr>
          <w:rFonts w:eastAsia="楷体_GB2312"/>
          <w:szCs w:val="32"/>
        </w:rPr>
        <w:t xml:space="preserve">1. </w:t>
      </w:r>
      <w:r>
        <w:rPr>
          <w:b/>
          <w:bCs/>
          <w:szCs w:val="32"/>
        </w:rPr>
        <w:t>创新体制机制，项目调度服务更高效。一是搭建好组织架构。</w:t>
      </w:r>
      <w:r>
        <w:rPr>
          <w:szCs w:val="32"/>
        </w:rPr>
        <w:t>新一届县委、县政府上任后，高度重视重点项目建设工作，成立</w:t>
      </w:r>
      <w:r>
        <w:rPr>
          <w:szCs w:val="32"/>
          <w:lang w:eastAsia="zh-Hans"/>
        </w:rPr>
        <w:t>高规格重点项目建设领导小组，对全县重点项目建设统一指挥调度，领导小组办公室设重点项目建设事务中心，更好地落实</w:t>
      </w:r>
      <w:r>
        <w:rPr>
          <w:szCs w:val="32"/>
        </w:rPr>
        <w:t>有关</w:t>
      </w:r>
      <w:r>
        <w:rPr>
          <w:szCs w:val="32"/>
          <w:lang w:eastAsia="zh-Hans"/>
        </w:rPr>
        <w:t>重点项目建设任务，抓落地、抓开工、抓投产</w:t>
      </w:r>
      <w:r>
        <w:rPr>
          <w:szCs w:val="32"/>
        </w:rPr>
        <w:t>。同时成立了县政府直属正科级事业单位县重点项目建设事务中心，专门负责</w:t>
      </w:r>
      <w:r>
        <w:rPr>
          <w:szCs w:val="32"/>
          <w:lang w:eastAsia="zh-Hans"/>
        </w:rPr>
        <w:t>全县重点项目库动态管理、工作督查、问题交办和协调等工作</w:t>
      </w:r>
      <w:r>
        <w:rPr>
          <w:szCs w:val="32"/>
        </w:rPr>
        <w:t>，以高质量、快速度推进全县重点项目建设。</w:t>
      </w:r>
      <w:r>
        <w:rPr>
          <w:b/>
          <w:bCs/>
          <w:szCs w:val="32"/>
        </w:rPr>
        <w:t>二是理顺好协调服务机制。</w:t>
      </w:r>
      <w:r>
        <w:rPr>
          <w:szCs w:val="32"/>
        </w:rPr>
        <w:t>严格落实重点项目“一个项目、一位领导、一套班子、一个方案、一抓到底”的五个一机制，严格执行问题清单交办、督查、销号“一单三制”，通过日巡查、周碰头、月调度，实时跟踪重点项目进展，精准掌握工程进度，及时协调解决项目推进过程中的困难和问题，共协助项目县级联系领导组织召开重点项目专题调度会、现场办公会等70余次。针对推进困难的项目开展专项问题排查，及时下达督办函、交办单督导落实。把好的典型经验做法，编入《重点项目建设简报》抄送县委、县政府主要领导，根据重点项目调度情况，共计编发《重点项目建设简报》四期，交办任务50</w:t>
      </w:r>
      <w:r>
        <w:rPr>
          <w:szCs w:val="32"/>
          <w:lang w:eastAsia="zh-Hans"/>
        </w:rPr>
        <w:t>余</w:t>
      </w:r>
      <w:r>
        <w:rPr>
          <w:szCs w:val="32"/>
        </w:rPr>
        <w:t>项。</w:t>
      </w:r>
      <w:r>
        <w:rPr>
          <w:b/>
          <w:bCs/>
          <w:szCs w:val="32"/>
        </w:rPr>
        <w:t>三是发挥好考核指挥棒作用。</w:t>
      </w:r>
      <w:r>
        <w:rPr>
          <w:szCs w:val="32"/>
        </w:rPr>
        <w:t>制定出台了《桃江县2022年重点建设项目工作考核办法》，明确各项目年度目标任务和计分办法，严格按照时间节点对牵头单位和责任单位进行考核。每月将重点项目建设进展，在县党政大楼一楼大厅挂图展示，通过晒进度、晒联系领导和责任单位、晒问题交办完成情况等，进一步促推项目建设，张榜公示重点项目进度分色表9期。</w:t>
      </w:r>
    </w:p>
    <w:p w14:paraId="6ACC9E3E">
      <w:pPr>
        <w:spacing w:line="594" w:lineRule="exact"/>
        <w:ind w:firstLine="643" w:firstLineChars="200"/>
        <w:rPr>
          <w:szCs w:val="32"/>
        </w:rPr>
      </w:pPr>
      <w:r>
        <w:rPr>
          <w:b/>
          <w:bCs/>
          <w:szCs w:val="32"/>
        </w:rPr>
        <w:t>2. 强化协调服务，项目建设成效更显著</w:t>
      </w:r>
      <w:r>
        <w:rPr>
          <w:szCs w:val="32"/>
        </w:rPr>
        <w:t>。</w:t>
      </w:r>
      <w:r>
        <w:rPr>
          <w:b/>
          <w:bCs/>
          <w:szCs w:val="32"/>
        </w:rPr>
        <w:t>一是在建项目加快推进。</w:t>
      </w:r>
      <w:r>
        <w:rPr>
          <w:szCs w:val="32"/>
        </w:rPr>
        <w:t>45个在建重点项目完成投资38.2亿元，占年投资计划98%。金易物流、生活垃圾焚烧发电、梅林寺骨干库、桃花江水库除险加固、桃江农商城一期、桑田教育、高胜铝材扩建、紫金湾九年一贯制学校、大屋山110KV变电站、盈达门业等23个项目完成建设，石洞矿区建筑用板岩矿、紫荆新材、殡仪馆整体搬迁等12个项目顺利推进。</w:t>
      </w:r>
      <w:r>
        <w:rPr>
          <w:b/>
          <w:bCs/>
          <w:szCs w:val="32"/>
        </w:rPr>
        <w:t>二是前期项目进展顺利。</w:t>
      </w:r>
      <w:r>
        <w:rPr>
          <w:szCs w:val="32"/>
        </w:rPr>
        <w:t>23个在库前期项目预计总投资194.2778亿元，新兴管件二期、桃花江流域生态治理工程、鸬鹚渡镇建筑用砂岩矿、文体广场建设、诚友绿色装配式建筑等5个项目落地开工建设；通用机场建设、久通锑业、五凌风电等12个项目进展顺利。</w:t>
      </w:r>
      <w:r>
        <w:rPr>
          <w:b/>
          <w:bCs/>
          <w:szCs w:val="32"/>
        </w:rPr>
        <w:t>三是后扶项目帮</w:t>
      </w:r>
      <w:bookmarkStart w:id="0" w:name="_GoBack"/>
      <w:bookmarkEnd w:id="0"/>
      <w:r>
        <w:rPr>
          <w:b/>
          <w:bCs/>
          <w:szCs w:val="32"/>
        </w:rPr>
        <w:t>扶成效明显。</w:t>
      </w:r>
      <w:r>
        <w:rPr>
          <w:szCs w:val="32"/>
        </w:rPr>
        <w:t>对桃花江竹海旅游度假区、美人谷酒店、总部经济基地等5个已建成项目落实帮扶措施，协调解决项目生产运营过程中存在的困难和问题16个，保障了项目顺利运营和投产达效。</w:t>
      </w:r>
      <w:r>
        <w:rPr>
          <w:b/>
          <w:bCs/>
          <w:szCs w:val="32"/>
        </w:rPr>
        <w:t>四是签约项目加快落地开工。</w:t>
      </w:r>
      <w:r>
        <w:rPr>
          <w:szCs w:val="32"/>
        </w:rPr>
        <w:t>今年我县招商引资3次集中签约共签约项目40个，我中心对达到纳入重点项目调度门槛的28个签约项目扎实做好重点项目政务事项帮代办服务，累计为各重点项目办理政务服务事项130余项，其中12个项目落地开工建设，16个项目正在全力以赴推进前期工作。</w:t>
      </w:r>
    </w:p>
    <w:p w14:paraId="6E6D8257">
      <w:pPr>
        <w:spacing w:line="594" w:lineRule="exact"/>
        <w:ind w:firstLine="643" w:firstLineChars="200"/>
        <w:rPr>
          <w:szCs w:val="32"/>
        </w:rPr>
      </w:pPr>
      <w:r>
        <w:rPr>
          <w:b/>
          <w:bCs/>
          <w:szCs w:val="32"/>
        </w:rPr>
        <w:t>3. 加强典型推介，项目建设氛围更浓厚。</w:t>
      </w:r>
      <w:r>
        <w:rPr>
          <w:szCs w:val="32"/>
        </w:rPr>
        <w:t>为营造我县加大对成效显著的重点项目和项目建设过程中涌现的先进典型人物宣传报道，“项目为王”理念和重点项目建设促推县域经济高质量发展的主动能作用更加深入人心，全县上下重点项目建设你追我赶、创先争优的氛围日趋浓厚。全年共发布重点项目建设各类宣传通讯稿件50余条，多篇被中国网、湖南日报新湖南客户端、红网、益阳日报、益阳电视台等国家省市媒体转载。</w:t>
      </w:r>
    </w:p>
    <w:p w14:paraId="7F2BF822">
      <w:pPr>
        <w:spacing w:line="594" w:lineRule="exact"/>
        <w:ind w:firstLine="640" w:firstLineChars="200"/>
        <w:rPr>
          <w:rFonts w:eastAsia="黑体"/>
          <w:szCs w:val="32"/>
        </w:rPr>
      </w:pPr>
      <w:r>
        <w:rPr>
          <w:rFonts w:eastAsia="楷体_GB2312"/>
          <w:szCs w:val="32"/>
        </w:rPr>
        <w:t>（二）坚持党建引领，各项工作任务全面完成</w:t>
      </w:r>
    </w:p>
    <w:p w14:paraId="5E6F4F08">
      <w:pPr>
        <w:spacing w:line="594" w:lineRule="exact"/>
        <w:ind w:firstLine="643" w:firstLineChars="200"/>
        <w:rPr>
          <w:b/>
          <w:bCs/>
          <w:szCs w:val="32"/>
          <w:lang w:eastAsia="zh-Hans"/>
        </w:rPr>
      </w:pPr>
      <w:r>
        <w:rPr>
          <w:b/>
          <w:bCs/>
          <w:szCs w:val="32"/>
        </w:rPr>
        <w:t xml:space="preserve">1. </w:t>
      </w:r>
      <w:r>
        <w:rPr>
          <w:b/>
          <w:bCs/>
          <w:szCs w:val="32"/>
          <w:lang w:eastAsia="zh-Hans"/>
        </w:rPr>
        <w:t>深学细悟，准确把握党建工作政治方向</w:t>
      </w:r>
    </w:p>
    <w:p w14:paraId="2710D1DC">
      <w:pPr>
        <w:spacing w:line="594" w:lineRule="exact"/>
        <w:ind w:firstLine="640" w:firstLineChars="200"/>
        <w:rPr>
          <w:szCs w:val="32"/>
        </w:rPr>
      </w:pPr>
      <w:r>
        <w:rPr>
          <w:szCs w:val="32"/>
          <w:lang w:eastAsia="zh-Hans"/>
        </w:rPr>
        <w:t>我中心</w:t>
      </w:r>
      <w:r>
        <w:rPr>
          <w:szCs w:val="32"/>
        </w:rPr>
        <w:t>始终把加强党的领导、全面从严治党作为抓各项工作的首位和基础，党建引领在各项各类工作中体现。</w:t>
      </w:r>
      <w:r>
        <w:rPr>
          <w:b/>
          <w:bCs/>
          <w:szCs w:val="32"/>
          <w:lang w:eastAsia="zh-Hans"/>
        </w:rPr>
        <w:t>提高政治重视度。</w:t>
      </w:r>
      <w:r>
        <w:rPr>
          <w:szCs w:val="32"/>
        </w:rPr>
        <w:t>经上级党组织批准，2022年10月8日成立了桃江县重点项目建设事务中心支部委员会，11月30日召开了第一届党员大会，推举产生了支部委员会委员，并召开了第一届支部委员大会。</w:t>
      </w:r>
      <w:r>
        <w:rPr>
          <w:b/>
          <w:bCs/>
          <w:szCs w:val="32"/>
        </w:rPr>
        <w:t>强化政治领悟力</w:t>
      </w:r>
      <w:r>
        <w:rPr>
          <w:szCs w:val="32"/>
        </w:rPr>
        <w:t>，制定年度学习计划，中心组学习与全体干职工学习同步骤、同内容、同要求，吃透领会中央和上级党委精神，增强“学习强国”平台学习的参与率和学习成效。</w:t>
      </w:r>
      <w:r>
        <w:rPr>
          <w:b/>
          <w:bCs/>
          <w:szCs w:val="32"/>
        </w:rPr>
        <w:t>强化政治执行力</w:t>
      </w:r>
      <w:r>
        <w:rPr>
          <w:szCs w:val="32"/>
        </w:rPr>
        <w:t>，强化工作落实的督查督办，运用“三会一课”制度解决执行力与思想层面的问题，确保各项工作执行“有回音、有回响、有落实”。</w:t>
      </w:r>
    </w:p>
    <w:p w14:paraId="7BF1EC67">
      <w:pPr>
        <w:spacing w:line="594" w:lineRule="exact"/>
        <w:ind w:firstLine="643" w:firstLineChars="200"/>
        <w:rPr>
          <w:b/>
          <w:bCs/>
          <w:szCs w:val="32"/>
        </w:rPr>
      </w:pPr>
      <w:r>
        <w:rPr>
          <w:b/>
          <w:bCs/>
          <w:szCs w:val="32"/>
        </w:rPr>
        <w:t>2. 求真务实，全力营造廉政廉洁良好环境</w:t>
      </w:r>
    </w:p>
    <w:p w14:paraId="43C5CFB4">
      <w:pPr>
        <w:spacing w:line="594" w:lineRule="exact"/>
        <w:ind w:firstLine="640" w:firstLineChars="200"/>
        <w:rPr>
          <w:color w:val="000000"/>
          <w:spacing w:val="8"/>
          <w:szCs w:val="32"/>
        </w:rPr>
      </w:pPr>
      <w:r>
        <w:rPr>
          <w:szCs w:val="32"/>
        </w:rPr>
        <w:t>我中心切实履行党风廉政建设主体责任，</w:t>
      </w:r>
      <w:r>
        <w:rPr>
          <w:szCs w:val="32"/>
          <w:lang w:eastAsia="zh-Hans"/>
        </w:rPr>
        <w:t>积极</w:t>
      </w:r>
      <w:r>
        <w:rPr>
          <w:szCs w:val="32"/>
        </w:rPr>
        <w:t>建设忠诚干净担当的中心队伍。</w:t>
      </w:r>
      <w:r>
        <w:rPr>
          <w:b/>
          <w:bCs/>
          <w:color w:val="000000"/>
          <w:spacing w:val="8"/>
          <w:szCs w:val="32"/>
        </w:rPr>
        <w:t>抓实教育，理想信念更加坚定。</w:t>
      </w:r>
      <w:r>
        <w:rPr>
          <w:color w:val="000000"/>
          <w:spacing w:val="8"/>
          <w:szCs w:val="32"/>
        </w:rPr>
        <w:t>组织党员干部认真学习党的二十大</w:t>
      </w:r>
      <w:r>
        <w:rPr>
          <w:color w:val="000000"/>
          <w:spacing w:val="8"/>
          <w:szCs w:val="32"/>
          <w:lang w:eastAsia="zh-Hans"/>
        </w:rPr>
        <w:t>精神</w:t>
      </w:r>
      <w:r>
        <w:rPr>
          <w:color w:val="000000"/>
          <w:spacing w:val="8"/>
          <w:szCs w:val="32"/>
        </w:rPr>
        <w:t>、习近平系列重要讲话</w:t>
      </w:r>
      <w:r>
        <w:rPr>
          <w:color w:val="000000"/>
          <w:spacing w:val="8"/>
          <w:szCs w:val="32"/>
          <w:lang w:eastAsia="zh-Hans"/>
        </w:rPr>
        <w:t>等</w:t>
      </w:r>
      <w:r>
        <w:rPr>
          <w:color w:val="000000"/>
          <w:spacing w:val="8"/>
          <w:szCs w:val="32"/>
        </w:rPr>
        <w:t>，及时传达上级文件会议精神和典型案例通报；组织党员干部集中观看警示教育专题片，参观廉政警示教育基地；及时下发廉节通知，切实筑牢拒腐防变思想防线。</w:t>
      </w:r>
      <w:r>
        <w:rPr>
          <w:b/>
          <w:bCs/>
          <w:color w:val="000000"/>
          <w:spacing w:val="8"/>
          <w:szCs w:val="32"/>
        </w:rPr>
        <w:t>严肃组织生活，党性锻炼更加扎实。</w:t>
      </w:r>
      <w:r>
        <w:rPr>
          <w:color w:val="000000"/>
          <w:spacing w:val="8"/>
          <w:szCs w:val="32"/>
        </w:rPr>
        <w:t>认真落实三会一课、“第一议题”制度、民主生活会、领导干部双重组织生活、谈心谈话等制度；坚决贯彻民主集中制，凡事按程序守规矩，坚持三重一大集体研究、会议决定。</w:t>
      </w:r>
      <w:r>
        <w:rPr>
          <w:b/>
          <w:bCs/>
          <w:color w:val="000000"/>
          <w:spacing w:val="8"/>
          <w:szCs w:val="32"/>
        </w:rPr>
        <w:t>坚持监督从严，聚焦四种形态。</w:t>
      </w:r>
      <w:r>
        <w:rPr>
          <w:color w:val="000000"/>
          <w:spacing w:val="8"/>
          <w:szCs w:val="32"/>
        </w:rPr>
        <w:t>严格履行一岗双责，召开中心党风廉政工作会议，编制中心领导班子落实党风廉政建设主体责任清单，层层明确任务、压实责任。</w:t>
      </w:r>
    </w:p>
    <w:p w14:paraId="390E2439">
      <w:pPr>
        <w:spacing w:line="594" w:lineRule="exact"/>
        <w:ind w:firstLine="643" w:firstLineChars="200"/>
        <w:rPr>
          <w:b/>
          <w:bCs/>
          <w:szCs w:val="32"/>
        </w:rPr>
      </w:pPr>
      <w:r>
        <w:rPr>
          <w:b/>
          <w:bCs/>
          <w:szCs w:val="32"/>
        </w:rPr>
        <w:t>3. 真抓实干，坚决扛起安全工作各项责任。</w:t>
      </w:r>
    </w:p>
    <w:p w14:paraId="10026B62">
      <w:pPr>
        <w:spacing w:line="594" w:lineRule="exact"/>
        <w:ind w:firstLine="643" w:firstLineChars="200"/>
        <w:rPr>
          <w:szCs w:val="32"/>
          <w:lang w:eastAsia="zh-Hans"/>
        </w:rPr>
      </w:pPr>
      <w:r>
        <w:rPr>
          <w:b/>
          <w:bCs/>
          <w:szCs w:val="32"/>
          <w:lang w:eastAsia="zh-Hans"/>
        </w:rPr>
        <w:t>构筑长效机制。</w:t>
      </w:r>
      <w:r>
        <w:rPr>
          <w:szCs w:val="32"/>
        </w:rPr>
        <w:t>中心成立了安全工作领导小组</w:t>
      </w:r>
      <w:r>
        <w:rPr>
          <w:szCs w:val="32"/>
          <w:lang w:eastAsia="zh-Hans"/>
        </w:rPr>
        <w:t>并明确了</w:t>
      </w:r>
      <w:r>
        <w:rPr>
          <w:szCs w:val="32"/>
        </w:rPr>
        <w:t>中心安全专干。</w:t>
      </w:r>
      <w:r>
        <w:rPr>
          <w:b/>
          <w:bCs/>
          <w:szCs w:val="32"/>
          <w:lang w:eastAsia="zh-Hans"/>
        </w:rPr>
        <w:t>防溺水工作学习宣传。</w:t>
      </w:r>
      <w:r>
        <w:rPr>
          <w:szCs w:val="32"/>
        </w:rPr>
        <w:t>针对溺亡事故几率显著提高，中心领导在各类会议上要求全体干职工</w:t>
      </w:r>
      <w:r>
        <w:rPr>
          <w:szCs w:val="32"/>
          <w:lang w:eastAsia="zh-Hans"/>
        </w:rPr>
        <w:t>积极</w:t>
      </w:r>
      <w:r>
        <w:rPr>
          <w:szCs w:val="32"/>
        </w:rPr>
        <w:t>配合学校加强小孩防溺水知识的学习。</w:t>
      </w:r>
      <w:r>
        <w:rPr>
          <w:b/>
          <w:bCs/>
          <w:szCs w:val="32"/>
          <w:lang w:eastAsia="zh-Hans"/>
        </w:rPr>
        <w:t>交通</w:t>
      </w:r>
      <w:r>
        <w:rPr>
          <w:b/>
          <w:bCs/>
          <w:szCs w:val="32"/>
        </w:rPr>
        <w:t>顽瘴痼疾</w:t>
      </w:r>
      <w:r>
        <w:rPr>
          <w:b/>
          <w:bCs/>
          <w:szCs w:val="32"/>
          <w:lang w:eastAsia="zh-Hans"/>
        </w:rPr>
        <w:t>问题整治。</w:t>
      </w:r>
      <w:r>
        <w:rPr>
          <w:szCs w:val="32"/>
        </w:rPr>
        <w:t>我中心集中学习了《桃江县交通问题顽瘴痼疾集中整治宣传月方案》文件</w:t>
      </w:r>
      <w:r>
        <w:rPr>
          <w:szCs w:val="32"/>
          <w:lang w:eastAsia="zh-Hans"/>
        </w:rPr>
        <w:t>精神</w:t>
      </w:r>
      <w:r>
        <w:rPr>
          <w:szCs w:val="32"/>
        </w:rPr>
        <w:t>，会上要求全体干职工严格遵守交通法规。</w:t>
      </w:r>
      <w:r>
        <w:rPr>
          <w:b/>
          <w:bCs/>
          <w:szCs w:val="32"/>
          <w:lang w:eastAsia="zh-Hans"/>
        </w:rPr>
        <w:t>加强网络安全教育。</w:t>
      </w:r>
      <w:r>
        <w:rPr>
          <w:szCs w:val="32"/>
        </w:rPr>
        <w:t>结合打击整治养老诈骗专项行动，大力开展网络安全教育宣传，发放传单300余份，悬挂宣传条幅2</w:t>
      </w:r>
      <w:r>
        <w:rPr>
          <w:szCs w:val="32"/>
          <w:lang w:eastAsia="zh-Hans"/>
        </w:rPr>
        <w:t>条。</w:t>
      </w:r>
      <w:r>
        <w:rPr>
          <w:b/>
          <w:bCs/>
          <w:szCs w:val="32"/>
          <w:lang w:eastAsia="zh-Hans"/>
        </w:rPr>
        <w:t>积极推进森林防灭火宣传行动。</w:t>
      </w:r>
      <w:r>
        <w:rPr>
          <w:szCs w:val="32"/>
          <w:lang w:eastAsia="zh-Hans"/>
        </w:rPr>
        <w:t>全体干职工</w:t>
      </w:r>
      <w:r>
        <w:rPr>
          <w:szCs w:val="32"/>
        </w:rPr>
        <w:t>深入高桥镇罗溪村开展森林防灭火“敲门行动”，共走访290户。同时，中心5名干部</w:t>
      </w:r>
      <w:r>
        <w:rPr>
          <w:szCs w:val="32"/>
          <w:lang w:eastAsia="zh-Hans"/>
        </w:rPr>
        <w:t>在</w:t>
      </w:r>
      <w:r>
        <w:rPr>
          <w:szCs w:val="32"/>
        </w:rPr>
        <w:t>驻村期间发现并处置隐患火情40余次，封锁山路10余条。</w:t>
      </w:r>
      <w:r>
        <w:rPr>
          <w:b/>
          <w:bCs/>
          <w:szCs w:val="32"/>
          <w:lang w:eastAsia="zh-Hans"/>
        </w:rPr>
        <w:t>强化落实疫情防控宣传。</w:t>
      </w:r>
      <w:r>
        <w:rPr>
          <w:szCs w:val="32"/>
          <w:lang w:eastAsia="zh-Hans"/>
        </w:rPr>
        <w:t>根据相关要求，中心干职工</w:t>
      </w:r>
      <w:r>
        <w:rPr>
          <w:szCs w:val="32"/>
        </w:rPr>
        <w:t>多次</w:t>
      </w:r>
      <w:r>
        <w:rPr>
          <w:szCs w:val="32"/>
          <w:lang w:eastAsia="zh-Hans"/>
        </w:rPr>
        <w:t>前往杨家坳社区开展疫情防控摸排工作，将居民全部摸排到位，并签署了疫情防控告知书。</w:t>
      </w:r>
    </w:p>
    <w:p w14:paraId="73AEA34A">
      <w:pPr>
        <w:spacing w:line="594" w:lineRule="exact"/>
        <w:ind w:firstLine="643" w:firstLineChars="200"/>
        <w:rPr>
          <w:b/>
          <w:bCs/>
          <w:szCs w:val="32"/>
        </w:rPr>
      </w:pPr>
      <w:r>
        <w:rPr>
          <w:b/>
          <w:bCs/>
          <w:szCs w:val="32"/>
        </w:rPr>
        <w:t>4. 谋篇布局，积极提高意识形态思想认识</w:t>
      </w:r>
    </w:p>
    <w:p w14:paraId="213C2981">
      <w:pPr>
        <w:pStyle w:val="2"/>
        <w:spacing w:line="594" w:lineRule="exact"/>
        <w:ind w:firstLine="675" w:firstLineChars="200"/>
        <w:rPr>
          <w:rFonts w:ascii="Times New Roman" w:hAnsi="Times New Roman" w:eastAsia="仿宋_GB2312"/>
          <w:sz w:val="32"/>
          <w:szCs w:val="32"/>
        </w:rPr>
      </w:pPr>
      <w:r>
        <w:rPr>
          <w:rFonts w:ascii="Times New Roman" w:hAnsi="Times New Roman" w:eastAsia="仿宋_GB2312"/>
          <w:b/>
          <w:bCs/>
          <w:color w:val="000000"/>
          <w:spacing w:val="8"/>
          <w:sz w:val="32"/>
          <w:szCs w:val="32"/>
        </w:rPr>
        <w:t>加强理论学习。</w:t>
      </w:r>
      <w:r>
        <w:rPr>
          <w:rFonts w:ascii="Times New Roman" w:hAnsi="Times New Roman" w:eastAsia="仿宋_GB2312"/>
          <w:color w:val="000000"/>
          <w:spacing w:val="8"/>
          <w:sz w:val="32"/>
          <w:szCs w:val="32"/>
        </w:rPr>
        <w:t>严格落实中心组理论（扩大）学习、党支部学习；扎实开展经常性党课教育，录制党课“微视频”；及时完成党报党刊的征订，促使学习融入生活。</w:t>
      </w:r>
      <w:r>
        <w:rPr>
          <w:rFonts w:ascii="Times New Roman" w:hAnsi="Times New Roman" w:eastAsia="仿宋_GB2312"/>
          <w:b/>
          <w:bCs/>
          <w:color w:val="000000"/>
          <w:spacing w:val="8"/>
          <w:sz w:val="32"/>
          <w:szCs w:val="32"/>
        </w:rPr>
        <w:t>广泛开展宣传教育活动。</w:t>
      </w:r>
      <w:r>
        <w:rPr>
          <w:rFonts w:ascii="Times New Roman" w:hAnsi="Times New Roman" w:eastAsia="仿宋_GB2312"/>
          <w:color w:val="000000"/>
          <w:spacing w:val="8"/>
          <w:sz w:val="32"/>
          <w:szCs w:val="32"/>
          <w:lang w:eastAsia="zh-Hans"/>
        </w:rPr>
        <w:t>贯彻</w:t>
      </w:r>
      <w:r>
        <w:rPr>
          <w:rFonts w:ascii="Times New Roman" w:hAnsi="Times New Roman" w:eastAsia="仿宋_GB2312"/>
          <w:color w:val="000000"/>
          <w:spacing w:val="8"/>
          <w:sz w:val="32"/>
          <w:szCs w:val="32"/>
        </w:rPr>
        <w:t>落实每项宣传教育任务，开展社会主义核心价值观、网络安全、移风易俗等多个主题宣传活动。</w:t>
      </w:r>
      <w:r>
        <w:rPr>
          <w:rFonts w:ascii="Times New Roman" w:hAnsi="Times New Roman" w:eastAsia="仿宋_GB2312"/>
          <w:b/>
          <w:bCs/>
          <w:color w:val="000000"/>
          <w:spacing w:val="8"/>
          <w:sz w:val="32"/>
          <w:szCs w:val="32"/>
        </w:rPr>
        <w:t>积极做好新闻宣传与网信工作。</w:t>
      </w:r>
      <w:r>
        <w:rPr>
          <w:rFonts w:ascii="Times New Roman" w:hAnsi="Times New Roman" w:eastAsia="仿宋_GB2312"/>
          <w:color w:val="000000"/>
          <w:spacing w:val="8"/>
          <w:sz w:val="32"/>
          <w:szCs w:val="32"/>
        </w:rPr>
        <w:t>明确意识形态工作联系人，中心全年上稿累计积分13分；制定中心信息发布“三审”制</w:t>
      </w:r>
      <w:r>
        <w:rPr>
          <w:rFonts w:ascii="Times New Roman" w:hAnsi="Times New Roman" w:eastAsia="仿宋_GB2312"/>
          <w:sz w:val="32"/>
          <w:szCs w:val="32"/>
        </w:rPr>
        <w:t>，确保网上信息发布准确、安全、高效；</w:t>
      </w:r>
      <w:r>
        <w:rPr>
          <w:rFonts w:ascii="Times New Roman" w:hAnsi="Times New Roman" w:eastAsia="仿宋_GB2312"/>
          <w:b/>
          <w:bCs/>
          <w:color w:val="000000"/>
          <w:spacing w:val="8"/>
          <w:sz w:val="32"/>
          <w:szCs w:val="32"/>
        </w:rPr>
        <w:t>推动双创工作发展。</w:t>
      </w:r>
      <w:r>
        <w:rPr>
          <w:rFonts w:ascii="Times New Roman" w:hAnsi="Times New Roman" w:eastAsia="仿宋_GB2312"/>
          <w:sz w:val="32"/>
          <w:szCs w:val="32"/>
        </w:rPr>
        <w:t>积极履行责任路段值班职责，抓好路段创建工作；按照“谁主管、谁负责”的原则，全面开展公共场所禁烟工作。</w:t>
      </w:r>
    </w:p>
    <w:p w14:paraId="0798D6F1">
      <w:pPr>
        <w:spacing w:line="594" w:lineRule="exact"/>
        <w:ind w:firstLine="643" w:firstLineChars="200"/>
        <w:rPr>
          <w:b/>
          <w:bCs/>
          <w:szCs w:val="32"/>
        </w:rPr>
      </w:pPr>
      <w:r>
        <w:rPr>
          <w:b/>
          <w:bCs/>
          <w:szCs w:val="32"/>
        </w:rPr>
        <w:t>5. 高度重视，有序推进乡村振兴稳步向前</w:t>
      </w:r>
    </w:p>
    <w:p w14:paraId="73181060">
      <w:pPr>
        <w:spacing w:line="594" w:lineRule="exact"/>
        <w:ind w:firstLine="643" w:firstLineChars="200"/>
        <w:rPr>
          <w:lang w:eastAsia="zh-Hans"/>
        </w:rPr>
      </w:pPr>
      <w:r>
        <w:rPr>
          <w:b/>
          <w:bCs/>
          <w:szCs w:val="32"/>
          <w:lang w:eastAsia="zh-Hans"/>
        </w:rPr>
        <w:t>加强组织领导。</w:t>
      </w:r>
      <w:r>
        <w:rPr>
          <w:szCs w:val="32"/>
        </w:rPr>
        <w:t>在白家河村成立整建提质行动工作领导小组，联合组建驻村工作队；我中心</w:t>
      </w:r>
      <w:r>
        <w:rPr>
          <w:szCs w:val="32"/>
          <w:lang w:eastAsia="zh-Hans"/>
        </w:rPr>
        <w:t>在党组会上</w:t>
      </w:r>
      <w:r>
        <w:rPr>
          <w:szCs w:val="32"/>
        </w:rPr>
        <w:t>定期研究乡村振兴重点工作，落实职责任务。</w:t>
      </w:r>
      <w:r>
        <w:rPr>
          <w:b/>
          <w:bCs/>
          <w:szCs w:val="32"/>
          <w:lang w:eastAsia="zh-Hans"/>
        </w:rPr>
        <w:t>强化理论学习。</w:t>
      </w:r>
      <w:r>
        <w:rPr>
          <w:szCs w:val="32"/>
        </w:rPr>
        <w:t>我中心高度重视，学习习近平总书记关于实施乡村振兴战略的重要论述和三农重要理论与政策。</w:t>
      </w:r>
      <w:r>
        <w:rPr>
          <w:b/>
          <w:bCs/>
          <w:szCs w:val="32"/>
          <w:lang w:eastAsia="zh-Hans"/>
        </w:rPr>
        <w:t>开展整建提质专项行动。</w:t>
      </w:r>
      <w:r>
        <w:rPr>
          <w:szCs w:val="32"/>
        </w:rPr>
        <w:t>中心班子成员每月专题研究整建提质工作推进情况，制定工作任务清单；党员干部前往白家河村开展“坚决对‘五种情形’说不”宣传，通过</w:t>
      </w:r>
      <w:r>
        <w:rPr>
          <w:szCs w:val="32"/>
          <w:lang w:eastAsia="zh-Hans"/>
        </w:rPr>
        <w:t>多种方</w:t>
      </w:r>
      <w:r>
        <w:rPr>
          <w:szCs w:val="32"/>
        </w:rPr>
        <w:t>式，提高广大群众对“五种情形”的辨别能力。</w:t>
      </w:r>
      <w:r>
        <w:rPr>
          <w:b/>
          <w:bCs/>
          <w:szCs w:val="32"/>
          <w:lang w:eastAsia="zh-Hans"/>
        </w:rPr>
        <w:t>抓实抓细日常工作。</w:t>
      </w:r>
      <w:r>
        <w:rPr>
          <w:szCs w:val="32"/>
        </w:rPr>
        <w:t>严格落实文件要求，为白家河村提供</w:t>
      </w:r>
      <w:r>
        <w:rPr>
          <w:szCs w:val="32"/>
          <w:lang w:eastAsia="zh-Hans"/>
        </w:rPr>
        <w:t>了</w:t>
      </w:r>
      <w:r>
        <w:rPr>
          <w:szCs w:val="32"/>
        </w:rPr>
        <w:t>5万元帮扶资金；</w:t>
      </w:r>
      <w:r>
        <w:rPr>
          <w:szCs w:val="32"/>
          <w:lang w:eastAsia="zh-Hans"/>
        </w:rPr>
        <w:t>根据</w:t>
      </w:r>
      <w:r>
        <w:rPr>
          <w:szCs w:val="32"/>
        </w:rPr>
        <w:t>党组成员一对一联系帮扶要求，共帮扶监测户一户，脱贫户二户，</w:t>
      </w:r>
      <w:r>
        <w:rPr>
          <w:szCs w:val="32"/>
          <w:lang w:eastAsia="zh-Hans"/>
        </w:rPr>
        <w:t>并坚持</w:t>
      </w:r>
      <w:r>
        <w:rPr>
          <w:szCs w:val="32"/>
        </w:rPr>
        <w:t>每月走访慰问贫困户。</w:t>
      </w:r>
    </w:p>
    <w:p w14:paraId="1CAC0381">
      <w:pPr>
        <w:widowControl/>
        <w:shd w:val="clear" w:color="auto" w:fill="FFFFFF"/>
        <w:spacing w:line="594" w:lineRule="exact"/>
        <w:ind w:firstLine="640"/>
        <w:rPr>
          <w:szCs w:val="32"/>
        </w:rPr>
      </w:pPr>
      <w:r>
        <w:rPr>
          <w:szCs w:val="32"/>
        </w:rPr>
        <w:t>另外，</w:t>
      </w:r>
      <w:r>
        <w:rPr>
          <w:color w:val="000000"/>
          <w:szCs w:val="32"/>
          <w:shd w:val="clear" w:color="auto" w:fill="FFFFFF"/>
        </w:rPr>
        <w:t xml:space="preserve"> </w:t>
      </w:r>
      <w:r>
        <w:rPr>
          <w:szCs w:val="32"/>
        </w:rPr>
        <w:t>综治维稳、人口和计划生育、“双创”、统计、市场监督、社会治安等工作统筹推进，确保了中心各项工作安全有序顺利开展。</w:t>
      </w:r>
    </w:p>
    <w:p w14:paraId="06BC66A0">
      <w:pPr>
        <w:pStyle w:val="3"/>
        <w:spacing w:line="594" w:lineRule="exact"/>
        <w:ind w:firstLine="640" w:firstLineChars="200"/>
        <w:rPr>
          <w:rFonts w:ascii="Times New Roman" w:eastAsia="仿宋_GB2312" w:cs="Times New Roman"/>
          <w:sz w:val="32"/>
          <w:szCs w:val="32"/>
        </w:rPr>
      </w:pPr>
      <w:r>
        <w:rPr>
          <w:rFonts w:ascii="Times New Roman" w:eastAsia="仿宋_GB2312" w:cs="Times New Roman"/>
          <w:sz w:val="32"/>
          <w:szCs w:val="32"/>
        </w:rPr>
        <w:t>从整体情况来看，我中心严格按照预算进行部门整体支出。在支出过程中，严格遵守</w:t>
      </w:r>
      <w:r>
        <w:rPr>
          <w:rFonts w:hint="eastAsia" w:ascii="Times New Roman" w:eastAsia="仿宋_GB2312" w:cs="Times New Roman"/>
          <w:sz w:val="32"/>
          <w:szCs w:val="32"/>
        </w:rPr>
        <w:t>了</w:t>
      </w:r>
      <w:r>
        <w:rPr>
          <w:rFonts w:ascii="Times New Roman" w:eastAsia="仿宋_GB2312" w:cs="Times New Roman"/>
          <w:sz w:val="32"/>
          <w:szCs w:val="32"/>
        </w:rPr>
        <w:t>各项规章制度。项目详细制定了方案，严格按方案组织实施，并加强了监督。在项目经费上按项目实施计划的进度情况进行资金拨付，无截留、无挪用等现象。</w:t>
      </w:r>
    </w:p>
    <w:p w14:paraId="5286C876">
      <w:pPr>
        <w:widowControl/>
        <w:spacing w:line="594" w:lineRule="exact"/>
        <w:ind w:firstLine="640" w:firstLineChars="200"/>
        <w:rPr>
          <w:rFonts w:eastAsia="黑体"/>
          <w:kern w:val="0"/>
          <w:szCs w:val="32"/>
        </w:rPr>
      </w:pPr>
      <w:r>
        <w:rPr>
          <w:rFonts w:eastAsia="黑体"/>
          <w:bCs/>
          <w:kern w:val="0"/>
          <w:szCs w:val="32"/>
        </w:rPr>
        <w:t>五、绩效评价工作开展情况</w:t>
      </w:r>
    </w:p>
    <w:p w14:paraId="7984454D">
      <w:pPr>
        <w:widowControl/>
        <w:spacing w:line="594" w:lineRule="exact"/>
        <w:ind w:firstLine="640" w:firstLineChars="200"/>
        <w:rPr>
          <w:rFonts w:eastAsia="楷体_GB2312"/>
          <w:bCs/>
          <w:kern w:val="0"/>
          <w:szCs w:val="32"/>
        </w:rPr>
      </w:pPr>
      <w:r>
        <w:rPr>
          <w:rFonts w:eastAsia="楷体_GB2312"/>
          <w:bCs/>
          <w:kern w:val="0"/>
          <w:szCs w:val="32"/>
        </w:rPr>
        <w:t>（一）绩效评价目的</w:t>
      </w:r>
    </w:p>
    <w:p w14:paraId="6B63B989">
      <w:pPr>
        <w:spacing w:line="594" w:lineRule="exact"/>
        <w:ind w:firstLine="640" w:firstLineChars="200"/>
        <w:rPr>
          <w:b/>
          <w:kern w:val="0"/>
          <w:szCs w:val="32"/>
        </w:rPr>
      </w:pPr>
      <w:r>
        <w:rPr>
          <w:kern w:val="0"/>
          <w:szCs w:val="32"/>
        </w:rPr>
        <w:t>我中心认真贯彻落实党的二十大和二十届一中全会精神，进一步加强财政支出的监督管理，规范支出预算执行，提高财政资金使用效益，强化财政支出绩效理念，科学合理编制年度预算，切实发挥财政资金资源配置作用，逐步建立以科学理财为基础，以精细化管理为手段，以评价结果为导向，以实施过程为监管对象的预算管理体系</w:t>
      </w:r>
      <w:r>
        <w:rPr>
          <w:rFonts w:hint="eastAsia"/>
          <w:kern w:val="0"/>
          <w:szCs w:val="32"/>
        </w:rPr>
        <w:t>，</w:t>
      </w:r>
      <w:r>
        <w:rPr>
          <w:kern w:val="0"/>
          <w:szCs w:val="32"/>
        </w:rPr>
        <w:t>进而提升部门责任意识，促进中心事业发展。</w:t>
      </w:r>
    </w:p>
    <w:p w14:paraId="22AF82E9">
      <w:pPr>
        <w:widowControl/>
        <w:spacing w:line="594" w:lineRule="exact"/>
        <w:ind w:firstLine="640" w:firstLineChars="200"/>
        <w:rPr>
          <w:rFonts w:eastAsia="楷体_GB2312"/>
          <w:b/>
          <w:kern w:val="0"/>
          <w:szCs w:val="32"/>
        </w:rPr>
      </w:pPr>
      <w:r>
        <w:rPr>
          <w:rFonts w:eastAsia="楷体_GB2312"/>
          <w:bCs/>
          <w:kern w:val="0"/>
          <w:szCs w:val="32"/>
        </w:rPr>
        <w:t>（二）绩效评价工作过程</w:t>
      </w:r>
    </w:p>
    <w:p w14:paraId="3D0E0CD5">
      <w:pPr>
        <w:widowControl/>
        <w:spacing w:line="594" w:lineRule="exact"/>
        <w:ind w:firstLine="640" w:firstLineChars="200"/>
        <w:rPr>
          <w:kern w:val="0"/>
          <w:szCs w:val="32"/>
        </w:rPr>
      </w:pPr>
      <w:r>
        <w:rPr>
          <w:kern w:val="0"/>
          <w:szCs w:val="32"/>
        </w:rPr>
        <w:t>根据桃江县财政局关于印发《桃江县财政局关于开展2022年度财政资金绩效自评工作的通知》（桃财监〔2023〕63号）文件的要求，成立了工作小组，对照自评方案进行研究部署，班子成员及各股室全程参与，按照自评方案的要求，对照各实施项目的内容逐条逐项自评，及时发现问题，查找原因，纠正偏差，为下一步工作夯实基础。绩效评价工作主要如下：</w:t>
      </w:r>
    </w:p>
    <w:p w14:paraId="14800ACD">
      <w:pPr>
        <w:widowControl/>
        <w:spacing w:line="594" w:lineRule="exact"/>
        <w:ind w:firstLine="640" w:firstLineChars="200"/>
        <w:rPr>
          <w:kern w:val="0"/>
          <w:szCs w:val="32"/>
        </w:rPr>
      </w:pPr>
      <w:r>
        <w:rPr>
          <w:kern w:val="0"/>
          <w:szCs w:val="32"/>
        </w:rPr>
        <w:t>1. 核实数据。对2022年度部门整体支出数据的准确性、真实性进行核实，分析。</w:t>
      </w:r>
    </w:p>
    <w:p w14:paraId="1339A251">
      <w:pPr>
        <w:widowControl/>
        <w:spacing w:line="594" w:lineRule="exact"/>
        <w:ind w:firstLine="640" w:firstLineChars="200"/>
        <w:rPr>
          <w:kern w:val="0"/>
          <w:szCs w:val="32"/>
        </w:rPr>
      </w:pPr>
      <w:r>
        <w:rPr>
          <w:kern w:val="0"/>
          <w:szCs w:val="32"/>
        </w:rPr>
        <w:t>2. 查阅资料。查阅2022年度预算追加、资金管理、经费支出、资产管理等相关文件资料和财务凭证。</w:t>
      </w:r>
    </w:p>
    <w:p w14:paraId="1C151659">
      <w:pPr>
        <w:widowControl/>
        <w:spacing w:line="594" w:lineRule="exact"/>
        <w:ind w:firstLine="640" w:firstLineChars="200"/>
        <w:rPr>
          <w:kern w:val="0"/>
          <w:szCs w:val="32"/>
        </w:rPr>
      </w:pPr>
      <w:r>
        <w:rPr>
          <w:kern w:val="0"/>
          <w:szCs w:val="32"/>
        </w:rPr>
        <w:t>3. 实地查看。现场查看实物资产等。</w:t>
      </w:r>
    </w:p>
    <w:p w14:paraId="468B1D30">
      <w:pPr>
        <w:widowControl/>
        <w:spacing w:line="594" w:lineRule="exact"/>
        <w:ind w:firstLine="640" w:firstLineChars="200"/>
        <w:rPr>
          <w:kern w:val="0"/>
          <w:szCs w:val="32"/>
        </w:rPr>
      </w:pPr>
      <w:r>
        <w:rPr>
          <w:kern w:val="0"/>
          <w:szCs w:val="32"/>
        </w:rPr>
        <w:t>4. 发放调查问卷。对部门履行职责情况的公众满意度进行调查。</w:t>
      </w:r>
    </w:p>
    <w:p w14:paraId="4E84DB4D">
      <w:pPr>
        <w:widowControl/>
        <w:spacing w:line="594" w:lineRule="exact"/>
        <w:ind w:firstLine="640" w:firstLineChars="200"/>
        <w:rPr>
          <w:kern w:val="0"/>
          <w:szCs w:val="32"/>
        </w:rPr>
      </w:pPr>
      <w:r>
        <w:rPr>
          <w:kern w:val="0"/>
          <w:szCs w:val="32"/>
        </w:rPr>
        <w:t>5. 归纳汇总。对提供的材料及自评报告，结合现场评价情况进行综合分析、归纳汇总。</w:t>
      </w:r>
    </w:p>
    <w:p w14:paraId="729B153F">
      <w:pPr>
        <w:widowControl/>
        <w:spacing w:line="594" w:lineRule="exact"/>
        <w:ind w:firstLine="640" w:firstLineChars="200"/>
        <w:rPr>
          <w:kern w:val="0"/>
          <w:szCs w:val="32"/>
        </w:rPr>
      </w:pPr>
      <w:r>
        <w:rPr>
          <w:kern w:val="0"/>
          <w:szCs w:val="32"/>
        </w:rPr>
        <w:t>6. 评价组对各项评价指标进行分析讨论。</w:t>
      </w:r>
    </w:p>
    <w:p w14:paraId="6A7134AD">
      <w:pPr>
        <w:widowControl/>
        <w:spacing w:line="594" w:lineRule="exact"/>
        <w:ind w:firstLine="640" w:firstLineChars="200"/>
        <w:rPr>
          <w:kern w:val="0"/>
          <w:szCs w:val="32"/>
        </w:rPr>
      </w:pPr>
      <w:r>
        <w:rPr>
          <w:kern w:val="0"/>
          <w:szCs w:val="32"/>
        </w:rPr>
        <w:t>7. 形成绩效评价报告。</w:t>
      </w:r>
    </w:p>
    <w:p w14:paraId="1529F3E7">
      <w:pPr>
        <w:widowControl/>
        <w:spacing w:line="594" w:lineRule="exact"/>
        <w:ind w:firstLine="640" w:firstLineChars="200"/>
        <w:rPr>
          <w:kern w:val="0"/>
          <w:szCs w:val="32"/>
        </w:rPr>
      </w:pPr>
      <w:r>
        <w:rPr>
          <w:kern w:val="0"/>
          <w:szCs w:val="32"/>
        </w:rPr>
        <w:t>根据评价指标体系测算，本单位部门整体支出绩效自评得分是：投入绩效为10分，过程绩效为30分，产出绩效为30分，效果绩效为30分，总绩效为100分。评价结果等次为“ 优 ”。</w:t>
      </w:r>
    </w:p>
    <w:p w14:paraId="18588ABC">
      <w:pPr>
        <w:widowControl/>
        <w:spacing w:line="594" w:lineRule="exact"/>
        <w:ind w:firstLine="640" w:firstLineChars="200"/>
        <w:rPr>
          <w:rFonts w:eastAsia="黑体"/>
          <w:bCs/>
          <w:kern w:val="0"/>
          <w:szCs w:val="32"/>
        </w:rPr>
      </w:pPr>
      <w:r>
        <w:rPr>
          <w:rFonts w:hint="eastAsia" w:eastAsia="黑体"/>
          <w:bCs/>
          <w:kern w:val="0"/>
          <w:szCs w:val="32"/>
        </w:rPr>
        <w:t>六、</w:t>
      </w:r>
      <w:r>
        <w:rPr>
          <w:rFonts w:eastAsia="黑体"/>
          <w:bCs/>
          <w:kern w:val="0"/>
          <w:szCs w:val="32"/>
        </w:rPr>
        <w:t>存在的主要问题</w:t>
      </w:r>
    </w:p>
    <w:p w14:paraId="5B2D326E">
      <w:pPr>
        <w:widowControl/>
        <w:spacing w:line="594" w:lineRule="exact"/>
        <w:ind w:firstLine="640" w:firstLineChars="200"/>
        <w:rPr>
          <w:bCs/>
          <w:kern w:val="0"/>
          <w:szCs w:val="32"/>
        </w:rPr>
      </w:pPr>
      <w:r>
        <w:rPr>
          <w:bCs/>
          <w:kern w:val="0"/>
          <w:szCs w:val="32"/>
        </w:rPr>
        <w:t>制度执行总体较为有效，但仍需进一步强化，资金使用管理需进一步加强。</w:t>
      </w:r>
    </w:p>
    <w:p w14:paraId="1F6ABDB9">
      <w:pPr>
        <w:widowControl/>
        <w:spacing w:line="594" w:lineRule="exact"/>
        <w:ind w:firstLine="640" w:firstLineChars="200"/>
        <w:rPr>
          <w:rFonts w:eastAsia="黑体"/>
          <w:bCs/>
          <w:kern w:val="0"/>
          <w:szCs w:val="32"/>
        </w:rPr>
      </w:pPr>
      <w:r>
        <w:rPr>
          <w:rFonts w:eastAsia="黑体"/>
          <w:bCs/>
          <w:kern w:val="0"/>
          <w:szCs w:val="32"/>
        </w:rPr>
        <w:t>七、改进措施和有关建议</w:t>
      </w:r>
    </w:p>
    <w:p w14:paraId="689D4858">
      <w:pPr>
        <w:widowControl/>
        <w:spacing w:line="594" w:lineRule="exact"/>
        <w:ind w:firstLine="640" w:firstLineChars="200"/>
        <w:rPr>
          <w:bCs/>
          <w:kern w:val="0"/>
          <w:szCs w:val="32"/>
        </w:rPr>
      </w:pPr>
      <w:r>
        <w:rPr>
          <w:bCs/>
          <w:kern w:val="0"/>
          <w:szCs w:val="32"/>
        </w:rPr>
        <w:t>1. 细化预算编制工作，严格按照预算编制的相关制度和要求做好预算的编制，进一步加强各股室的预算管理意识；全面编制预算项目，优先保障固定的、相对刚性的费用支出项目，尽量压缩变动的、有控制空间的费用项目，进一步提高预算编制的科学性、严谨性和可控性。</w:t>
      </w:r>
    </w:p>
    <w:p w14:paraId="7A90EAE6">
      <w:pPr>
        <w:widowControl/>
        <w:spacing w:line="594" w:lineRule="exact"/>
        <w:ind w:firstLine="640" w:firstLineChars="200"/>
        <w:rPr>
          <w:bCs/>
          <w:kern w:val="0"/>
          <w:szCs w:val="32"/>
        </w:rPr>
      </w:pPr>
      <w:r>
        <w:rPr>
          <w:bCs/>
          <w:kern w:val="0"/>
          <w:szCs w:val="32"/>
        </w:rPr>
        <w:t>2. 认真学习采购相关文件，增强依法采购意识，提高依法采购水平，同时加强政府采购预算、计划编制，采购实施按规定、按计划执行。</w:t>
      </w:r>
    </w:p>
    <w:p w14:paraId="49552FDB">
      <w:pPr>
        <w:widowControl/>
        <w:spacing w:line="594" w:lineRule="exact"/>
        <w:ind w:firstLine="640" w:firstLineChars="200"/>
        <w:rPr>
          <w:bCs/>
          <w:kern w:val="0"/>
          <w:szCs w:val="32"/>
        </w:rPr>
      </w:pPr>
      <w:r>
        <w:rPr>
          <w:bCs/>
          <w:kern w:val="0"/>
          <w:szCs w:val="32"/>
        </w:rPr>
        <w:t>3. 加大财政预算投入的力度，实现政府投资资金的规范、高效、安全和廉洁使用。</w:t>
      </w:r>
    </w:p>
    <w:p w14:paraId="7F6AED66">
      <w:pPr>
        <w:widowControl/>
        <w:spacing w:line="594" w:lineRule="exact"/>
        <w:ind w:firstLine="640" w:firstLineChars="200"/>
        <w:rPr>
          <w:bCs/>
          <w:kern w:val="0"/>
          <w:szCs w:val="32"/>
        </w:rPr>
      </w:pPr>
      <w:r>
        <w:rPr>
          <w:bCs/>
          <w:kern w:val="0"/>
          <w:szCs w:val="32"/>
        </w:rPr>
        <w:t>4. 建立健全财务管理制度及内部控制制度，积极探索在新形势下财政支出改革的特点，不断更新管理思路，在规范财政收支和控制经费增长上，创新管理手段，用新思路、新方法，改进完善财务管理方法。严格财务审核，在费用报账支付时，按照预算规定的费用项目和用途进行资金审核、列报支付、财务核算，杜绝超支现象的发生。</w:t>
      </w:r>
    </w:p>
    <w:p w14:paraId="5A0DDB41">
      <w:pPr>
        <w:widowControl/>
        <w:spacing w:line="594" w:lineRule="exact"/>
        <w:ind w:firstLine="640" w:firstLineChars="200"/>
        <w:rPr>
          <w:bCs/>
          <w:kern w:val="0"/>
          <w:szCs w:val="32"/>
        </w:rPr>
      </w:pPr>
      <w:r>
        <w:rPr>
          <w:bCs/>
          <w:kern w:val="0"/>
          <w:szCs w:val="32"/>
        </w:rPr>
        <w:t>5. 按照财政支出绩效管理的要求，建立科学的财政资金效益考评体系，牢固树立行政成本意识，不断提高财政资金使用管理的水平和效率。</w:t>
      </w:r>
    </w:p>
    <w:p w14:paraId="4599AFD8">
      <w:pPr>
        <w:pStyle w:val="3"/>
        <w:spacing w:line="594" w:lineRule="exact"/>
        <w:ind w:firstLine="640" w:firstLineChars="200"/>
        <w:rPr>
          <w:rFonts w:ascii="Times New Roman" w:eastAsia="仿宋_GB2312" w:cs="Times New Roman"/>
          <w:sz w:val="32"/>
          <w:szCs w:val="32"/>
        </w:rPr>
      </w:pPr>
      <w:r>
        <w:rPr>
          <w:rFonts w:ascii="Times New Roman" w:eastAsia="仿宋_GB2312" w:cs="Times New Roman"/>
          <w:sz w:val="32"/>
          <w:szCs w:val="32"/>
        </w:rPr>
        <w:t>在今后，我中心一定按项目实施计划及时拨付相关资金，做好资金统筹与分配。</w:t>
      </w:r>
    </w:p>
    <w:p w14:paraId="5F7FA2F5">
      <w:pPr>
        <w:widowControl/>
        <w:spacing w:line="594" w:lineRule="exact"/>
        <w:jc w:val="right"/>
        <w:rPr>
          <w:bCs/>
          <w:kern w:val="0"/>
          <w:szCs w:val="32"/>
        </w:rPr>
      </w:pPr>
    </w:p>
    <w:p w14:paraId="2B086B23">
      <w:pPr>
        <w:widowControl/>
        <w:spacing w:line="594" w:lineRule="exact"/>
        <w:jc w:val="right"/>
        <w:rPr>
          <w:bCs/>
          <w:kern w:val="0"/>
          <w:szCs w:val="32"/>
        </w:rPr>
      </w:pPr>
    </w:p>
    <w:p w14:paraId="40D8E29D">
      <w:pPr>
        <w:widowControl/>
        <w:spacing w:line="594" w:lineRule="exact"/>
        <w:jc w:val="right"/>
        <w:rPr>
          <w:bCs/>
          <w:kern w:val="0"/>
          <w:szCs w:val="32"/>
        </w:rPr>
      </w:pPr>
      <w:r>
        <w:rPr>
          <w:bCs/>
          <w:kern w:val="0"/>
          <w:szCs w:val="32"/>
        </w:rPr>
        <w:t>桃江县重点项目建设事务中心</w:t>
      </w:r>
    </w:p>
    <w:p w14:paraId="52126449">
      <w:pPr>
        <w:widowControl/>
        <w:spacing w:line="594" w:lineRule="exact"/>
        <w:ind w:firstLine="640" w:firstLineChars="200"/>
        <w:rPr>
          <w:bCs/>
          <w:kern w:val="0"/>
          <w:szCs w:val="32"/>
        </w:rPr>
      </w:pPr>
      <w:r>
        <w:rPr>
          <w:bCs/>
          <w:kern w:val="0"/>
          <w:szCs w:val="32"/>
        </w:rPr>
        <w:t xml:space="preserve">                       </w:t>
      </w:r>
    </w:p>
    <w:sectPr>
      <w:footerReference r:id="rId3" w:type="default"/>
      <w:pgSz w:w="11906" w:h="16838"/>
      <w:pgMar w:top="1871" w:right="1417" w:bottom="1616" w:left="1587"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22EC8E-5459-4549-8793-BD99779340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2" w:fontKey="{C65F1106-258F-46C0-8086-C6E86FEE085D}"/>
  </w:font>
  <w:font w:name="等线">
    <w:altName w:val="微软雅黑"/>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00000001" w:usb1="080E0000" w:usb2="00000000" w:usb3="00000000" w:csb0="00040000" w:csb1="00000000"/>
    <w:embedRegular r:id="rId3" w:fontKey="{50A2C625-10BC-4E17-84AA-499E04B26875}"/>
  </w:font>
  <w:font w:name="楷体_GB2312">
    <w:panose1 w:val="02010609030101010101"/>
    <w:charset w:val="86"/>
    <w:family w:val="modern"/>
    <w:pitch w:val="default"/>
    <w:sig w:usb0="00000001" w:usb1="080E0000" w:usb2="00000000" w:usb3="00000000" w:csb0="00040000" w:csb1="00000000"/>
    <w:embedRegular r:id="rId4" w:fontKey="{34DA8B65-AF8B-4CBF-B6C8-3A63F3C52827}"/>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83F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424525">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14</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E424525">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14</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attachedTemplate r:id="rId1"/>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Y2Y3NjA3M2NhMGU2YTk5MzE4YWQ5NDViZjRiODkifQ=="/>
  </w:docVars>
  <w:rsids>
    <w:rsidRoot w:val="079C0B7C"/>
    <w:rsid w:val="000C004A"/>
    <w:rsid w:val="000F3620"/>
    <w:rsid w:val="0012009A"/>
    <w:rsid w:val="00123ED0"/>
    <w:rsid w:val="00156ECD"/>
    <w:rsid w:val="00161004"/>
    <w:rsid w:val="00162F28"/>
    <w:rsid w:val="0016649F"/>
    <w:rsid w:val="00181311"/>
    <w:rsid w:val="001D323A"/>
    <w:rsid w:val="0024299F"/>
    <w:rsid w:val="00280E64"/>
    <w:rsid w:val="00291429"/>
    <w:rsid w:val="00293D6A"/>
    <w:rsid w:val="002A2CD5"/>
    <w:rsid w:val="002A6A15"/>
    <w:rsid w:val="002C2D94"/>
    <w:rsid w:val="002D35A7"/>
    <w:rsid w:val="002D51E9"/>
    <w:rsid w:val="002E79EA"/>
    <w:rsid w:val="0031568C"/>
    <w:rsid w:val="00361984"/>
    <w:rsid w:val="003C6385"/>
    <w:rsid w:val="003F608D"/>
    <w:rsid w:val="00467B7B"/>
    <w:rsid w:val="00470DE6"/>
    <w:rsid w:val="004968EC"/>
    <w:rsid w:val="00496CDC"/>
    <w:rsid w:val="00592485"/>
    <w:rsid w:val="005C6F66"/>
    <w:rsid w:val="005C7B7F"/>
    <w:rsid w:val="005D47D6"/>
    <w:rsid w:val="00612116"/>
    <w:rsid w:val="00623A8E"/>
    <w:rsid w:val="00633EA3"/>
    <w:rsid w:val="006402AE"/>
    <w:rsid w:val="0067461F"/>
    <w:rsid w:val="006B1969"/>
    <w:rsid w:val="006E60ED"/>
    <w:rsid w:val="00725179"/>
    <w:rsid w:val="007658EB"/>
    <w:rsid w:val="007720AD"/>
    <w:rsid w:val="00790EAD"/>
    <w:rsid w:val="007B2F27"/>
    <w:rsid w:val="007B6735"/>
    <w:rsid w:val="007D2074"/>
    <w:rsid w:val="008550E2"/>
    <w:rsid w:val="00855AFB"/>
    <w:rsid w:val="008737B3"/>
    <w:rsid w:val="008D2D3B"/>
    <w:rsid w:val="008D4BB8"/>
    <w:rsid w:val="008F66AB"/>
    <w:rsid w:val="00900B81"/>
    <w:rsid w:val="0091209C"/>
    <w:rsid w:val="00914D63"/>
    <w:rsid w:val="00953E78"/>
    <w:rsid w:val="009665C9"/>
    <w:rsid w:val="009769D7"/>
    <w:rsid w:val="00986AA8"/>
    <w:rsid w:val="009F4D32"/>
    <w:rsid w:val="00A01CC4"/>
    <w:rsid w:val="00A065DC"/>
    <w:rsid w:val="00A46D08"/>
    <w:rsid w:val="00A81E4D"/>
    <w:rsid w:val="00AA0041"/>
    <w:rsid w:val="00AA34CB"/>
    <w:rsid w:val="00B25455"/>
    <w:rsid w:val="00B34761"/>
    <w:rsid w:val="00B74852"/>
    <w:rsid w:val="00BA6A56"/>
    <w:rsid w:val="00BC7272"/>
    <w:rsid w:val="00BD5047"/>
    <w:rsid w:val="00BF3548"/>
    <w:rsid w:val="00C13A49"/>
    <w:rsid w:val="00C32C2F"/>
    <w:rsid w:val="00C573AB"/>
    <w:rsid w:val="00C67CE6"/>
    <w:rsid w:val="00CD7348"/>
    <w:rsid w:val="00D01670"/>
    <w:rsid w:val="00DA21CC"/>
    <w:rsid w:val="00E26AF7"/>
    <w:rsid w:val="00E43718"/>
    <w:rsid w:val="00E45621"/>
    <w:rsid w:val="00E74996"/>
    <w:rsid w:val="00E864DD"/>
    <w:rsid w:val="00E909F5"/>
    <w:rsid w:val="00EB015C"/>
    <w:rsid w:val="00EC4B54"/>
    <w:rsid w:val="00EF223F"/>
    <w:rsid w:val="00F168B6"/>
    <w:rsid w:val="00F75047"/>
    <w:rsid w:val="011B2068"/>
    <w:rsid w:val="0121759B"/>
    <w:rsid w:val="013B36B9"/>
    <w:rsid w:val="018F4641"/>
    <w:rsid w:val="01DA6F12"/>
    <w:rsid w:val="027066A3"/>
    <w:rsid w:val="02C411DA"/>
    <w:rsid w:val="03807FCB"/>
    <w:rsid w:val="03884228"/>
    <w:rsid w:val="03E72F44"/>
    <w:rsid w:val="04A51C56"/>
    <w:rsid w:val="04D87C93"/>
    <w:rsid w:val="05086350"/>
    <w:rsid w:val="05982AFF"/>
    <w:rsid w:val="05994534"/>
    <w:rsid w:val="05CE55FF"/>
    <w:rsid w:val="05EA09A0"/>
    <w:rsid w:val="0677667E"/>
    <w:rsid w:val="067B56CC"/>
    <w:rsid w:val="068B0E7E"/>
    <w:rsid w:val="06AC2D34"/>
    <w:rsid w:val="074E53C6"/>
    <w:rsid w:val="077458FA"/>
    <w:rsid w:val="079C0B7C"/>
    <w:rsid w:val="07B91EEF"/>
    <w:rsid w:val="08620FB6"/>
    <w:rsid w:val="087C518B"/>
    <w:rsid w:val="09CB16BA"/>
    <w:rsid w:val="0A2B211E"/>
    <w:rsid w:val="0ADF4CAD"/>
    <w:rsid w:val="0AE83E3E"/>
    <w:rsid w:val="0B326950"/>
    <w:rsid w:val="0BB258B2"/>
    <w:rsid w:val="0BBD27E5"/>
    <w:rsid w:val="0BCD4D32"/>
    <w:rsid w:val="0C2C2DE4"/>
    <w:rsid w:val="0C312760"/>
    <w:rsid w:val="0C7A58BD"/>
    <w:rsid w:val="0CCA6AC2"/>
    <w:rsid w:val="0CFB27F6"/>
    <w:rsid w:val="0DD67637"/>
    <w:rsid w:val="0E0760A7"/>
    <w:rsid w:val="0E2B4E2E"/>
    <w:rsid w:val="0E5709A7"/>
    <w:rsid w:val="0E612645"/>
    <w:rsid w:val="0F436924"/>
    <w:rsid w:val="0F446D3E"/>
    <w:rsid w:val="0F930914"/>
    <w:rsid w:val="0F996AE3"/>
    <w:rsid w:val="104A3CE5"/>
    <w:rsid w:val="10695A93"/>
    <w:rsid w:val="10CE0AC6"/>
    <w:rsid w:val="10D96B9B"/>
    <w:rsid w:val="112B2AB4"/>
    <w:rsid w:val="11926681"/>
    <w:rsid w:val="11B95DA0"/>
    <w:rsid w:val="11E17347"/>
    <w:rsid w:val="126B1937"/>
    <w:rsid w:val="12A06A9C"/>
    <w:rsid w:val="13454E41"/>
    <w:rsid w:val="13A342A9"/>
    <w:rsid w:val="13DA4AC3"/>
    <w:rsid w:val="13DF31BD"/>
    <w:rsid w:val="14027684"/>
    <w:rsid w:val="146F2716"/>
    <w:rsid w:val="14E3616D"/>
    <w:rsid w:val="15256609"/>
    <w:rsid w:val="15686E53"/>
    <w:rsid w:val="15892B92"/>
    <w:rsid w:val="15A24D78"/>
    <w:rsid w:val="15C145EC"/>
    <w:rsid w:val="167A277B"/>
    <w:rsid w:val="16E26746"/>
    <w:rsid w:val="16F74690"/>
    <w:rsid w:val="17235475"/>
    <w:rsid w:val="18DA46B0"/>
    <w:rsid w:val="196A2B50"/>
    <w:rsid w:val="1986688E"/>
    <w:rsid w:val="198E30B6"/>
    <w:rsid w:val="199C732A"/>
    <w:rsid w:val="19D775F0"/>
    <w:rsid w:val="1A2D60B0"/>
    <w:rsid w:val="1A3C63D0"/>
    <w:rsid w:val="1A6B0C34"/>
    <w:rsid w:val="1AB55B49"/>
    <w:rsid w:val="1B253059"/>
    <w:rsid w:val="1BF752FE"/>
    <w:rsid w:val="1CCD5F18"/>
    <w:rsid w:val="1CFA56DC"/>
    <w:rsid w:val="1D0401B4"/>
    <w:rsid w:val="1D554C6A"/>
    <w:rsid w:val="1DAF5746"/>
    <w:rsid w:val="1E0A2EF5"/>
    <w:rsid w:val="1E3A4E59"/>
    <w:rsid w:val="1E9C2C5B"/>
    <w:rsid w:val="1EEF2741"/>
    <w:rsid w:val="1F0254AE"/>
    <w:rsid w:val="1F2064A0"/>
    <w:rsid w:val="1F5C6B73"/>
    <w:rsid w:val="1FB507FA"/>
    <w:rsid w:val="1FC731C3"/>
    <w:rsid w:val="1FD8604D"/>
    <w:rsid w:val="1FF418E9"/>
    <w:rsid w:val="1FF66FBA"/>
    <w:rsid w:val="20623305"/>
    <w:rsid w:val="20B42131"/>
    <w:rsid w:val="216D2640"/>
    <w:rsid w:val="217B6FE3"/>
    <w:rsid w:val="22241EA3"/>
    <w:rsid w:val="2240102C"/>
    <w:rsid w:val="22512D95"/>
    <w:rsid w:val="22547E04"/>
    <w:rsid w:val="226072D7"/>
    <w:rsid w:val="22A35376"/>
    <w:rsid w:val="22CE31E0"/>
    <w:rsid w:val="231328A5"/>
    <w:rsid w:val="23491B07"/>
    <w:rsid w:val="236E46B4"/>
    <w:rsid w:val="23FB7DB9"/>
    <w:rsid w:val="24EB56C0"/>
    <w:rsid w:val="252F2CD1"/>
    <w:rsid w:val="25AB358D"/>
    <w:rsid w:val="25E525A3"/>
    <w:rsid w:val="26761F45"/>
    <w:rsid w:val="26B43527"/>
    <w:rsid w:val="282976EC"/>
    <w:rsid w:val="290C4AD0"/>
    <w:rsid w:val="29B66227"/>
    <w:rsid w:val="29C431CE"/>
    <w:rsid w:val="2A9E6650"/>
    <w:rsid w:val="2AC23B49"/>
    <w:rsid w:val="2B0C15A9"/>
    <w:rsid w:val="2BC410D0"/>
    <w:rsid w:val="2CF52791"/>
    <w:rsid w:val="2D0350D3"/>
    <w:rsid w:val="2D611338"/>
    <w:rsid w:val="2E030410"/>
    <w:rsid w:val="2ECB1F40"/>
    <w:rsid w:val="30601AAB"/>
    <w:rsid w:val="31215055"/>
    <w:rsid w:val="314C3C6F"/>
    <w:rsid w:val="319008CC"/>
    <w:rsid w:val="3215648D"/>
    <w:rsid w:val="32BF6EBB"/>
    <w:rsid w:val="337863B0"/>
    <w:rsid w:val="33910B65"/>
    <w:rsid w:val="33A81C4F"/>
    <w:rsid w:val="344774BB"/>
    <w:rsid w:val="35617E1A"/>
    <w:rsid w:val="360D1447"/>
    <w:rsid w:val="36350933"/>
    <w:rsid w:val="366F435B"/>
    <w:rsid w:val="36BF119B"/>
    <w:rsid w:val="379600FD"/>
    <w:rsid w:val="37F97BEE"/>
    <w:rsid w:val="381B0BC7"/>
    <w:rsid w:val="386877B1"/>
    <w:rsid w:val="39050547"/>
    <w:rsid w:val="39C3649F"/>
    <w:rsid w:val="39DD0A55"/>
    <w:rsid w:val="3A0507DA"/>
    <w:rsid w:val="3A2414BA"/>
    <w:rsid w:val="3AE3271A"/>
    <w:rsid w:val="3B425C51"/>
    <w:rsid w:val="3B485D50"/>
    <w:rsid w:val="3B5F7935"/>
    <w:rsid w:val="3B8A53BF"/>
    <w:rsid w:val="3BF62D64"/>
    <w:rsid w:val="3C7938BA"/>
    <w:rsid w:val="3C9F7AAD"/>
    <w:rsid w:val="3CD210F7"/>
    <w:rsid w:val="3CEE6EBF"/>
    <w:rsid w:val="3D2A6A55"/>
    <w:rsid w:val="3D3949E8"/>
    <w:rsid w:val="3D396C69"/>
    <w:rsid w:val="3DD60EEE"/>
    <w:rsid w:val="3DF42A74"/>
    <w:rsid w:val="3E0B7EAE"/>
    <w:rsid w:val="3E32446F"/>
    <w:rsid w:val="3E4D0197"/>
    <w:rsid w:val="3F774ED6"/>
    <w:rsid w:val="41357970"/>
    <w:rsid w:val="41EE4F55"/>
    <w:rsid w:val="42B519E6"/>
    <w:rsid w:val="42FB01E3"/>
    <w:rsid w:val="434E41D4"/>
    <w:rsid w:val="43527CAF"/>
    <w:rsid w:val="43624601"/>
    <w:rsid w:val="437B02C5"/>
    <w:rsid w:val="43B84890"/>
    <w:rsid w:val="43D60DA8"/>
    <w:rsid w:val="43F04A2B"/>
    <w:rsid w:val="4402207E"/>
    <w:rsid w:val="44044C43"/>
    <w:rsid w:val="443E1D38"/>
    <w:rsid w:val="44A86006"/>
    <w:rsid w:val="44AC21FC"/>
    <w:rsid w:val="44DB57CD"/>
    <w:rsid w:val="452977BF"/>
    <w:rsid w:val="453F357B"/>
    <w:rsid w:val="455351D0"/>
    <w:rsid w:val="456234C2"/>
    <w:rsid w:val="456F0816"/>
    <w:rsid w:val="45D85DAE"/>
    <w:rsid w:val="45FC3986"/>
    <w:rsid w:val="466375EB"/>
    <w:rsid w:val="47183535"/>
    <w:rsid w:val="479047FE"/>
    <w:rsid w:val="48442D21"/>
    <w:rsid w:val="48F4313A"/>
    <w:rsid w:val="490C3A99"/>
    <w:rsid w:val="49580C3D"/>
    <w:rsid w:val="49731B53"/>
    <w:rsid w:val="4B0917F4"/>
    <w:rsid w:val="4B1E556E"/>
    <w:rsid w:val="4B7A46A4"/>
    <w:rsid w:val="4BBC3A7A"/>
    <w:rsid w:val="4BE24773"/>
    <w:rsid w:val="4BF80EEB"/>
    <w:rsid w:val="4CAE741A"/>
    <w:rsid w:val="4CBE70DF"/>
    <w:rsid w:val="4D106251"/>
    <w:rsid w:val="4D7F54B3"/>
    <w:rsid w:val="4E841CA9"/>
    <w:rsid w:val="4E934C01"/>
    <w:rsid w:val="4F006719"/>
    <w:rsid w:val="4F317529"/>
    <w:rsid w:val="4F3E78FF"/>
    <w:rsid w:val="4FE56C94"/>
    <w:rsid w:val="500F3BE6"/>
    <w:rsid w:val="501066F5"/>
    <w:rsid w:val="50F80058"/>
    <w:rsid w:val="510245B1"/>
    <w:rsid w:val="515F6F1F"/>
    <w:rsid w:val="51AF23C2"/>
    <w:rsid w:val="5213031F"/>
    <w:rsid w:val="533640E7"/>
    <w:rsid w:val="53565FF8"/>
    <w:rsid w:val="53B662E7"/>
    <w:rsid w:val="53CD2CE7"/>
    <w:rsid w:val="54781361"/>
    <w:rsid w:val="54822B8B"/>
    <w:rsid w:val="54C801B2"/>
    <w:rsid w:val="554D49A2"/>
    <w:rsid w:val="55F33A94"/>
    <w:rsid w:val="5609334C"/>
    <w:rsid w:val="565E0795"/>
    <w:rsid w:val="57492024"/>
    <w:rsid w:val="578A4C34"/>
    <w:rsid w:val="58314588"/>
    <w:rsid w:val="58AA61E0"/>
    <w:rsid w:val="596E2AC7"/>
    <w:rsid w:val="59701DDA"/>
    <w:rsid w:val="59900759"/>
    <w:rsid w:val="59AC0B58"/>
    <w:rsid w:val="59DA452D"/>
    <w:rsid w:val="5A8A49D4"/>
    <w:rsid w:val="5B0844E0"/>
    <w:rsid w:val="5BF90080"/>
    <w:rsid w:val="5C3D3D74"/>
    <w:rsid w:val="5C9A5961"/>
    <w:rsid w:val="5DD306F1"/>
    <w:rsid w:val="5E1366E8"/>
    <w:rsid w:val="5E407B2D"/>
    <w:rsid w:val="5E850C78"/>
    <w:rsid w:val="5ECE43A0"/>
    <w:rsid w:val="5F181BBC"/>
    <w:rsid w:val="5F1A22A2"/>
    <w:rsid w:val="5F7773CC"/>
    <w:rsid w:val="5F8A46F0"/>
    <w:rsid w:val="5F980447"/>
    <w:rsid w:val="5F9F7ABB"/>
    <w:rsid w:val="5FF749BD"/>
    <w:rsid w:val="60186FE5"/>
    <w:rsid w:val="605E5ABB"/>
    <w:rsid w:val="60754B6A"/>
    <w:rsid w:val="61533D19"/>
    <w:rsid w:val="61CD5DAB"/>
    <w:rsid w:val="62381635"/>
    <w:rsid w:val="624657F7"/>
    <w:rsid w:val="626A6D57"/>
    <w:rsid w:val="63374A98"/>
    <w:rsid w:val="636D1E2B"/>
    <w:rsid w:val="637B2BE3"/>
    <w:rsid w:val="63B94DEF"/>
    <w:rsid w:val="64BC5170"/>
    <w:rsid w:val="65232FAA"/>
    <w:rsid w:val="65561E71"/>
    <w:rsid w:val="65563C60"/>
    <w:rsid w:val="6598698C"/>
    <w:rsid w:val="659E59DA"/>
    <w:rsid w:val="65E4340B"/>
    <w:rsid w:val="66297C79"/>
    <w:rsid w:val="66320674"/>
    <w:rsid w:val="663E6E9A"/>
    <w:rsid w:val="668A4527"/>
    <w:rsid w:val="66AF421E"/>
    <w:rsid w:val="66FD224A"/>
    <w:rsid w:val="670635FA"/>
    <w:rsid w:val="67197704"/>
    <w:rsid w:val="67BD0E7C"/>
    <w:rsid w:val="67C90AA4"/>
    <w:rsid w:val="681F02DD"/>
    <w:rsid w:val="6962155D"/>
    <w:rsid w:val="69FD7CAB"/>
    <w:rsid w:val="6A892956"/>
    <w:rsid w:val="6A895B0A"/>
    <w:rsid w:val="6B334227"/>
    <w:rsid w:val="6B4A03D7"/>
    <w:rsid w:val="6B9134EB"/>
    <w:rsid w:val="6C40158C"/>
    <w:rsid w:val="6C577FDA"/>
    <w:rsid w:val="6C9B28FB"/>
    <w:rsid w:val="6CB2167C"/>
    <w:rsid w:val="6CC7340F"/>
    <w:rsid w:val="6CD417E7"/>
    <w:rsid w:val="6CFB0145"/>
    <w:rsid w:val="6D535020"/>
    <w:rsid w:val="6D730843"/>
    <w:rsid w:val="6DAB0AE5"/>
    <w:rsid w:val="6E025603"/>
    <w:rsid w:val="6E0571B5"/>
    <w:rsid w:val="6E856760"/>
    <w:rsid w:val="6F080D15"/>
    <w:rsid w:val="6FDD4CB3"/>
    <w:rsid w:val="700A1D1E"/>
    <w:rsid w:val="7019691C"/>
    <w:rsid w:val="70DF7B65"/>
    <w:rsid w:val="713F14AF"/>
    <w:rsid w:val="71516DE1"/>
    <w:rsid w:val="71C87A8A"/>
    <w:rsid w:val="71D73F8A"/>
    <w:rsid w:val="721016FE"/>
    <w:rsid w:val="72751351"/>
    <w:rsid w:val="72DA5670"/>
    <w:rsid w:val="72EC7BB7"/>
    <w:rsid w:val="72F11B8E"/>
    <w:rsid w:val="738A5DD3"/>
    <w:rsid w:val="73E21909"/>
    <w:rsid w:val="74202765"/>
    <w:rsid w:val="74B54D55"/>
    <w:rsid w:val="75061B64"/>
    <w:rsid w:val="75111A02"/>
    <w:rsid w:val="759258B2"/>
    <w:rsid w:val="75CB1157"/>
    <w:rsid w:val="76274433"/>
    <w:rsid w:val="76B2146E"/>
    <w:rsid w:val="76D439AC"/>
    <w:rsid w:val="76DB70F1"/>
    <w:rsid w:val="779C728A"/>
    <w:rsid w:val="77D31AA6"/>
    <w:rsid w:val="77D4759D"/>
    <w:rsid w:val="78212811"/>
    <w:rsid w:val="787D6FE7"/>
    <w:rsid w:val="78923CC7"/>
    <w:rsid w:val="78FB002B"/>
    <w:rsid w:val="7AFB1571"/>
    <w:rsid w:val="7B0A2D9A"/>
    <w:rsid w:val="7B3D06F8"/>
    <w:rsid w:val="7B590514"/>
    <w:rsid w:val="7B9D6ACE"/>
    <w:rsid w:val="7C460935"/>
    <w:rsid w:val="7C5508EE"/>
    <w:rsid w:val="7D322548"/>
    <w:rsid w:val="7D867457"/>
    <w:rsid w:val="7DBE3E90"/>
    <w:rsid w:val="7DC80A3D"/>
    <w:rsid w:val="7E0A455C"/>
    <w:rsid w:val="7E68662D"/>
    <w:rsid w:val="7E9737B6"/>
    <w:rsid w:val="7EAE5C4E"/>
    <w:rsid w:val="7FAB50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locked/>
    <w:uiPriority w:val="99"/>
    <w:rPr>
      <w:rFonts w:ascii="等线" w:hAnsi="等线" w:eastAsia="等线"/>
      <w:sz w:val="21"/>
      <w:szCs w:val="22"/>
    </w:rPr>
  </w:style>
  <w:style w:type="paragraph" w:styleId="3">
    <w:name w:val="Plain Text"/>
    <w:basedOn w:val="1"/>
    <w:link w:val="13"/>
    <w:qFormat/>
    <w:uiPriority w:val="0"/>
    <w:rPr>
      <w:rFonts w:ascii="宋体" w:eastAsia="宋体" w:cs="Courier New"/>
      <w:sz w:val="21"/>
      <w:szCs w:val="21"/>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locked/>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99"/>
    <w:rPr>
      <w:rFonts w:cs="Times New Roman"/>
    </w:rPr>
  </w:style>
  <w:style w:type="character" w:customStyle="1" w:styleId="11">
    <w:name w:val="页脚 字符"/>
    <w:link w:val="4"/>
    <w:semiHidden/>
    <w:qFormat/>
    <w:locked/>
    <w:uiPriority w:val="99"/>
    <w:rPr>
      <w:rFonts w:eastAsia="仿宋_GB2312" w:cs="Times New Roman"/>
      <w:sz w:val="18"/>
      <w:szCs w:val="18"/>
    </w:rPr>
  </w:style>
  <w:style w:type="character" w:customStyle="1" w:styleId="12">
    <w:name w:val="页眉 字符"/>
    <w:link w:val="5"/>
    <w:semiHidden/>
    <w:qFormat/>
    <w:locked/>
    <w:uiPriority w:val="99"/>
    <w:rPr>
      <w:rFonts w:eastAsia="仿宋_GB2312" w:cs="Times New Roman"/>
      <w:sz w:val="18"/>
      <w:szCs w:val="18"/>
    </w:rPr>
  </w:style>
  <w:style w:type="character" w:customStyle="1" w:styleId="13">
    <w:name w:val="纯文本 字符"/>
    <w:link w:val="3"/>
    <w:uiPriority w:val="0"/>
    <w:rPr>
      <w:rFonts w:ascii="宋体"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P R C</Company>
  <Pages>12</Pages>
  <Words>6113</Words>
  <Characters>6310</Characters>
  <Lines>45</Lines>
  <Paragraphs>12</Paragraphs>
  <TotalTime>12</TotalTime>
  <ScaleCrop>false</ScaleCrop>
  <LinksUpToDate>false</LinksUpToDate>
  <CharactersWithSpaces>6368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2018-08-15T12:53:00Z</dcterms:created>
  <dc:creator>Sylvia</dc:creator>
  <cp:lastModifiedBy>17373739327</cp:lastModifiedBy>
  <cp:lastPrinted>2019-05-07T00:45:00Z</cp:lastPrinted>
  <dcterms:modified xsi:type="dcterms:W3CDTF">2024-08-29T09:40:35Z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488FF601EAFD4F51B1E47E4B0FDB96DD_13</vt:lpwstr>
  </property>
</Properties>
</file>