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b w:val="0"/>
          <w:sz w:val="44"/>
          <w:szCs w:val="44"/>
        </w:rPr>
      </w:pPr>
      <w:r>
        <w:rPr>
          <w:rFonts w:hint="eastAsia" w:ascii="方正小标宋简体" w:eastAsia="方正小标宋简体" w:hAnsiTheme="minorHAnsi"/>
          <w:b w:val="0"/>
          <w:sz w:val="44"/>
          <w:szCs w:val="44"/>
        </w:rPr>
        <w:t>桃江县</w:t>
      </w:r>
      <w:r>
        <w:rPr>
          <w:rFonts w:hint="eastAsia" w:ascii="方正小标宋简体" w:hAnsi="黑体" w:eastAsia="方正小标宋简体"/>
          <w:b w:val="0"/>
          <w:sz w:val="44"/>
          <w:szCs w:val="44"/>
        </w:rPr>
        <w:t>2022年度三峡后续工作专项资金</w:t>
      </w:r>
    </w:p>
    <w:p>
      <w:pPr>
        <w:jc w:val="center"/>
        <w:rPr>
          <w:rFonts w:ascii="楷体" w:hAnsi="楷体" w:eastAsia="楷体"/>
          <w:b w:val="0"/>
          <w:sz w:val="32"/>
          <w:szCs w:val="32"/>
        </w:rPr>
      </w:pPr>
      <w:r>
        <w:rPr>
          <w:rFonts w:hint="eastAsia" w:ascii="方正小标宋简体" w:hAnsi="黑体" w:eastAsia="方正小标宋简体"/>
          <w:b w:val="0"/>
          <w:sz w:val="44"/>
          <w:szCs w:val="44"/>
        </w:rPr>
        <w:t>绩效自评报告</w:t>
      </w:r>
    </w:p>
    <w:p>
      <w:pPr>
        <w:spacing w:line="580" w:lineRule="exact"/>
        <w:ind w:firstLine="640" w:firstLineChars="200"/>
        <w:rPr>
          <w:rFonts w:ascii="黑体" w:hAnsi="黑体" w:eastAsia="黑体"/>
          <w:b w:val="0"/>
          <w:sz w:val="32"/>
          <w:szCs w:val="32"/>
        </w:rPr>
      </w:pPr>
    </w:p>
    <w:p>
      <w:pPr>
        <w:spacing w:line="580" w:lineRule="exact"/>
        <w:ind w:firstLine="640" w:firstLineChars="200"/>
        <w:rPr>
          <w:rFonts w:ascii="黑体" w:hAnsi="黑体" w:eastAsia="黑体"/>
          <w:b w:val="0"/>
          <w:sz w:val="32"/>
          <w:szCs w:val="32"/>
        </w:rPr>
      </w:pPr>
      <w:r>
        <w:rPr>
          <w:rFonts w:ascii="黑体" w:hAnsi="黑体" w:eastAsia="黑体"/>
          <w:b w:val="0"/>
          <w:sz w:val="32"/>
          <w:szCs w:val="32"/>
        </w:rPr>
        <w:t>一、</w:t>
      </w:r>
      <w:r>
        <w:rPr>
          <w:rFonts w:hint="eastAsia" w:ascii="黑体" w:hAnsi="黑体" w:eastAsia="黑体"/>
          <w:b w:val="0"/>
          <w:sz w:val="32"/>
          <w:szCs w:val="32"/>
        </w:rPr>
        <w:t>绩效目标分解下达情况</w:t>
      </w:r>
    </w:p>
    <w:p>
      <w:pPr>
        <w:spacing w:line="580" w:lineRule="exact"/>
        <w:ind w:firstLine="640" w:firstLineChars="200"/>
        <w:rPr>
          <w:rFonts w:ascii="仿宋" w:hAnsi="仿宋" w:eastAsia="仿宋"/>
          <w:b w:val="0"/>
          <w:sz w:val="32"/>
          <w:szCs w:val="32"/>
        </w:rPr>
      </w:pPr>
      <w:r>
        <w:rPr>
          <w:rFonts w:hint="eastAsia" w:ascii="仿宋" w:hAnsi="仿宋" w:eastAsia="仿宋"/>
          <w:b w:val="0"/>
          <w:sz w:val="32"/>
          <w:szCs w:val="32"/>
        </w:rPr>
        <w:t>2022年度我县共下达国家重大水利工程建设基金（三峡后续工作）资金136万元。</w:t>
      </w:r>
    </w:p>
    <w:p>
      <w:pPr>
        <w:spacing w:line="580" w:lineRule="exact"/>
        <w:ind w:firstLine="640" w:firstLineChars="200"/>
        <w:rPr>
          <w:rFonts w:ascii="仿宋" w:hAnsi="仿宋" w:eastAsia="仿宋"/>
          <w:b w:val="0"/>
          <w:sz w:val="32"/>
          <w:szCs w:val="32"/>
        </w:rPr>
      </w:pPr>
      <w:r>
        <w:rPr>
          <w:rFonts w:hint="eastAsia" w:ascii="仿宋" w:hAnsi="仿宋" w:eastAsia="仿宋"/>
          <w:b w:val="0"/>
          <w:sz w:val="32"/>
          <w:szCs w:val="32"/>
        </w:rPr>
        <w:t>目标1：改善三峡移民安置点基础设施条件；</w:t>
      </w:r>
    </w:p>
    <w:p>
      <w:pPr>
        <w:spacing w:line="580" w:lineRule="exact"/>
        <w:ind w:firstLine="320" w:firstLineChars="100"/>
        <w:rPr>
          <w:rFonts w:ascii="仿宋" w:hAnsi="仿宋" w:eastAsia="仿宋"/>
          <w:b w:val="0"/>
          <w:sz w:val="32"/>
          <w:szCs w:val="32"/>
        </w:rPr>
      </w:pPr>
      <w:r>
        <w:rPr>
          <w:rFonts w:hint="eastAsia" w:ascii="仿宋" w:hAnsi="仿宋" w:eastAsia="仿宋"/>
          <w:b w:val="0"/>
          <w:sz w:val="32"/>
          <w:szCs w:val="32"/>
        </w:rPr>
        <w:t xml:space="preserve">  目标2：改善三峡移民安置点人居环境；</w:t>
      </w:r>
    </w:p>
    <w:p>
      <w:pPr>
        <w:spacing w:line="580" w:lineRule="exact"/>
        <w:ind w:firstLine="640" w:firstLineChars="200"/>
        <w:rPr>
          <w:rFonts w:ascii="仿宋" w:hAnsi="仿宋" w:eastAsia="仿宋"/>
          <w:b w:val="0"/>
          <w:sz w:val="32"/>
          <w:szCs w:val="32"/>
        </w:rPr>
      </w:pPr>
      <w:r>
        <w:rPr>
          <w:rFonts w:hint="eastAsia" w:ascii="仿宋" w:hAnsi="仿宋" w:eastAsia="仿宋"/>
          <w:b w:val="0"/>
          <w:sz w:val="32"/>
          <w:szCs w:val="32"/>
        </w:rPr>
        <w:t>目标3：促进三峡移民增收。</w:t>
      </w:r>
    </w:p>
    <w:p>
      <w:pPr>
        <w:spacing w:line="580" w:lineRule="exact"/>
        <w:ind w:firstLine="640" w:firstLineChars="200"/>
        <w:rPr>
          <w:rFonts w:ascii="黑体" w:hAnsi="黑体" w:eastAsia="黑体"/>
          <w:b w:val="0"/>
          <w:sz w:val="32"/>
          <w:szCs w:val="32"/>
        </w:rPr>
      </w:pPr>
      <w:r>
        <w:rPr>
          <w:rFonts w:ascii="黑体" w:hAnsi="黑体" w:eastAsia="黑体"/>
          <w:b w:val="0"/>
          <w:sz w:val="32"/>
          <w:szCs w:val="32"/>
        </w:rPr>
        <w:t>二、绩效</w:t>
      </w:r>
      <w:r>
        <w:rPr>
          <w:rFonts w:hint="eastAsia" w:ascii="黑体" w:hAnsi="黑体" w:eastAsia="黑体"/>
          <w:b w:val="0"/>
          <w:sz w:val="32"/>
          <w:szCs w:val="32"/>
        </w:rPr>
        <w:t>目标完成情况分析</w:t>
      </w:r>
    </w:p>
    <w:p>
      <w:pPr>
        <w:spacing w:line="580" w:lineRule="exact"/>
        <w:ind w:firstLine="640" w:firstLineChars="200"/>
        <w:rPr>
          <w:rFonts w:ascii="Times New Roman"/>
          <w:b w:val="0"/>
          <w:sz w:val="32"/>
          <w:szCs w:val="32"/>
        </w:rPr>
      </w:pPr>
      <w:r>
        <w:rPr>
          <w:rFonts w:ascii="Times New Roman"/>
          <w:b w:val="0"/>
          <w:sz w:val="32"/>
          <w:szCs w:val="32"/>
        </w:rPr>
        <w:t>（一）</w:t>
      </w:r>
      <w:r>
        <w:rPr>
          <w:rFonts w:hint="eastAsia" w:ascii="Times New Roman"/>
          <w:b w:val="0"/>
          <w:sz w:val="32"/>
          <w:szCs w:val="32"/>
        </w:rPr>
        <w:t>资金投入情况分析。</w:t>
      </w:r>
    </w:p>
    <w:p>
      <w:pPr>
        <w:spacing w:line="580" w:lineRule="exact"/>
        <w:ind w:firstLine="640" w:firstLineChars="200"/>
        <w:rPr>
          <w:rFonts w:ascii="Times New Roman"/>
          <w:b w:val="0"/>
          <w:sz w:val="32"/>
          <w:szCs w:val="32"/>
        </w:rPr>
      </w:pPr>
      <w:r>
        <w:rPr>
          <w:rFonts w:hint="eastAsia" w:ascii="Times New Roman"/>
          <w:b w:val="0"/>
          <w:sz w:val="32"/>
          <w:szCs w:val="32"/>
        </w:rPr>
        <w:t>1.项目资金到位情况分析。</w:t>
      </w:r>
    </w:p>
    <w:p>
      <w:pPr>
        <w:spacing w:afterLines="100" w:line="640" w:lineRule="exact"/>
        <w:ind w:firstLine="635"/>
        <w:rPr>
          <w:rFonts w:ascii="仿宋" w:hAnsi="仿宋" w:eastAsia="仿宋"/>
          <w:b w:val="0"/>
          <w:sz w:val="32"/>
          <w:szCs w:val="32"/>
        </w:rPr>
      </w:pPr>
      <w:r>
        <w:rPr>
          <w:rFonts w:hint="eastAsia" w:ascii="仿宋" w:hAnsi="仿宋" w:eastAsia="仿宋"/>
          <w:b w:val="0"/>
          <w:sz w:val="32"/>
          <w:szCs w:val="32"/>
        </w:rPr>
        <w:t>2022年度省财政厅下达桃江县国家重大水利工程建设基金（三峡后续工作）资金136万元，已在规定时间内拨付到位，到位情况见下表。</w:t>
      </w:r>
    </w:p>
    <w:tbl>
      <w:tblPr>
        <w:tblStyle w:val="5"/>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1417"/>
        <w:gridCol w:w="170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3369" w:type="dxa"/>
            <w:vAlign w:val="center"/>
          </w:tcPr>
          <w:p>
            <w:pPr>
              <w:spacing w:line="320" w:lineRule="exact"/>
              <w:jc w:val="left"/>
              <w:rPr>
                <w:rFonts w:ascii="仿宋" w:hAnsi="仿宋" w:eastAsia="仿宋"/>
                <w:b w:val="0"/>
                <w:szCs w:val="21"/>
              </w:rPr>
            </w:pPr>
            <w:r>
              <w:rPr>
                <w:rFonts w:hint="eastAsia" w:ascii="仿宋" w:hAnsi="仿宋" w:eastAsia="仿宋"/>
                <w:b w:val="0"/>
                <w:szCs w:val="21"/>
              </w:rPr>
              <w:t>省财政厅下达指标文号</w:t>
            </w:r>
          </w:p>
        </w:tc>
        <w:tc>
          <w:tcPr>
            <w:tcW w:w="1417" w:type="dxa"/>
            <w:vAlign w:val="center"/>
          </w:tcPr>
          <w:p>
            <w:pPr>
              <w:spacing w:line="320" w:lineRule="exact"/>
              <w:jc w:val="center"/>
              <w:rPr>
                <w:rFonts w:ascii="仿宋" w:hAnsi="仿宋" w:eastAsia="仿宋"/>
                <w:b w:val="0"/>
                <w:szCs w:val="21"/>
              </w:rPr>
            </w:pPr>
            <w:r>
              <w:rPr>
                <w:rFonts w:hint="eastAsia" w:ascii="仿宋" w:hAnsi="仿宋" w:eastAsia="仿宋"/>
                <w:b w:val="0"/>
                <w:szCs w:val="21"/>
              </w:rPr>
              <w:t>金额</w:t>
            </w:r>
          </w:p>
          <w:p>
            <w:pPr>
              <w:spacing w:line="320" w:lineRule="exact"/>
              <w:jc w:val="center"/>
              <w:rPr>
                <w:rFonts w:ascii="仿宋" w:hAnsi="仿宋" w:eastAsia="仿宋"/>
                <w:b w:val="0"/>
                <w:szCs w:val="21"/>
              </w:rPr>
            </w:pPr>
            <w:r>
              <w:rPr>
                <w:rFonts w:hint="eastAsia" w:ascii="仿宋" w:hAnsi="仿宋" w:eastAsia="仿宋"/>
                <w:b w:val="0"/>
                <w:szCs w:val="21"/>
              </w:rPr>
              <w:t>（万元）</w:t>
            </w:r>
          </w:p>
        </w:tc>
        <w:tc>
          <w:tcPr>
            <w:tcW w:w="1701" w:type="dxa"/>
            <w:vAlign w:val="center"/>
          </w:tcPr>
          <w:p>
            <w:pPr>
              <w:spacing w:line="320" w:lineRule="exact"/>
              <w:jc w:val="center"/>
              <w:rPr>
                <w:rFonts w:ascii="仿宋" w:hAnsi="仿宋" w:eastAsia="仿宋"/>
                <w:b w:val="0"/>
                <w:szCs w:val="21"/>
              </w:rPr>
            </w:pPr>
            <w:r>
              <w:rPr>
                <w:rFonts w:hint="eastAsia" w:ascii="仿宋" w:hAnsi="仿宋" w:eastAsia="仿宋"/>
                <w:b w:val="0"/>
                <w:szCs w:val="21"/>
              </w:rPr>
              <w:t>到位金额</w:t>
            </w:r>
          </w:p>
          <w:p>
            <w:pPr>
              <w:spacing w:line="320" w:lineRule="exact"/>
              <w:jc w:val="center"/>
              <w:rPr>
                <w:rFonts w:ascii="仿宋" w:hAnsi="仿宋" w:eastAsia="仿宋"/>
                <w:b w:val="0"/>
                <w:szCs w:val="21"/>
              </w:rPr>
            </w:pPr>
            <w:r>
              <w:rPr>
                <w:rFonts w:hint="eastAsia" w:ascii="仿宋" w:hAnsi="仿宋" w:eastAsia="仿宋"/>
                <w:b w:val="0"/>
                <w:szCs w:val="21"/>
              </w:rPr>
              <w:t>（万元）</w:t>
            </w:r>
          </w:p>
        </w:tc>
        <w:tc>
          <w:tcPr>
            <w:tcW w:w="2835" w:type="dxa"/>
            <w:vAlign w:val="center"/>
          </w:tcPr>
          <w:p>
            <w:pPr>
              <w:spacing w:line="320" w:lineRule="exact"/>
              <w:jc w:val="center"/>
              <w:rPr>
                <w:rFonts w:ascii="仿宋" w:hAnsi="仿宋" w:eastAsia="仿宋"/>
                <w:b w:val="0"/>
                <w:szCs w:val="21"/>
              </w:rPr>
            </w:pPr>
            <w:r>
              <w:rPr>
                <w:rFonts w:hint="eastAsia" w:ascii="仿宋" w:hAnsi="仿宋" w:eastAsia="仿宋"/>
                <w:b w:val="0"/>
                <w:szCs w:val="21"/>
              </w:rPr>
              <w:t>到位时间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3369" w:type="dxa"/>
            <w:vAlign w:val="center"/>
          </w:tcPr>
          <w:p>
            <w:pPr>
              <w:spacing w:line="320" w:lineRule="exact"/>
              <w:jc w:val="left"/>
              <w:rPr>
                <w:rFonts w:ascii="仿宋" w:hAnsi="仿宋" w:eastAsia="仿宋"/>
                <w:b w:val="0"/>
                <w:szCs w:val="21"/>
              </w:rPr>
            </w:pPr>
            <w:r>
              <w:rPr>
                <w:rFonts w:hint="eastAsia" w:ascii="仿宋" w:hAnsi="仿宋" w:eastAsia="仿宋"/>
                <w:b w:val="0"/>
                <w:szCs w:val="21"/>
              </w:rPr>
              <w:t>湘财农指[2021]93号</w:t>
            </w:r>
          </w:p>
        </w:tc>
        <w:tc>
          <w:tcPr>
            <w:tcW w:w="1417" w:type="dxa"/>
            <w:vAlign w:val="center"/>
          </w:tcPr>
          <w:p>
            <w:pPr>
              <w:spacing w:line="320" w:lineRule="exact"/>
              <w:jc w:val="center"/>
              <w:rPr>
                <w:rFonts w:ascii="仿宋" w:hAnsi="仿宋" w:eastAsia="仿宋"/>
                <w:b w:val="0"/>
                <w:szCs w:val="21"/>
              </w:rPr>
            </w:pPr>
            <w:r>
              <w:rPr>
                <w:rFonts w:hint="eastAsia" w:ascii="仿宋" w:hAnsi="仿宋" w:eastAsia="仿宋"/>
                <w:b w:val="0"/>
                <w:szCs w:val="21"/>
              </w:rPr>
              <w:t>136</w:t>
            </w:r>
          </w:p>
        </w:tc>
        <w:tc>
          <w:tcPr>
            <w:tcW w:w="1701" w:type="dxa"/>
            <w:vAlign w:val="center"/>
          </w:tcPr>
          <w:p>
            <w:pPr>
              <w:spacing w:line="320" w:lineRule="exact"/>
              <w:jc w:val="center"/>
              <w:rPr>
                <w:rFonts w:ascii="仿宋" w:hAnsi="仿宋" w:eastAsia="仿宋"/>
                <w:b w:val="0"/>
                <w:szCs w:val="21"/>
              </w:rPr>
            </w:pPr>
            <w:r>
              <w:rPr>
                <w:rFonts w:hint="eastAsia" w:ascii="仿宋" w:hAnsi="仿宋" w:eastAsia="仿宋"/>
                <w:b w:val="0"/>
                <w:szCs w:val="21"/>
              </w:rPr>
              <w:t>136</w:t>
            </w:r>
          </w:p>
        </w:tc>
        <w:tc>
          <w:tcPr>
            <w:tcW w:w="2835" w:type="dxa"/>
            <w:vAlign w:val="center"/>
          </w:tcPr>
          <w:p>
            <w:pPr>
              <w:spacing w:line="320" w:lineRule="exact"/>
              <w:jc w:val="center"/>
              <w:rPr>
                <w:rFonts w:ascii="仿宋" w:hAnsi="仿宋" w:eastAsia="仿宋"/>
                <w:b w:val="0"/>
                <w:szCs w:val="21"/>
              </w:rPr>
            </w:pPr>
            <w:r>
              <w:rPr>
                <w:rFonts w:hint="eastAsia" w:ascii="仿宋" w:hAnsi="仿宋" w:eastAsia="仿宋"/>
                <w:b w:val="0"/>
                <w:szCs w:val="21"/>
              </w:rPr>
              <w:t>2021年12月9日</w:t>
            </w:r>
          </w:p>
        </w:tc>
      </w:tr>
    </w:tbl>
    <w:p>
      <w:pPr>
        <w:spacing w:line="580" w:lineRule="exact"/>
        <w:ind w:firstLine="640" w:firstLineChars="200"/>
        <w:rPr>
          <w:rFonts w:ascii="Times New Roman"/>
          <w:b w:val="0"/>
          <w:sz w:val="32"/>
          <w:szCs w:val="32"/>
        </w:rPr>
      </w:pPr>
      <w:r>
        <w:rPr>
          <w:rFonts w:hint="eastAsia" w:ascii="Times New Roman"/>
          <w:b w:val="0"/>
          <w:sz w:val="32"/>
          <w:szCs w:val="32"/>
        </w:rPr>
        <w:t>2.项目资金执行情况分析。</w:t>
      </w:r>
    </w:p>
    <w:p>
      <w:pPr>
        <w:spacing w:line="600" w:lineRule="exact"/>
        <w:ind w:firstLine="636"/>
        <w:rPr>
          <w:rFonts w:ascii="仿宋" w:hAnsi="仿宋" w:eastAsia="仿宋"/>
          <w:b w:val="0"/>
          <w:color w:val="000000"/>
          <w:sz w:val="32"/>
          <w:szCs w:val="32"/>
        </w:rPr>
      </w:pPr>
      <w:r>
        <w:rPr>
          <w:rFonts w:hint="eastAsia" w:ascii="仿宋" w:hAnsi="仿宋" w:eastAsia="仿宋"/>
          <w:b w:val="0"/>
          <w:sz w:val="32"/>
          <w:szCs w:val="32"/>
        </w:rPr>
        <w:t>2022年度桃江县共收到国家重大水利工程建设基金（三峡后续工作）资金136万元</w:t>
      </w:r>
      <w:r>
        <w:rPr>
          <w:rFonts w:hint="eastAsia" w:ascii="仿宋" w:hAnsi="仿宋" w:eastAsia="仿宋"/>
          <w:b w:val="0"/>
          <w:color w:val="000000"/>
          <w:sz w:val="32"/>
          <w:szCs w:val="32"/>
        </w:rPr>
        <w:t>。</w:t>
      </w:r>
      <w:r>
        <w:rPr>
          <w:rFonts w:hint="eastAsia" w:ascii="仿宋" w:hAnsi="仿宋" w:eastAsia="仿宋"/>
          <w:b w:val="0"/>
          <w:sz w:val="32"/>
          <w:szCs w:val="32"/>
        </w:rPr>
        <w:t>截止到2022年12月31日止，</w:t>
      </w:r>
      <w:r>
        <w:rPr>
          <w:rFonts w:hint="eastAsia" w:ascii="仿宋" w:hAnsi="仿宋" w:eastAsia="仿宋"/>
          <w:b w:val="0"/>
          <w:color w:val="000000"/>
          <w:sz w:val="32"/>
          <w:szCs w:val="32"/>
        </w:rPr>
        <w:t>已全部拨付到位。详细数据见下表：</w:t>
      </w:r>
    </w:p>
    <w:p>
      <w:pPr>
        <w:spacing w:line="600" w:lineRule="exact"/>
        <w:ind w:firstLine="636"/>
        <w:rPr>
          <w:rFonts w:ascii="仿宋" w:hAnsi="仿宋" w:eastAsia="仿宋"/>
          <w:b w:val="0"/>
          <w:color w:val="000000"/>
          <w:sz w:val="32"/>
          <w:szCs w:val="32"/>
        </w:rPr>
      </w:pPr>
    </w:p>
    <w:tbl>
      <w:tblPr>
        <w:tblStyle w:val="5"/>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1134"/>
        <w:gridCol w:w="992"/>
        <w:gridCol w:w="1134"/>
        <w:gridCol w:w="1276"/>
        <w:gridCol w:w="851"/>
        <w:gridCol w:w="85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67" w:type="dxa"/>
            <w:vMerge w:val="restart"/>
            <w:vAlign w:val="center"/>
          </w:tcPr>
          <w:p>
            <w:pPr>
              <w:spacing w:line="280" w:lineRule="exact"/>
              <w:jc w:val="center"/>
              <w:rPr>
                <w:rFonts w:ascii="仿宋" w:hAnsi="仿宋" w:eastAsia="仿宋"/>
                <w:b w:val="0"/>
                <w:szCs w:val="21"/>
              </w:rPr>
            </w:pPr>
            <w:r>
              <w:rPr>
                <w:rFonts w:hint="eastAsia" w:ascii="仿宋" w:hAnsi="仿宋" w:eastAsia="仿宋"/>
                <w:b w:val="0"/>
                <w:szCs w:val="21"/>
              </w:rPr>
              <w:t>省局下达指标文号</w:t>
            </w:r>
          </w:p>
        </w:tc>
        <w:tc>
          <w:tcPr>
            <w:tcW w:w="1134" w:type="dxa"/>
            <w:vMerge w:val="restart"/>
            <w:vAlign w:val="center"/>
          </w:tcPr>
          <w:p>
            <w:pPr>
              <w:spacing w:line="280" w:lineRule="exact"/>
              <w:jc w:val="center"/>
              <w:rPr>
                <w:rFonts w:ascii="仿宋" w:hAnsi="仿宋" w:eastAsia="仿宋"/>
                <w:b w:val="0"/>
                <w:szCs w:val="21"/>
              </w:rPr>
            </w:pPr>
            <w:r>
              <w:rPr>
                <w:rFonts w:hint="eastAsia" w:ascii="仿宋" w:hAnsi="仿宋" w:eastAsia="仿宋"/>
                <w:b w:val="0"/>
                <w:szCs w:val="21"/>
              </w:rPr>
              <w:t>金额</w:t>
            </w:r>
          </w:p>
          <w:p>
            <w:pPr>
              <w:spacing w:line="280" w:lineRule="exact"/>
              <w:jc w:val="center"/>
              <w:rPr>
                <w:rFonts w:ascii="仿宋" w:hAnsi="仿宋" w:eastAsia="仿宋"/>
                <w:b w:val="0"/>
                <w:szCs w:val="21"/>
              </w:rPr>
            </w:pPr>
            <w:r>
              <w:rPr>
                <w:rFonts w:hint="eastAsia" w:ascii="仿宋" w:hAnsi="仿宋" w:eastAsia="仿宋"/>
                <w:b w:val="0"/>
                <w:szCs w:val="21"/>
              </w:rPr>
              <w:t>(万元)</w:t>
            </w:r>
          </w:p>
        </w:tc>
        <w:tc>
          <w:tcPr>
            <w:tcW w:w="5103" w:type="dxa"/>
            <w:gridSpan w:val="5"/>
            <w:vAlign w:val="center"/>
          </w:tcPr>
          <w:p>
            <w:pPr>
              <w:spacing w:line="280" w:lineRule="exact"/>
              <w:jc w:val="center"/>
              <w:rPr>
                <w:rFonts w:ascii="仿宋" w:hAnsi="仿宋" w:eastAsia="仿宋"/>
                <w:b w:val="0"/>
                <w:szCs w:val="21"/>
              </w:rPr>
            </w:pPr>
            <w:r>
              <w:rPr>
                <w:rFonts w:hint="eastAsia" w:ascii="仿宋" w:hAnsi="仿宋" w:eastAsia="仿宋"/>
                <w:b w:val="0"/>
                <w:szCs w:val="21"/>
              </w:rPr>
              <w:t>2023年12月31日止完成资金支付金额(万元)</w:t>
            </w:r>
          </w:p>
        </w:tc>
        <w:tc>
          <w:tcPr>
            <w:tcW w:w="851" w:type="dxa"/>
            <w:vMerge w:val="restart"/>
            <w:vAlign w:val="center"/>
          </w:tcPr>
          <w:p>
            <w:pPr>
              <w:spacing w:line="280" w:lineRule="exact"/>
              <w:jc w:val="center"/>
              <w:rPr>
                <w:rFonts w:ascii="仿宋" w:hAnsi="仿宋" w:eastAsia="仿宋"/>
                <w:b w:val="0"/>
                <w:szCs w:val="21"/>
              </w:rPr>
            </w:pPr>
            <w:r>
              <w:rPr>
                <w:rFonts w:hint="eastAsia" w:ascii="仿宋" w:hAnsi="仿宋" w:eastAsia="仿宋"/>
                <w:b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667" w:type="dxa"/>
            <w:vMerge w:val="continue"/>
            <w:vAlign w:val="center"/>
          </w:tcPr>
          <w:p>
            <w:pPr>
              <w:spacing w:line="280" w:lineRule="exact"/>
              <w:jc w:val="center"/>
              <w:rPr>
                <w:rFonts w:ascii="仿宋" w:hAnsi="仿宋" w:eastAsia="仿宋"/>
                <w:b w:val="0"/>
                <w:szCs w:val="21"/>
              </w:rPr>
            </w:pPr>
          </w:p>
        </w:tc>
        <w:tc>
          <w:tcPr>
            <w:tcW w:w="1134" w:type="dxa"/>
            <w:vMerge w:val="continue"/>
            <w:vAlign w:val="center"/>
          </w:tcPr>
          <w:p>
            <w:pPr>
              <w:spacing w:line="280" w:lineRule="exact"/>
              <w:jc w:val="center"/>
              <w:rPr>
                <w:rFonts w:ascii="仿宋" w:hAnsi="仿宋" w:eastAsia="仿宋"/>
                <w:b w:val="0"/>
                <w:szCs w:val="21"/>
              </w:rPr>
            </w:pPr>
          </w:p>
        </w:tc>
        <w:tc>
          <w:tcPr>
            <w:tcW w:w="992" w:type="dxa"/>
            <w:vAlign w:val="center"/>
          </w:tcPr>
          <w:p>
            <w:pPr>
              <w:spacing w:line="280" w:lineRule="exact"/>
              <w:jc w:val="center"/>
              <w:rPr>
                <w:rFonts w:ascii="仿宋" w:hAnsi="仿宋" w:eastAsia="仿宋"/>
                <w:b w:val="0"/>
                <w:szCs w:val="21"/>
              </w:rPr>
            </w:pPr>
            <w:r>
              <w:rPr>
                <w:rFonts w:hint="eastAsia" w:ascii="仿宋" w:hAnsi="仿宋" w:eastAsia="仿宋"/>
                <w:b w:val="0"/>
                <w:szCs w:val="21"/>
              </w:rPr>
              <w:t>直补</w:t>
            </w:r>
          </w:p>
          <w:p>
            <w:pPr>
              <w:spacing w:line="280" w:lineRule="exact"/>
              <w:jc w:val="center"/>
              <w:rPr>
                <w:rFonts w:ascii="仿宋" w:hAnsi="仿宋" w:eastAsia="仿宋"/>
                <w:b w:val="0"/>
                <w:szCs w:val="21"/>
              </w:rPr>
            </w:pPr>
            <w:r>
              <w:rPr>
                <w:rFonts w:hint="eastAsia" w:ascii="仿宋" w:hAnsi="仿宋" w:eastAsia="仿宋"/>
                <w:b w:val="0"/>
                <w:szCs w:val="21"/>
              </w:rPr>
              <w:t>到人</w:t>
            </w:r>
          </w:p>
        </w:tc>
        <w:tc>
          <w:tcPr>
            <w:tcW w:w="1134" w:type="dxa"/>
            <w:vAlign w:val="center"/>
          </w:tcPr>
          <w:p>
            <w:pPr>
              <w:spacing w:line="280" w:lineRule="exact"/>
              <w:jc w:val="left"/>
              <w:rPr>
                <w:rFonts w:ascii="仿宋" w:hAnsi="仿宋" w:eastAsia="仿宋"/>
                <w:b w:val="0"/>
                <w:szCs w:val="21"/>
              </w:rPr>
            </w:pPr>
            <w:r>
              <w:rPr>
                <w:rFonts w:hint="eastAsia" w:ascii="仿宋" w:hAnsi="仿宋" w:eastAsia="仿宋"/>
                <w:b w:val="0"/>
                <w:szCs w:val="21"/>
              </w:rPr>
              <w:t>美丽家</w:t>
            </w:r>
          </w:p>
          <w:p>
            <w:pPr>
              <w:spacing w:line="280" w:lineRule="exact"/>
              <w:jc w:val="left"/>
              <w:rPr>
                <w:rFonts w:ascii="仿宋" w:hAnsi="仿宋" w:eastAsia="仿宋"/>
                <w:b w:val="0"/>
                <w:szCs w:val="21"/>
              </w:rPr>
            </w:pPr>
            <w:r>
              <w:rPr>
                <w:rFonts w:hint="eastAsia" w:ascii="仿宋" w:hAnsi="仿宋" w:eastAsia="仿宋"/>
                <w:b w:val="0"/>
                <w:szCs w:val="21"/>
              </w:rPr>
              <w:t>园建设</w:t>
            </w:r>
          </w:p>
        </w:tc>
        <w:tc>
          <w:tcPr>
            <w:tcW w:w="1276" w:type="dxa"/>
            <w:vAlign w:val="center"/>
          </w:tcPr>
          <w:p>
            <w:pPr>
              <w:spacing w:line="280" w:lineRule="exact"/>
              <w:jc w:val="center"/>
              <w:rPr>
                <w:rFonts w:ascii="仿宋" w:hAnsi="仿宋" w:eastAsia="仿宋"/>
                <w:b w:val="0"/>
                <w:szCs w:val="21"/>
              </w:rPr>
            </w:pPr>
            <w:r>
              <w:rPr>
                <w:rFonts w:hint="eastAsia" w:ascii="仿宋" w:hAnsi="仿宋" w:eastAsia="仿宋"/>
                <w:b w:val="0"/>
                <w:szCs w:val="21"/>
              </w:rPr>
              <w:t>生产开发及配套设施建设</w:t>
            </w:r>
          </w:p>
        </w:tc>
        <w:tc>
          <w:tcPr>
            <w:tcW w:w="851" w:type="dxa"/>
            <w:vAlign w:val="center"/>
          </w:tcPr>
          <w:p>
            <w:pPr>
              <w:spacing w:line="280" w:lineRule="exact"/>
              <w:jc w:val="center"/>
              <w:rPr>
                <w:rFonts w:ascii="仿宋" w:hAnsi="仿宋" w:eastAsia="仿宋"/>
                <w:b w:val="0"/>
                <w:szCs w:val="21"/>
              </w:rPr>
            </w:pPr>
            <w:r>
              <w:rPr>
                <w:rFonts w:hint="eastAsia" w:ascii="仿宋" w:hAnsi="仿宋" w:eastAsia="仿宋"/>
                <w:b w:val="0"/>
                <w:szCs w:val="21"/>
              </w:rPr>
              <w:t>移民</w:t>
            </w:r>
          </w:p>
          <w:p>
            <w:pPr>
              <w:spacing w:line="280" w:lineRule="exact"/>
              <w:jc w:val="center"/>
              <w:rPr>
                <w:rFonts w:ascii="仿宋" w:hAnsi="仿宋" w:eastAsia="仿宋"/>
                <w:b w:val="0"/>
                <w:szCs w:val="21"/>
              </w:rPr>
            </w:pPr>
            <w:r>
              <w:rPr>
                <w:rFonts w:hint="eastAsia" w:ascii="仿宋" w:hAnsi="仿宋" w:eastAsia="仿宋"/>
                <w:b w:val="0"/>
                <w:szCs w:val="21"/>
              </w:rPr>
              <w:t>培训</w:t>
            </w:r>
          </w:p>
        </w:tc>
        <w:tc>
          <w:tcPr>
            <w:tcW w:w="850" w:type="dxa"/>
            <w:vAlign w:val="center"/>
          </w:tcPr>
          <w:p>
            <w:pPr>
              <w:spacing w:line="280" w:lineRule="exact"/>
              <w:jc w:val="center"/>
              <w:rPr>
                <w:rFonts w:ascii="仿宋" w:hAnsi="仿宋" w:eastAsia="仿宋"/>
                <w:b w:val="0"/>
                <w:szCs w:val="21"/>
              </w:rPr>
            </w:pPr>
            <w:r>
              <w:rPr>
                <w:rFonts w:hint="eastAsia" w:ascii="仿宋" w:hAnsi="仿宋" w:eastAsia="仿宋"/>
                <w:b w:val="0"/>
                <w:szCs w:val="21"/>
              </w:rPr>
              <w:t>其他</w:t>
            </w:r>
          </w:p>
        </w:tc>
        <w:tc>
          <w:tcPr>
            <w:tcW w:w="851" w:type="dxa"/>
            <w:vMerge w:val="continue"/>
            <w:vAlign w:val="center"/>
          </w:tcPr>
          <w:p>
            <w:pPr>
              <w:spacing w:line="280" w:lineRule="exact"/>
              <w:jc w:val="center"/>
              <w:rPr>
                <w:rFonts w:ascii="仿宋" w:hAnsi="仿宋" w:eastAsia="仿宋"/>
                <w:b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1667" w:type="dxa"/>
            <w:vAlign w:val="center"/>
          </w:tcPr>
          <w:p>
            <w:pPr>
              <w:spacing w:line="320" w:lineRule="exact"/>
              <w:jc w:val="center"/>
              <w:rPr>
                <w:rFonts w:ascii="仿宋" w:hAnsi="仿宋" w:eastAsia="仿宋"/>
                <w:b w:val="0"/>
                <w:sz w:val="21"/>
                <w:szCs w:val="21"/>
              </w:rPr>
            </w:pPr>
            <w:r>
              <w:rPr>
                <w:rFonts w:hint="eastAsia" w:ascii="仿宋" w:hAnsi="仿宋" w:eastAsia="仿宋"/>
                <w:b w:val="0"/>
                <w:sz w:val="21"/>
                <w:szCs w:val="21"/>
              </w:rPr>
              <w:t>湘财农指[2021]93号</w:t>
            </w:r>
          </w:p>
        </w:tc>
        <w:tc>
          <w:tcPr>
            <w:tcW w:w="1134" w:type="dxa"/>
            <w:vAlign w:val="center"/>
          </w:tcPr>
          <w:p>
            <w:pPr>
              <w:spacing w:line="320" w:lineRule="exact"/>
              <w:jc w:val="center"/>
              <w:rPr>
                <w:rFonts w:ascii="仿宋" w:hAnsi="仿宋" w:eastAsia="仿宋"/>
                <w:b w:val="0"/>
                <w:sz w:val="21"/>
                <w:szCs w:val="21"/>
              </w:rPr>
            </w:pPr>
            <w:r>
              <w:rPr>
                <w:rFonts w:hint="eastAsia" w:ascii="仿宋" w:hAnsi="仿宋" w:eastAsia="仿宋"/>
                <w:b w:val="0"/>
                <w:sz w:val="21"/>
                <w:szCs w:val="21"/>
              </w:rPr>
              <w:t>136</w:t>
            </w:r>
          </w:p>
        </w:tc>
        <w:tc>
          <w:tcPr>
            <w:tcW w:w="992" w:type="dxa"/>
            <w:vAlign w:val="center"/>
          </w:tcPr>
          <w:p>
            <w:pPr>
              <w:spacing w:line="320" w:lineRule="exact"/>
              <w:jc w:val="center"/>
              <w:rPr>
                <w:rFonts w:ascii="仿宋" w:hAnsi="仿宋" w:eastAsia="仿宋"/>
                <w:b w:val="0"/>
                <w:sz w:val="21"/>
                <w:szCs w:val="21"/>
              </w:rPr>
            </w:pPr>
          </w:p>
        </w:tc>
        <w:tc>
          <w:tcPr>
            <w:tcW w:w="1134" w:type="dxa"/>
            <w:vAlign w:val="center"/>
          </w:tcPr>
          <w:p>
            <w:pPr>
              <w:spacing w:line="320" w:lineRule="exact"/>
              <w:jc w:val="center"/>
              <w:rPr>
                <w:rFonts w:ascii="仿宋" w:hAnsi="仿宋" w:eastAsia="仿宋"/>
                <w:b w:val="0"/>
                <w:sz w:val="21"/>
                <w:szCs w:val="21"/>
              </w:rPr>
            </w:pPr>
            <w:r>
              <w:rPr>
                <w:rFonts w:hint="eastAsia" w:ascii="仿宋" w:hAnsi="仿宋" w:eastAsia="仿宋"/>
                <w:b w:val="0"/>
                <w:sz w:val="21"/>
                <w:szCs w:val="21"/>
              </w:rPr>
              <w:t>36</w:t>
            </w:r>
          </w:p>
        </w:tc>
        <w:tc>
          <w:tcPr>
            <w:tcW w:w="1276" w:type="dxa"/>
            <w:vAlign w:val="center"/>
          </w:tcPr>
          <w:p>
            <w:pPr>
              <w:spacing w:line="280" w:lineRule="exact"/>
              <w:jc w:val="center"/>
              <w:rPr>
                <w:rFonts w:ascii="仿宋" w:hAnsi="仿宋" w:eastAsia="仿宋"/>
                <w:b w:val="0"/>
                <w:sz w:val="21"/>
                <w:szCs w:val="21"/>
              </w:rPr>
            </w:pPr>
            <w:r>
              <w:rPr>
                <w:rFonts w:hint="eastAsia" w:ascii="仿宋" w:hAnsi="仿宋" w:eastAsia="仿宋"/>
                <w:b w:val="0"/>
                <w:sz w:val="21"/>
                <w:szCs w:val="21"/>
              </w:rPr>
              <w:t>100</w:t>
            </w:r>
          </w:p>
        </w:tc>
        <w:tc>
          <w:tcPr>
            <w:tcW w:w="851" w:type="dxa"/>
            <w:vAlign w:val="center"/>
          </w:tcPr>
          <w:p>
            <w:pPr>
              <w:spacing w:line="280" w:lineRule="exact"/>
              <w:jc w:val="center"/>
              <w:rPr>
                <w:rFonts w:ascii="仿宋" w:hAnsi="仿宋" w:eastAsia="仿宋"/>
                <w:b w:val="0"/>
                <w:sz w:val="21"/>
                <w:szCs w:val="21"/>
              </w:rPr>
            </w:pPr>
          </w:p>
        </w:tc>
        <w:tc>
          <w:tcPr>
            <w:tcW w:w="850" w:type="dxa"/>
            <w:vAlign w:val="center"/>
          </w:tcPr>
          <w:p>
            <w:pPr>
              <w:spacing w:line="280" w:lineRule="exact"/>
              <w:jc w:val="center"/>
              <w:rPr>
                <w:rFonts w:ascii="仿宋" w:hAnsi="仿宋" w:eastAsia="仿宋"/>
                <w:b w:val="0"/>
                <w:sz w:val="21"/>
                <w:szCs w:val="21"/>
              </w:rPr>
            </w:pPr>
          </w:p>
        </w:tc>
        <w:tc>
          <w:tcPr>
            <w:tcW w:w="851" w:type="dxa"/>
            <w:vAlign w:val="center"/>
          </w:tcPr>
          <w:p>
            <w:pPr>
              <w:spacing w:line="320" w:lineRule="exact"/>
              <w:jc w:val="center"/>
              <w:rPr>
                <w:rFonts w:ascii="仿宋" w:hAnsi="仿宋" w:eastAsia="仿宋"/>
                <w:b w:val="0"/>
                <w:sz w:val="21"/>
                <w:szCs w:val="21"/>
              </w:rPr>
            </w:pPr>
          </w:p>
        </w:tc>
      </w:tr>
    </w:tbl>
    <w:p>
      <w:pPr>
        <w:spacing w:line="580" w:lineRule="exact"/>
        <w:ind w:firstLine="640" w:firstLineChars="200"/>
        <w:rPr>
          <w:rFonts w:ascii="Times New Roman"/>
          <w:b w:val="0"/>
          <w:sz w:val="32"/>
          <w:szCs w:val="32"/>
        </w:rPr>
      </w:pPr>
      <w:r>
        <w:rPr>
          <w:rFonts w:hint="eastAsia" w:ascii="Times New Roman"/>
          <w:b w:val="0"/>
          <w:sz w:val="32"/>
          <w:szCs w:val="32"/>
        </w:rPr>
        <w:t>3.项目资金管理情况分析。</w:t>
      </w:r>
    </w:p>
    <w:p>
      <w:pPr>
        <w:spacing w:line="580" w:lineRule="exact"/>
        <w:ind w:firstLine="640" w:firstLineChars="200"/>
        <w:rPr>
          <w:rFonts w:ascii="Times New Roman"/>
          <w:b w:val="0"/>
          <w:sz w:val="32"/>
          <w:szCs w:val="32"/>
        </w:rPr>
      </w:pPr>
      <w:r>
        <w:rPr>
          <w:rFonts w:hint="eastAsia" w:ascii="仿宋" w:hAnsi="仿宋" w:eastAsia="仿宋"/>
          <w:b w:val="0"/>
          <w:sz w:val="32"/>
          <w:szCs w:val="32"/>
        </w:rPr>
        <w:t>资金核算严格按国库集中支付的要求执行，资金拨付严格按省库区移民事务中心下达的计划执行，没有发生随意变更项目的现象。</w:t>
      </w:r>
    </w:p>
    <w:p>
      <w:pPr>
        <w:spacing w:line="580" w:lineRule="exact"/>
        <w:ind w:firstLine="640" w:firstLineChars="200"/>
        <w:rPr>
          <w:rFonts w:ascii="Times New Roman"/>
          <w:b w:val="0"/>
          <w:sz w:val="32"/>
          <w:szCs w:val="32"/>
        </w:rPr>
      </w:pPr>
      <w:r>
        <w:rPr>
          <w:rFonts w:hint="eastAsia" w:ascii="Times New Roman"/>
          <w:b w:val="0"/>
          <w:sz w:val="32"/>
          <w:szCs w:val="32"/>
        </w:rPr>
        <w:t>（二）总体绩效目标完成情况分析。</w:t>
      </w:r>
    </w:p>
    <w:p>
      <w:pPr>
        <w:spacing w:line="580" w:lineRule="exact"/>
        <w:ind w:firstLine="640" w:firstLineChars="200"/>
        <w:rPr>
          <w:rFonts w:ascii="Times New Roman"/>
          <w:b w:val="0"/>
          <w:sz w:val="32"/>
          <w:szCs w:val="32"/>
        </w:rPr>
      </w:pPr>
      <w:r>
        <w:rPr>
          <w:rFonts w:hint="eastAsia" w:ascii="仿宋" w:hAnsi="仿宋" w:eastAsia="仿宋"/>
          <w:b w:val="0"/>
          <w:sz w:val="32"/>
          <w:szCs w:val="32"/>
        </w:rPr>
        <w:t>2022年度桃江县国家重大水利工程建设基金（三峡后续工作）资金136万元</w:t>
      </w:r>
      <w:r>
        <w:rPr>
          <w:rFonts w:hint="eastAsia" w:ascii="仿宋" w:hAnsi="仿宋" w:eastAsia="仿宋"/>
          <w:b w:val="0"/>
          <w:color w:val="000000"/>
          <w:sz w:val="32"/>
          <w:szCs w:val="32"/>
        </w:rPr>
        <w:t>，其中：</w:t>
      </w:r>
      <w:r>
        <w:rPr>
          <w:rFonts w:hint="eastAsia" w:ascii="仿宋" w:hAnsi="仿宋" w:eastAsia="仿宋"/>
          <w:b w:val="0"/>
          <w:sz w:val="32"/>
          <w:szCs w:val="32"/>
        </w:rPr>
        <w:t>计划用于渠道建设2.5万元；计划用于公路建设16.5万元；计划用于人居环境整治建设17万元；计划用于扶持移民发展生产100万元。截至2022年12月31日止，所有项目均已按计划实施到位，项目完成率100%，资金拨付率100%。</w:t>
      </w:r>
    </w:p>
    <w:p>
      <w:pPr>
        <w:spacing w:line="580" w:lineRule="exact"/>
        <w:ind w:firstLine="640" w:firstLineChars="200"/>
        <w:rPr>
          <w:rFonts w:ascii="Times New Roman"/>
          <w:b w:val="0"/>
          <w:sz w:val="32"/>
          <w:szCs w:val="32"/>
        </w:rPr>
      </w:pPr>
      <w:r>
        <w:rPr>
          <w:rFonts w:hint="eastAsia" w:ascii="Times New Roman"/>
          <w:b w:val="0"/>
          <w:sz w:val="32"/>
          <w:szCs w:val="32"/>
        </w:rPr>
        <w:t>（三）绩效目标完成情况分析。</w:t>
      </w:r>
    </w:p>
    <w:p>
      <w:pPr>
        <w:spacing w:line="580" w:lineRule="exact"/>
        <w:ind w:firstLine="640" w:firstLineChars="200"/>
        <w:rPr>
          <w:rFonts w:ascii="Times New Roman"/>
          <w:b w:val="0"/>
          <w:sz w:val="32"/>
          <w:szCs w:val="32"/>
        </w:rPr>
      </w:pPr>
      <w:r>
        <w:rPr>
          <w:rFonts w:hint="eastAsia" w:ascii="Times New Roman"/>
          <w:b w:val="0"/>
          <w:sz w:val="32"/>
          <w:szCs w:val="32"/>
        </w:rPr>
        <w:t>1.产出指标完成情况分析。</w:t>
      </w:r>
    </w:p>
    <w:p>
      <w:pPr>
        <w:spacing w:line="580" w:lineRule="exact"/>
        <w:ind w:firstLine="640" w:firstLineChars="200"/>
        <w:rPr>
          <w:rFonts w:ascii="Times New Roman"/>
          <w:b w:val="0"/>
          <w:sz w:val="32"/>
          <w:szCs w:val="32"/>
        </w:rPr>
      </w:pPr>
      <w:r>
        <w:rPr>
          <w:rFonts w:hint="eastAsia" w:ascii="Times New Roman"/>
          <w:b w:val="0"/>
          <w:sz w:val="32"/>
          <w:szCs w:val="32"/>
        </w:rPr>
        <w:t>（1）数量指标。</w:t>
      </w:r>
    </w:p>
    <w:p>
      <w:pPr>
        <w:spacing w:line="580" w:lineRule="exact"/>
        <w:ind w:firstLine="640" w:firstLineChars="200"/>
        <w:rPr>
          <w:rFonts w:ascii="Times New Roman"/>
          <w:b w:val="0"/>
          <w:sz w:val="32"/>
          <w:szCs w:val="32"/>
          <w:u w:val="single"/>
        </w:rPr>
      </w:pPr>
      <w:r>
        <w:rPr>
          <w:rFonts w:hint="eastAsia" w:ascii="仿宋" w:hAnsi="仿宋" w:eastAsia="仿宋"/>
          <w:b w:val="0"/>
          <w:sz w:val="32"/>
          <w:szCs w:val="32"/>
        </w:rPr>
        <w:t>桃江县2022年12月底止，共完成国家重大水利工程建设基金（三峡后续工作）资金支出生产开发及配套建设100万元,美丽家园建设36万元，共计项目5个。其中，道路抬高1条70米，修建公路1条460米，新建渠道1条20米，人居环境综合整治项目2处地坪硬化1160平方米，扶持移民合作社3家。</w:t>
      </w:r>
    </w:p>
    <w:p>
      <w:pPr>
        <w:spacing w:line="580" w:lineRule="exact"/>
        <w:ind w:firstLine="640" w:firstLineChars="200"/>
        <w:rPr>
          <w:rFonts w:ascii="Times New Roman"/>
          <w:b w:val="0"/>
          <w:sz w:val="32"/>
          <w:szCs w:val="32"/>
        </w:rPr>
      </w:pPr>
      <w:r>
        <w:rPr>
          <w:rFonts w:hint="eastAsia" w:ascii="Times New Roman"/>
          <w:b w:val="0"/>
          <w:sz w:val="32"/>
          <w:szCs w:val="32"/>
        </w:rPr>
        <w:t>（2）质量指标。</w:t>
      </w:r>
    </w:p>
    <w:p>
      <w:pPr>
        <w:spacing w:line="580" w:lineRule="exact"/>
        <w:ind w:firstLine="640" w:firstLineChars="200"/>
        <w:rPr>
          <w:rFonts w:ascii="Times New Roman"/>
          <w:b w:val="0"/>
          <w:sz w:val="32"/>
          <w:szCs w:val="32"/>
        </w:rPr>
      </w:pPr>
      <w:r>
        <w:rPr>
          <w:rFonts w:hint="eastAsia" w:ascii="仿宋" w:hAnsi="仿宋" w:eastAsia="仿宋"/>
          <w:b w:val="0"/>
          <w:color w:val="000000"/>
          <w:sz w:val="32"/>
          <w:szCs w:val="32"/>
        </w:rPr>
        <w:t>桃江县的</w:t>
      </w:r>
      <w:r>
        <w:rPr>
          <w:rFonts w:hint="eastAsia" w:ascii="仿宋" w:hAnsi="仿宋" w:eastAsia="仿宋"/>
          <w:b w:val="0"/>
          <w:sz w:val="32"/>
          <w:szCs w:val="32"/>
        </w:rPr>
        <w:t>国家重大水利工程建设基金（三峡后续工作）资金的</w:t>
      </w:r>
      <w:r>
        <w:rPr>
          <w:rFonts w:hint="eastAsia" w:ascii="仿宋" w:hAnsi="仿宋" w:eastAsia="仿宋"/>
          <w:b w:val="0"/>
          <w:color w:val="000000"/>
          <w:sz w:val="32"/>
          <w:szCs w:val="32"/>
        </w:rPr>
        <w:t>实施是严格按照省库区移民事务中心下达的项目计划和省财政厅下达的资金指标文件执行的，项目合格率达到100%。</w:t>
      </w:r>
    </w:p>
    <w:p>
      <w:pPr>
        <w:spacing w:line="580" w:lineRule="exact"/>
        <w:ind w:firstLine="640" w:firstLineChars="200"/>
        <w:rPr>
          <w:rFonts w:ascii="Times New Roman"/>
          <w:b w:val="0"/>
          <w:sz w:val="32"/>
          <w:szCs w:val="32"/>
        </w:rPr>
      </w:pPr>
      <w:r>
        <w:rPr>
          <w:rFonts w:hint="eastAsia" w:ascii="Times New Roman"/>
          <w:b w:val="0"/>
          <w:sz w:val="32"/>
          <w:szCs w:val="32"/>
        </w:rPr>
        <w:t>（3）时效指标。</w:t>
      </w:r>
    </w:p>
    <w:p>
      <w:pPr>
        <w:spacing w:line="580" w:lineRule="exact"/>
        <w:ind w:firstLine="640" w:firstLineChars="200"/>
        <w:rPr>
          <w:rFonts w:ascii="Times New Roman"/>
          <w:b w:val="0"/>
          <w:sz w:val="32"/>
          <w:szCs w:val="32"/>
        </w:rPr>
      </w:pPr>
      <w:r>
        <w:rPr>
          <w:rFonts w:hint="eastAsia" w:ascii="仿宋" w:hAnsi="仿宋" w:eastAsia="仿宋"/>
          <w:b w:val="0"/>
          <w:sz w:val="32"/>
          <w:szCs w:val="32"/>
        </w:rPr>
        <w:t>桃江县的国家重大水利工程建设基金（三峡后续工作）资金严格按照实施方案时间点拨付。截止到2022年12月31日止资金拨付率100%。</w:t>
      </w:r>
    </w:p>
    <w:p>
      <w:pPr>
        <w:spacing w:line="580" w:lineRule="exact"/>
        <w:ind w:firstLine="640" w:firstLineChars="200"/>
        <w:rPr>
          <w:rFonts w:ascii="Times New Roman"/>
          <w:b w:val="0"/>
          <w:sz w:val="32"/>
          <w:szCs w:val="32"/>
        </w:rPr>
      </w:pPr>
      <w:r>
        <w:rPr>
          <w:rFonts w:hint="eastAsia" w:ascii="Times New Roman"/>
          <w:b w:val="0"/>
          <w:sz w:val="32"/>
          <w:szCs w:val="32"/>
        </w:rPr>
        <w:t>（4）成本指标。</w:t>
      </w:r>
    </w:p>
    <w:p>
      <w:pPr>
        <w:spacing w:line="580" w:lineRule="exact"/>
        <w:ind w:firstLine="640" w:firstLineChars="200"/>
        <w:rPr>
          <w:rFonts w:ascii="Times New Roman"/>
          <w:b w:val="0"/>
          <w:sz w:val="32"/>
          <w:szCs w:val="32"/>
        </w:rPr>
      </w:pPr>
      <w:r>
        <w:rPr>
          <w:rFonts w:hint="eastAsia" w:ascii="仿宋" w:hAnsi="仿宋" w:eastAsia="仿宋"/>
          <w:b w:val="0"/>
          <w:sz w:val="32"/>
          <w:szCs w:val="32"/>
        </w:rPr>
        <w:t>桃江县执行2022年度国家重大水利工程建设基金（三峡后续工作）项目计划时没有出现超预算项目，项目支出严格控制在批复预算范围内的项目比例达100%。</w:t>
      </w:r>
    </w:p>
    <w:p>
      <w:pPr>
        <w:spacing w:line="580" w:lineRule="exact"/>
        <w:ind w:firstLine="640" w:firstLineChars="200"/>
        <w:rPr>
          <w:rFonts w:ascii="Times New Roman"/>
          <w:b w:val="0"/>
          <w:sz w:val="32"/>
          <w:szCs w:val="32"/>
        </w:rPr>
      </w:pPr>
      <w:r>
        <w:rPr>
          <w:rFonts w:hint="eastAsia" w:ascii="Times New Roman"/>
          <w:b w:val="0"/>
          <w:sz w:val="32"/>
          <w:szCs w:val="32"/>
        </w:rPr>
        <w:t>2.效益指标完成情况分析。</w:t>
      </w:r>
    </w:p>
    <w:p>
      <w:pPr>
        <w:spacing w:line="580" w:lineRule="exact"/>
        <w:ind w:firstLine="640" w:firstLineChars="200"/>
        <w:rPr>
          <w:rFonts w:ascii="Times New Roman"/>
          <w:b w:val="0"/>
          <w:sz w:val="32"/>
          <w:szCs w:val="32"/>
        </w:rPr>
      </w:pPr>
      <w:r>
        <w:rPr>
          <w:rFonts w:hint="eastAsia" w:ascii="Times New Roman"/>
          <w:b w:val="0"/>
          <w:sz w:val="32"/>
          <w:szCs w:val="32"/>
        </w:rPr>
        <w:t>（1）经济效益。</w:t>
      </w:r>
      <w:r>
        <w:rPr>
          <w:rFonts w:hint="eastAsia" w:ascii="仿宋" w:hAnsi="仿宋" w:eastAsia="仿宋"/>
          <w:b w:val="0"/>
          <w:color w:val="000000"/>
          <w:sz w:val="32"/>
          <w:szCs w:val="32"/>
        </w:rPr>
        <w:t>桃江县的国家重大水利工程建设基金（三峡后续工作）资金支付和项目建设，为移民增收提供了有力保障，促进三峡移民人均增收800元。</w:t>
      </w:r>
    </w:p>
    <w:p>
      <w:pPr>
        <w:spacing w:line="580" w:lineRule="exact"/>
        <w:ind w:firstLine="640" w:firstLineChars="200"/>
        <w:rPr>
          <w:rFonts w:ascii="Times New Roman"/>
          <w:b w:val="0"/>
          <w:sz w:val="32"/>
          <w:szCs w:val="32"/>
        </w:rPr>
      </w:pPr>
      <w:r>
        <w:rPr>
          <w:rFonts w:hint="eastAsia" w:ascii="Times New Roman"/>
          <w:b w:val="0"/>
          <w:sz w:val="32"/>
          <w:szCs w:val="32"/>
        </w:rPr>
        <w:t>（2）社会效益。</w:t>
      </w:r>
      <w:r>
        <w:rPr>
          <w:rFonts w:hint="eastAsia" w:ascii="仿宋" w:hAnsi="仿宋" w:eastAsia="仿宋"/>
          <w:b w:val="0"/>
          <w:sz w:val="32"/>
          <w:szCs w:val="32"/>
        </w:rPr>
        <w:t>2022年度国家重大水利工程建设基金（三峡后续工作）建设任务完成后，农村居民受益人口达4979人，其中受益移民415人。</w:t>
      </w:r>
    </w:p>
    <w:p>
      <w:pPr>
        <w:spacing w:line="580" w:lineRule="exact"/>
        <w:ind w:firstLine="640" w:firstLineChars="200"/>
        <w:rPr>
          <w:rFonts w:ascii="仿宋" w:hAnsi="仿宋" w:eastAsia="仿宋"/>
          <w:b w:val="0"/>
          <w:color w:val="000000"/>
          <w:sz w:val="32"/>
          <w:szCs w:val="32"/>
        </w:rPr>
      </w:pPr>
      <w:r>
        <w:rPr>
          <w:rFonts w:hint="eastAsia" w:ascii="Times New Roman"/>
          <w:b w:val="0"/>
          <w:sz w:val="32"/>
          <w:szCs w:val="32"/>
        </w:rPr>
        <w:t>（3）生态效益。</w:t>
      </w:r>
      <w:r>
        <w:rPr>
          <w:rFonts w:hint="eastAsia" w:ascii="仿宋" w:hAnsi="仿宋" w:eastAsia="仿宋"/>
          <w:b w:val="0"/>
          <w:color w:val="000000"/>
          <w:sz w:val="32"/>
          <w:szCs w:val="32"/>
        </w:rPr>
        <w:t>项目扶持受益移民村4个。项目完成后，三峡移民安置区村容、村貌进一步美化，移民生产生活条件进一步改善，幸福指数显著提高。</w:t>
      </w:r>
    </w:p>
    <w:p>
      <w:pPr>
        <w:spacing w:line="580" w:lineRule="exact"/>
        <w:ind w:firstLine="640" w:firstLineChars="200"/>
        <w:rPr>
          <w:rFonts w:ascii="Times New Roman"/>
          <w:b w:val="0"/>
          <w:sz w:val="32"/>
          <w:szCs w:val="32"/>
        </w:rPr>
      </w:pPr>
      <w:r>
        <w:rPr>
          <w:rFonts w:hint="eastAsia" w:ascii="Times New Roman"/>
          <w:b w:val="0"/>
          <w:sz w:val="32"/>
          <w:szCs w:val="32"/>
        </w:rPr>
        <w:t>（4）可持续影响。</w:t>
      </w:r>
      <w:r>
        <w:rPr>
          <w:rFonts w:hint="eastAsia" w:ascii="仿宋" w:hAnsi="仿宋" w:eastAsia="仿宋"/>
          <w:b w:val="0"/>
          <w:color w:val="000000"/>
          <w:sz w:val="32"/>
          <w:szCs w:val="32"/>
        </w:rPr>
        <w:t>通过随机抽取移民进行问卷调查，移民对项目实施建成后的满意度达100%，全年没有发生与后期扶持有关的非正常进京越级上访事件。交办的信访事项及时处理率达100%，全县库区与移民安置区社会大局基本稳定。</w:t>
      </w:r>
    </w:p>
    <w:p>
      <w:pPr>
        <w:spacing w:line="580" w:lineRule="exact"/>
        <w:ind w:firstLine="640" w:firstLineChars="200"/>
        <w:rPr>
          <w:rFonts w:ascii="Times New Roman"/>
          <w:b w:val="0"/>
          <w:sz w:val="32"/>
          <w:szCs w:val="32"/>
        </w:rPr>
      </w:pPr>
      <w:r>
        <w:rPr>
          <w:rFonts w:hint="eastAsia" w:ascii="Times New Roman"/>
          <w:b w:val="0"/>
          <w:sz w:val="32"/>
          <w:szCs w:val="32"/>
        </w:rPr>
        <w:t>3.满意度指标完成情况分析。</w:t>
      </w:r>
      <w:r>
        <w:rPr>
          <w:rFonts w:hint="eastAsia" w:ascii="仿宋" w:hAnsi="仿宋" w:eastAsia="仿宋"/>
          <w:b w:val="0"/>
          <w:sz w:val="32"/>
          <w:szCs w:val="32"/>
        </w:rPr>
        <w:t>移民安置区居民满意度100%；相关信访问题化解率100%。</w:t>
      </w:r>
    </w:p>
    <w:p>
      <w:pPr>
        <w:spacing w:line="580" w:lineRule="exact"/>
        <w:ind w:firstLine="640" w:firstLineChars="200"/>
        <w:rPr>
          <w:rFonts w:ascii="黑体" w:hAnsi="黑体" w:eastAsia="黑体"/>
          <w:b w:val="0"/>
          <w:sz w:val="32"/>
          <w:szCs w:val="32"/>
        </w:rPr>
      </w:pPr>
      <w:r>
        <w:rPr>
          <w:rFonts w:ascii="黑体" w:hAnsi="黑体" w:eastAsia="黑体"/>
          <w:b w:val="0"/>
          <w:sz w:val="32"/>
          <w:szCs w:val="32"/>
        </w:rPr>
        <w:t>三、</w:t>
      </w:r>
      <w:r>
        <w:rPr>
          <w:rFonts w:hint="eastAsia" w:ascii="黑体" w:hAnsi="黑体" w:eastAsia="黑体"/>
          <w:b w:val="0"/>
          <w:sz w:val="32"/>
          <w:szCs w:val="32"/>
        </w:rPr>
        <w:t>偏离绩效目标的原因和下一步改进措施</w:t>
      </w:r>
    </w:p>
    <w:p>
      <w:pPr>
        <w:spacing w:line="580" w:lineRule="exact"/>
        <w:ind w:firstLine="640" w:firstLineChars="200"/>
        <w:rPr>
          <w:rFonts w:ascii="仿宋" w:hAnsi="仿宋" w:eastAsia="仿宋"/>
          <w:b w:val="0"/>
          <w:color w:val="000000"/>
          <w:sz w:val="32"/>
          <w:szCs w:val="32"/>
        </w:rPr>
      </w:pPr>
      <w:r>
        <w:rPr>
          <w:rFonts w:hint="eastAsia" w:ascii="仿宋" w:hAnsi="仿宋" w:eastAsia="仿宋"/>
          <w:b w:val="0"/>
          <w:color w:val="000000"/>
          <w:sz w:val="32"/>
          <w:szCs w:val="32"/>
        </w:rPr>
        <w:t>桃江县的绩效目标整体完成较好，项目完成进度和资金拨付进度都能按时完成，资金拨付率100%，没有出现偏离绩效目标的情况。</w:t>
      </w:r>
    </w:p>
    <w:p>
      <w:pPr>
        <w:spacing w:line="580" w:lineRule="exact"/>
        <w:ind w:firstLine="640" w:firstLineChars="200"/>
        <w:rPr>
          <w:rFonts w:ascii="黑体" w:eastAsia="黑体"/>
          <w:b w:val="0"/>
          <w:sz w:val="32"/>
          <w:szCs w:val="32"/>
        </w:rPr>
      </w:pPr>
      <w:r>
        <w:rPr>
          <w:rFonts w:hint="eastAsia" w:ascii="黑体" w:eastAsia="黑体"/>
          <w:b w:val="0"/>
          <w:sz w:val="32"/>
          <w:szCs w:val="32"/>
        </w:rPr>
        <w:t>四、绩效自评结果拟应用和公开情况</w:t>
      </w:r>
    </w:p>
    <w:p>
      <w:pPr>
        <w:spacing w:line="580" w:lineRule="exact"/>
        <w:ind w:firstLine="640" w:firstLineChars="200"/>
        <w:rPr>
          <w:rFonts w:ascii="仿宋" w:hAnsi="仿宋" w:eastAsia="仿宋"/>
          <w:b w:val="0"/>
          <w:sz w:val="32"/>
          <w:szCs w:val="32"/>
        </w:rPr>
      </w:pPr>
      <w:r>
        <w:rPr>
          <w:rFonts w:hint="eastAsia" w:ascii="仿宋" w:hAnsi="仿宋" w:eastAsia="仿宋"/>
          <w:b w:val="0"/>
          <w:sz w:val="32"/>
          <w:szCs w:val="32"/>
        </w:rPr>
        <w:t>我中心将严格按照上级相关部门要求在相关网站公开，着力提高绩效意识和财政资金的使用效益。</w:t>
      </w:r>
    </w:p>
    <w:p>
      <w:pPr>
        <w:spacing w:line="580" w:lineRule="exact"/>
        <w:ind w:firstLine="640" w:firstLineChars="200"/>
        <w:rPr>
          <w:rFonts w:ascii="仿宋" w:hAnsi="仿宋" w:eastAsia="仿宋"/>
          <w:b w:val="0"/>
          <w:sz w:val="32"/>
          <w:szCs w:val="32"/>
        </w:rPr>
      </w:pPr>
    </w:p>
    <w:p>
      <w:pPr>
        <w:spacing w:line="580" w:lineRule="exact"/>
        <w:ind w:firstLine="640" w:firstLineChars="200"/>
        <w:rPr>
          <w:rFonts w:ascii="仿宋" w:hAnsi="仿宋" w:eastAsia="仿宋"/>
          <w:b w:val="0"/>
          <w:sz w:val="32"/>
          <w:szCs w:val="32"/>
        </w:rPr>
      </w:pPr>
    </w:p>
    <w:p>
      <w:pPr>
        <w:spacing w:line="580" w:lineRule="exact"/>
        <w:ind w:firstLine="640" w:firstLineChars="200"/>
        <w:rPr>
          <w:rFonts w:ascii="仿宋" w:hAnsi="仿宋" w:eastAsia="仿宋"/>
          <w:b w:val="0"/>
          <w:sz w:val="32"/>
          <w:szCs w:val="32"/>
        </w:rPr>
      </w:pPr>
    </w:p>
    <w:p>
      <w:pPr>
        <w:spacing w:line="580" w:lineRule="exact"/>
        <w:ind w:firstLine="640" w:firstLineChars="200"/>
        <w:rPr>
          <w:rFonts w:ascii="仿宋" w:hAnsi="仿宋" w:eastAsia="仿宋"/>
          <w:b w:val="0"/>
          <w:sz w:val="32"/>
          <w:szCs w:val="32"/>
        </w:rPr>
      </w:pPr>
    </w:p>
    <w:p>
      <w:pPr>
        <w:spacing w:line="580" w:lineRule="exact"/>
        <w:ind w:firstLine="6240" w:firstLineChars="1950"/>
        <w:rPr>
          <w:rFonts w:ascii="仿宋" w:hAnsi="仿宋" w:eastAsia="仿宋"/>
          <w:b w:val="0"/>
          <w:sz w:val="32"/>
          <w:szCs w:val="32"/>
        </w:rPr>
      </w:pPr>
      <w:r>
        <w:rPr>
          <w:rFonts w:ascii="仿宋" w:hAnsi="仿宋" w:eastAsia="仿宋"/>
          <w:b w:val="0"/>
          <w:sz w:val="32"/>
          <w:szCs w:val="32"/>
        </w:rPr>
        <w:t>202</w:t>
      </w:r>
      <w:r>
        <w:rPr>
          <w:rFonts w:hint="eastAsia" w:ascii="仿宋" w:hAnsi="仿宋" w:eastAsia="仿宋"/>
          <w:b w:val="0"/>
          <w:sz w:val="32"/>
          <w:szCs w:val="32"/>
        </w:rPr>
        <w:t>3</w:t>
      </w:r>
      <w:r>
        <w:rPr>
          <w:rFonts w:ascii="仿宋" w:hAnsi="仿宋" w:eastAsia="仿宋"/>
          <w:b w:val="0"/>
          <w:sz w:val="32"/>
          <w:szCs w:val="32"/>
        </w:rPr>
        <w:t>年</w:t>
      </w:r>
      <w:r>
        <w:rPr>
          <w:rFonts w:hint="eastAsia" w:ascii="仿宋" w:hAnsi="仿宋" w:eastAsia="仿宋"/>
          <w:b w:val="0"/>
          <w:sz w:val="32"/>
          <w:szCs w:val="32"/>
        </w:rPr>
        <w:t>2</w:t>
      </w:r>
      <w:r>
        <w:rPr>
          <w:rFonts w:ascii="仿宋" w:hAnsi="仿宋" w:eastAsia="仿宋"/>
          <w:b w:val="0"/>
          <w:sz w:val="32"/>
          <w:szCs w:val="32"/>
        </w:rPr>
        <w:t>月</w:t>
      </w:r>
      <w:r>
        <w:rPr>
          <w:rFonts w:hint="eastAsia" w:ascii="仿宋" w:hAnsi="仿宋" w:eastAsia="仿宋"/>
          <w:b w:val="0"/>
          <w:sz w:val="32"/>
          <w:szCs w:val="32"/>
        </w:rPr>
        <w:t>1</w:t>
      </w:r>
      <w:r>
        <w:rPr>
          <w:rFonts w:ascii="仿宋" w:hAnsi="仿宋" w:eastAsia="仿宋"/>
          <w:b w:val="0"/>
          <w:sz w:val="32"/>
          <w:szCs w:val="32"/>
        </w:rPr>
        <w:t>日</w:t>
      </w:r>
    </w:p>
    <w:p>
      <w:pPr>
        <w:spacing w:line="580" w:lineRule="exact"/>
        <w:ind w:firstLine="6240" w:firstLineChars="1950"/>
        <w:rPr>
          <w:rFonts w:ascii="仿宋" w:hAnsi="仿宋" w:eastAsia="仿宋"/>
          <w:b w:val="0"/>
          <w:sz w:val="32"/>
          <w:szCs w:val="32"/>
        </w:rPr>
      </w:pPr>
    </w:p>
    <w:p>
      <w:pPr>
        <w:spacing w:line="580" w:lineRule="exact"/>
        <w:ind w:firstLine="6240" w:firstLineChars="1950"/>
        <w:rPr>
          <w:rFonts w:ascii="仿宋" w:hAnsi="仿宋" w:eastAsia="仿宋"/>
          <w:b w:val="0"/>
          <w:sz w:val="32"/>
          <w:szCs w:val="32"/>
        </w:rPr>
      </w:pPr>
    </w:p>
    <w:p>
      <w:pPr>
        <w:spacing w:line="580" w:lineRule="exact"/>
        <w:ind w:firstLine="6240" w:firstLineChars="1950"/>
        <w:rPr>
          <w:rFonts w:ascii="仿宋" w:hAnsi="仿宋" w:eastAsia="仿宋"/>
          <w:b w:val="0"/>
          <w:sz w:val="32"/>
          <w:szCs w:val="32"/>
        </w:rPr>
      </w:pPr>
    </w:p>
    <w:p>
      <w:pPr>
        <w:spacing w:line="580" w:lineRule="exact"/>
        <w:ind w:firstLine="6240" w:firstLineChars="1950"/>
        <w:rPr>
          <w:rFonts w:ascii="仿宋" w:hAnsi="仿宋" w:eastAsia="仿宋"/>
          <w:b w:val="0"/>
          <w:sz w:val="32"/>
          <w:szCs w:val="32"/>
        </w:rPr>
      </w:pPr>
    </w:p>
    <w:p>
      <w:pPr>
        <w:spacing w:line="580" w:lineRule="exact"/>
        <w:ind w:firstLine="6240" w:firstLineChars="1950"/>
        <w:rPr>
          <w:rFonts w:ascii="仿宋" w:hAnsi="仿宋" w:eastAsia="仿宋"/>
          <w:b w:val="0"/>
          <w:sz w:val="32"/>
          <w:szCs w:val="32"/>
        </w:rPr>
      </w:pPr>
    </w:p>
    <w:p>
      <w:pPr>
        <w:widowControl/>
        <w:spacing w:beforeLines="50" w:line="520" w:lineRule="exact"/>
        <w:jc w:val="center"/>
        <w:rPr>
          <w:rFonts w:ascii="方正小标宋简体" w:hAnsi="Times New Roman" w:eastAsia="方正小标宋简体" w:cs="Times New Roman"/>
          <w:b w:val="0"/>
          <w:bCs/>
          <w:kern w:val="0"/>
          <w:sz w:val="36"/>
          <w:szCs w:val="36"/>
        </w:rPr>
      </w:pPr>
      <w:r>
        <w:rPr>
          <w:rFonts w:hint="eastAsia" w:ascii="方正小标宋简体" w:hAnsi="Times New Roman" w:eastAsia="方正小标宋简体" w:cs="Times New Roman"/>
          <w:b w:val="0"/>
          <w:bCs/>
          <w:kern w:val="0"/>
          <w:sz w:val="36"/>
          <w:szCs w:val="36"/>
        </w:rPr>
        <w:t>益阳市</w:t>
      </w:r>
      <w:r>
        <w:rPr>
          <w:rFonts w:ascii="方正小标宋简体" w:hAnsi="Times New Roman" w:eastAsia="方正小标宋简体" w:cs="Times New Roman"/>
          <w:b w:val="0"/>
          <w:bCs/>
          <w:kern w:val="0"/>
          <w:sz w:val="36"/>
          <w:szCs w:val="36"/>
        </w:rPr>
        <w:t>三峡后续工作</w:t>
      </w:r>
      <w:r>
        <w:rPr>
          <w:rFonts w:hint="eastAsia" w:ascii="方正小标宋简体" w:hAnsi="Times New Roman" w:eastAsia="方正小标宋简体" w:cs="Times New Roman"/>
          <w:b w:val="0"/>
          <w:bCs/>
          <w:kern w:val="0"/>
          <w:sz w:val="36"/>
          <w:szCs w:val="36"/>
        </w:rPr>
        <w:t>专项资金</w:t>
      </w:r>
      <w:r>
        <w:rPr>
          <w:rFonts w:ascii="方正小标宋简体" w:hAnsi="Times New Roman" w:eastAsia="方正小标宋简体" w:cs="Times New Roman"/>
          <w:b w:val="0"/>
          <w:bCs/>
          <w:kern w:val="0"/>
          <w:sz w:val="36"/>
          <w:szCs w:val="36"/>
        </w:rPr>
        <w:t>绩效自评表</w:t>
      </w:r>
    </w:p>
    <w:p>
      <w:pPr>
        <w:spacing w:line="600" w:lineRule="exact"/>
        <w:jc w:val="center"/>
        <w:rPr>
          <w:rFonts w:ascii="Times New Roman" w:hAnsi="Times New Roman" w:eastAsia="楷体_GB2312" w:cs="Times New Roman"/>
          <w:b/>
          <w:sz w:val="36"/>
          <w:szCs w:val="30"/>
        </w:rPr>
      </w:pPr>
      <w:r>
        <w:rPr>
          <w:rFonts w:ascii="Times New Roman" w:hAnsi="Times New Roman" w:eastAsia="楷体_GB2312" w:cs="Times New Roman"/>
          <w:b/>
          <w:bCs/>
          <w:kern w:val="0"/>
          <w:sz w:val="32"/>
          <w:szCs w:val="24"/>
        </w:rPr>
        <w:t>（20</w:t>
      </w:r>
      <w:r>
        <w:rPr>
          <w:rFonts w:hint="eastAsia" w:ascii="Times New Roman" w:hAnsi="Times New Roman" w:eastAsia="楷体_GB2312" w:cs="Times New Roman"/>
          <w:b/>
          <w:bCs/>
          <w:kern w:val="0"/>
          <w:sz w:val="32"/>
          <w:szCs w:val="24"/>
        </w:rPr>
        <w:t>22</w:t>
      </w:r>
      <w:r>
        <w:rPr>
          <w:rFonts w:ascii="Times New Roman" w:hAnsi="Times New Roman" w:eastAsia="楷体_GB2312" w:cs="Times New Roman"/>
          <w:b/>
          <w:bCs/>
          <w:kern w:val="0"/>
          <w:sz w:val="32"/>
          <w:szCs w:val="24"/>
        </w:rPr>
        <w:t>年度）</w:t>
      </w:r>
    </w:p>
    <w:tbl>
      <w:tblPr>
        <w:tblStyle w:val="5"/>
        <w:tblW w:w="5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520"/>
        <w:gridCol w:w="450"/>
        <w:gridCol w:w="642"/>
        <w:gridCol w:w="2026"/>
        <w:gridCol w:w="2338"/>
        <w:gridCol w:w="1083"/>
        <w:gridCol w:w="482"/>
        <w:gridCol w:w="248"/>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转移支付</w:t>
            </w:r>
            <w:r>
              <w:rPr>
                <w:rFonts w:cs="Times New Roman" w:asciiTheme="minorEastAsia" w:hAnsiTheme="minorEastAsia" w:eastAsiaTheme="minorEastAsia"/>
                <w:b w:val="0"/>
                <w:kern w:val="0"/>
                <w:sz w:val="18"/>
                <w:szCs w:val="18"/>
              </w:rPr>
              <w:t>（项目）名称</w:t>
            </w:r>
          </w:p>
        </w:tc>
        <w:tc>
          <w:tcPr>
            <w:tcW w:w="4244" w:type="pct"/>
            <w:gridSpan w:val="7"/>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桃江县三峡工程后续工作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中央主管部门</w:t>
            </w:r>
          </w:p>
        </w:tc>
        <w:tc>
          <w:tcPr>
            <w:tcW w:w="4244" w:type="pct"/>
            <w:gridSpan w:val="7"/>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地方</w:t>
            </w:r>
            <w:r>
              <w:rPr>
                <w:rFonts w:cs="Times New Roman" w:asciiTheme="minorEastAsia" w:hAnsiTheme="minorEastAsia" w:eastAsiaTheme="minorEastAsia"/>
                <w:b w:val="0"/>
                <w:kern w:val="0"/>
                <w:sz w:val="18"/>
                <w:szCs w:val="18"/>
              </w:rPr>
              <w:t>主管部门</w:t>
            </w:r>
          </w:p>
        </w:tc>
        <w:tc>
          <w:tcPr>
            <w:tcW w:w="2723" w:type="pct"/>
            <w:gridSpan w:val="3"/>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资金使用</w:t>
            </w:r>
            <w:r>
              <w:rPr>
                <w:rFonts w:cs="Times New Roman" w:asciiTheme="minorEastAsia" w:hAnsiTheme="minorEastAsia" w:eastAsiaTheme="minorEastAsia"/>
                <w:b w:val="0"/>
                <w:kern w:val="0"/>
                <w:sz w:val="18"/>
                <w:szCs w:val="18"/>
              </w:rPr>
              <w:t>单位</w:t>
            </w: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5" w:type="pct"/>
            <w:gridSpan w:val="3"/>
            <w:vMerge w:val="restar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资金</w:t>
            </w:r>
            <w:r>
              <w:rPr>
                <w:rFonts w:hint="eastAsia" w:cs="Times New Roman" w:asciiTheme="minorEastAsia" w:hAnsiTheme="minorEastAsia" w:eastAsiaTheme="minorEastAsia"/>
                <w:b w:val="0"/>
                <w:kern w:val="0"/>
                <w:sz w:val="18"/>
                <w:szCs w:val="18"/>
              </w:rPr>
              <w:t>情况</w:t>
            </w:r>
            <w:r>
              <w:rPr>
                <w:rFonts w:cs="Times New Roman" w:asciiTheme="minorEastAsia" w:hAnsiTheme="minorEastAsia" w:eastAsiaTheme="minorEastAsia"/>
                <w:b w:val="0"/>
                <w:kern w:val="0"/>
                <w:sz w:val="18"/>
                <w:szCs w:val="18"/>
              </w:rPr>
              <w:t>（万元）</w:t>
            </w:r>
          </w:p>
        </w:tc>
        <w:tc>
          <w:tcPr>
            <w:tcW w:w="1451" w:type="pct"/>
            <w:gridSpan w:val="2"/>
            <w:vAlign w:val="center"/>
          </w:tcPr>
          <w:p>
            <w:pPr>
              <w:widowControl/>
              <w:spacing w:line="240" w:lineRule="exact"/>
              <w:ind w:firstLine="2790" w:firstLineChars="1550"/>
              <w:rPr>
                <w:rFonts w:cs="Times New Roman" w:asciiTheme="minorEastAsia" w:hAnsiTheme="minorEastAsia" w:eastAsiaTheme="minorEastAsia"/>
                <w:b w:val="0"/>
                <w:kern w:val="0"/>
                <w:sz w:val="18"/>
                <w:szCs w:val="18"/>
              </w:rPr>
            </w:pPr>
          </w:p>
        </w:tc>
        <w:tc>
          <w:tcPr>
            <w:tcW w:w="1271" w:type="pct"/>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全年</w:t>
            </w:r>
            <w:r>
              <w:rPr>
                <w:rFonts w:cs="Times New Roman" w:asciiTheme="minorEastAsia" w:hAnsiTheme="minorEastAsia" w:eastAsiaTheme="minorEastAsia"/>
                <w:b w:val="0"/>
                <w:kern w:val="0"/>
                <w:sz w:val="18"/>
                <w:szCs w:val="18"/>
              </w:rPr>
              <w:t>预算数（A）</w:t>
            </w: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全年执行数（B）</w:t>
            </w: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预算</w:t>
            </w:r>
            <w:r>
              <w:rPr>
                <w:rFonts w:cs="Times New Roman" w:asciiTheme="minorEastAsia" w:hAnsiTheme="minorEastAsia" w:eastAsiaTheme="minorEastAsia"/>
                <w:b w:val="0"/>
                <w:kern w:val="0"/>
                <w:sz w:val="18"/>
                <w:szCs w:val="18"/>
              </w:rPr>
              <w:t>执行率</w:t>
            </w:r>
            <w:r>
              <w:rPr>
                <w:rFonts w:hint="eastAsia" w:cs="Times New Roman" w:asciiTheme="minorEastAsia" w:hAnsiTheme="minorEastAsia" w:eastAsiaTheme="minorEastAsia"/>
                <w:b w:val="0"/>
                <w:kern w:val="0"/>
                <w:sz w:val="18"/>
                <w:szCs w:val="18"/>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1451" w:type="pct"/>
            <w:gridSpan w:val="2"/>
            <w:vAlign w:val="center"/>
          </w:tcPr>
          <w:p>
            <w:pPr>
              <w:widowControl/>
              <w:spacing w:line="240" w:lineRule="exact"/>
              <w:jc w:val="center"/>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全年度资金总额：</w:t>
            </w:r>
          </w:p>
        </w:tc>
        <w:tc>
          <w:tcPr>
            <w:tcW w:w="1271"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136万</w:t>
            </w: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136万</w:t>
            </w: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1451" w:type="pct"/>
            <w:gridSpan w:val="2"/>
            <w:vAlign w:val="center"/>
          </w:tcPr>
          <w:p>
            <w:pPr>
              <w:widowControl/>
              <w:spacing w:line="240" w:lineRule="exact"/>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其中：中央</w:t>
            </w:r>
            <w:r>
              <w:rPr>
                <w:rFonts w:hint="eastAsia" w:cs="Times New Roman" w:asciiTheme="minorEastAsia" w:hAnsiTheme="minorEastAsia" w:eastAsiaTheme="minorEastAsia"/>
                <w:b w:val="0"/>
                <w:kern w:val="0"/>
                <w:sz w:val="18"/>
                <w:szCs w:val="18"/>
              </w:rPr>
              <w:t>财政资金</w:t>
            </w:r>
          </w:p>
        </w:tc>
        <w:tc>
          <w:tcPr>
            <w:tcW w:w="1271"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136万</w:t>
            </w: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136万</w:t>
            </w: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1451" w:type="pct"/>
            <w:gridSpan w:val="2"/>
            <w:vAlign w:val="center"/>
          </w:tcPr>
          <w:p>
            <w:pPr>
              <w:widowControl/>
              <w:spacing w:line="240" w:lineRule="exact"/>
              <w:ind w:firstLine="540" w:firstLineChars="300"/>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地方资金</w:t>
            </w:r>
          </w:p>
        </w:tc>
        <w:tc>
          <w:tcPr>
            <w:tcW w:w="1271"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55" w:type="pct"/>
            <w:gridSpan w:val="3"/>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1451" w:type="pct"/>
            <w:gridSpan w:val="2"/>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其他资金（自筹资金）</w:t>
            </w:r>
          </w:p>
        </w:tc>
        <w:tc>
          <w:tcPr>
            <w:tcW w:w="1271"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851"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669" w:type="pct"/>
            <w:gridSpan w:val="2"/>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27" w:type="pct"/>
            <w:vMerge w:val="restar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年度总体目标</w:t>
            </w:r>
          </w:p>
        </w:tc>
        <w:tc>
          <w:tcPr>
            <w:tcW w:w="3251" w:type="pct"/>
            <w:gridSpan w:val="5"/>
            <w:vAlign w:val="center"/>
          </w:tcPr>
          <w:p>
            <w:pPr>
              <w:widowControl/>
              <w:spacing w:line="240" w:lineRule="exact"/>
              <w:jc w:val="center"/>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总体</w:t>
            </w:r>
            <w:r>
              <w:rPr>
                <w:rFonts w:cs="Times New Roman" w:asciiTheme="minorEastAsia" w:hAnsiTheme="minorEastAsia" w:eastAsiaTheme="minorEastAsia"/>
                <w:b w:val="0"/>
                <w:kern w:val="0"/>
                <w:sz w:val="18"/>
                <w:szCs w:val="18"/>
              </w:rPr>
              <w:t>目标</w:t>
            </w:r>
          </w:p>
        </w:tc>
        <w:tc>
          <w:tcPr>
            <w:tcW w:w="1521" w:type="pct"/>
            <w:gridSpan w:val="4"/>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r>
              <w:rPr>
                <w:rFonts w:cs="Times New Roman" w:asciiTheme="minorEastAsia" w:hAnsiTheme="minorEastAsia" w:eastAsiaTheme="minorEastAsia"/>
                <w:b w:val="0"/>
                <w:kern w:val="0"/>
                <w:sz w:val="18"/>
                <w:szCs w:val="18"/>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3251" w:type="pct"/>
            <w:gridSpan w:val="5"/>
            <w:vAlign w:val="center"/>
          </w:tcPr>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目标1：改善三峡移民安置点基础设施条件；</w:t>
            </w:r>
          </w:p>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目标2：改善三峡移民安置点人居环境；</w:t>
            </w:r>
          </w:p>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目标3：促进三峡移民增收。</w:t>
            </w:r>
          </w:p>
        </w:tc>
        <w:tc>
          <w:tcPr>
            <w:tcW w:w="1521" w:type="pct"/>
            <w:gridSpan w:val="4"/>
            <w:shd w:val="clear" w:color="auto" w:fill="auto"/>
            <w:vAlign w:val="center"/>
          </w:tcPr>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目标1：完成</w:t>
            </w:r>
          </w:p>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目标2：完成</w:t>
            </w:r>
          </w:p>
          <w:p>
            <w:pPr>
              <w:widowControl/>
              <w:spacing w:line="240" w:lineRule="exact"/>
              <w:jc w:val="left"/>
              <w:rPr>
                <w:rFonts w:cs="Times New Roman" w:asciiTheme="minorEastAsia" w:hAnsiTheme="minorEastAsia" w:eastAsiaTheme="minorEastAsia"/>
                <w:b w:val="0"/>
                <w:kern w:val="0"/>
                <w:sz w:val="18"/>
                <w:szCs w:val="18"/>
              </w:rPr>
            </w:pPr>
            <w:r>
              <w:rPr>
                <w:rFonts w:hint="eastAsia" w:cs="Times New Roman" w:asciiTheme="minorEastAsia" w:hAnsiTheme="minorEastAsia" w:eastAsiaTheme="minorEastAsia"/>
                <w:b w:val="0"/>
                <w:kern w:val="0"/>
                <w:sz w:val="18"/>
                <w:szCs w:val="18"/>
              </w:rPr>
              <w:t>目标3：完成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27" w:type="pct"/>
            <w:vMerge w:val="restart"/>
            <w:vAlign w:val="center"/>
          </w:tcPr>
          <w:p>
            <w:pPr>
              <w:widowControl/>
              <w:spacing w:line="240" w:lineRule="exact"/>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绩效</w:t>
            </w:r>
          </w:p>
          <w:p>
            <w:pPr>
              <w:widowControl/>
              <w:spacing w:line="240" w:lineRule="exact"/>
              <w:jc w:val="center"/>
              <w:rPr>
                <w:rFonts w:cs="Times New Roman" w:asciiTheme="minorEastAsia" w:hAnsiTheme="minorEastAsia" w:eastAsiaTheme="minorEastAsia"/>
                <w:b w:val="0"/>
                <w:kern w:val="0"/>
                <w:sz w:val="18"/>
                <w:szCs w:val="18"/>
              </w:rPr>
            </w:pPr>
            <w:r>
              <w:rPr>
                <w:rFonts w:cs="Courier New" w:asciiTheme="minorEastAsia" w:hAnsiTheme="minorEastAsia" w:eastAsiaTheme="minorEastAsia"/>
                <w:b w:val="0"/>
                <w:color w:val="000000"/>
                <w:kern w:val="0"/>
                <w:sz w:val="18"/>
                <w:szCs w:val="18"/>
              </w:rPr>
              <w:t>指标</w:t>
            </w:r>
          </w:p>
        </w:tc>
        <w:tc>
          <w:tcPr>
            <w:tcW w:w="283" w:type="pc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一级</w:t>
            </w:r>
          </w:p>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指标</w:t>
            </w:r>
          </w:p>
        </w:tc>
        <w:tc>
          <w:tcPr>
            <w:tcW w:w="594" w:type="pct"/>
            <w:gridSpan w:val="2"/>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二级指标</w:t>
            </w:r>
          </w:p>
        </w:tc>
        <w:tc>
          <w:tcPr>
            <w:tcW w:w="2372" w:type="pct"/>
            <w:gridSpan w:val="2"/>
            <w:vAlign w:val="center"/>
          </w:tcPr>
          <w:p>
            <w:pPr>
              <w:widowControl/>
              <w:jc w:val="center"/>
              <w:rPr>
                <w:rFonts w:cs="Courier New" w:asciiTheme="minorEastAsia" w:hAnsiTheme="minorEastAsia" w:eastAsiaTheme="minorEastAsia"/>
                <w:b w:val="0"/>
                <w:color w:val="000000"/>
                <w:kern w:val="0"/>
                <w:sz w:val="18"/>
                <w:szCs w:val="18"/>
              </w:rPr>
            </w:pPr>
          </w:p>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三级指标</w:t>
            </w:r>
          </w:p>
        </w:tc>
        <w:tc>
          <w:tcPr>
            <w:tcW w:w="589" w:type="pc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指标值</w:t>
            </w:r>
          </w:p>
        </w:tc>
        <w:tc>
          <w:tcPr>
            <w:tcW w:w="397" w:type="pct"/>
            <w:gridSpan w:val="2"/>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全年</w:t>
            </w:r>
            <w:r>
              <w:rPr>
                <w:rFonts w:hint="eastAsia" w:cs="Courier New" w:asciiTheme="minorEastAsia" w:hAnsiTheme="minorEastAsia" w:eastAsiaTheme="minorEastAsia"/>
                <w:b w:val="0"/>
                <w:color w:val="000000"/>
                <w:kern w:val="0"/>
                <w:sz w:val="18"/>
                <w:szCs w:val="18"/>
              </w:rPr>
              <w:t>实际</w:t>
            </w:r>
            <w:r>
              <w:rPr>
                <w:rFonts w:cs="Courier New" w:asciiTheme="minorEastAsia" w:hAnsiTheme="minorEastAsia" w:eastAsiaTheme="minorEastAsia"/>
                <w:b w:val="0"/>
                <w:color w:val="000000"/>
                <w:kern w:val="0"/>
                <w:sz w:val="18"/>
                <w:szCs w:val="18"/>
              </w:rPr>
              <w:t>完成值</w:t>
            </w:r>
          </w:p>
        </w:tc>
        <w:tc>
          <w:tcPr>
            <w:tcW w:w="533" w:type="pct"/>
            <w:shd w:val="clear" w:color="auto" w:fill="auto"/>
            <w:vAlign w:val="center"/>
          </w:tcPr>
          <w:p>
            <w:pPr>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restart"/>
            <w:shd w:val="clear" w:color="auto" w:fill="auto"/>
            <w:vAlign w:val="center"/>
          </w:tcPr>
          <w:p>
            <w:pPr>
              <w:widowControl/>
              <w:jc w:val="center"/>
              <w:rPr>
                <w:rFonts w:hint="eastAsia"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产</w:t>
            </w:r>
          </w:p>
          <w:p>
            <w:pPr>
              <w:widowControl/>
              <w:jc w:val="center"/>
              <w:rPr>
                <w:rFonts w:hint="eastAsia"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出</w:t>
            </w:r>
          </w:p>
          <w:p>
            <w:pPr>
              <w:widowControl/>
              <w:jc w:val="center"/>
              <w:rPr>
                <w:rFonts w:hint="eastAsia"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指</w:t>
            </w:r>
          </w:p>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标</w:t>
            </w:r>
          </w:p>
        </w:tc>
        <w:tc>
          <w:tcPr>
            <w:tcW w:w="594" w:type="pct"/>
            <w:gridSpan w:val="2"/>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数量指标</w:t>
            </w:r>
          </w:p>
        </w:tc>
        <w:tc>
          <w:tcPr>
            <w:tcW w:w="2372" w:type="pct"/>
            <w:gridSpan w:val="2"/>
            <w:vAlign w:val="center"/>
          </w:tcPr>
          <w:p>
            <w:pPr>
              <w:widowControl/>
              <w:jc w:val="left"/>
              <w:rPr>
                <w:rFonts w:cs="Courier New" w:asciiTheme="minorEastAsia" w:hAnsiTheme="minorEastAsia" w:eastAsiaTheme="minorEastAsia"/>
                <w:b w:val="0"/>
                <w:color w:val="000000"/>
                <w:kern w:val="0"/>
                <w:sz w:val="18"/>
                <w:szCs w:val="18"/>
              </w:rPr>
            </w:pPr>
            <w:r>
              <w:rPr>
                <w:rFonts w:hint="eastAsia" w:asciiTheme="minorEastAsia" w:hAnsiTheme="minorEastAsia" w:eastAsiaTheme="minorEastAsia" w:cstheme="minorBidi"/>
                <w:b w:val="0"/>
                <w:sz w:val="18"/>
                <w:szCs w:val="18"/>
              </w:rPr>
              <w:t>项目帮扶三峡移民安置村数量（个）</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4</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4</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jc w:val="left"/>
              <w:rPr>
                <w:rFonts w:cs="Courier New" w:asciiTheme="minorEastAsia" w:hAnsiTheme="minorEastAsia" w:eastAsiaTheme="minorEastAsia"/>
                <w:b w:val="0"/>
                <w:color w:val="000000"/>
                <w:kern w:val="0"/>
                <w:sz w:val="18"/>
                <w:szCs w:val="18"/>
              </w:rPr>
            </w:pPr>
            <w:r>
              <w:rPr>
                <w:rFonts w:hint="eastAsia" w:asciiTheme="minorEastAsia" w:hAnsiTheme="minorEastAsia" w:eastAsiaTheme="minorEastAsia" w:cstheme="minorBidi"/>
                <w:b w:val="0"/>
                <w:sz w:val="18"/>
                <w:szCs w:val="18"/>
              </w:rPr>
              <w:t>项目帮扶使三峡移民受益人数（人）</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415</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415</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质量指标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工程质量合格率（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项目验收通过率（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时</w:t>
            </w:r>
            <w:r>
              <w:rPr>
                <w:rFonts w:cs="Courier New" w:asciiTheme="minorEastAsia" w:hAnsiTheme="minorEastAsia" w:eastAsiaTheme="minorEastAsia"/>
                <w:b w:val="0"/>
                <w:color w:val="000000"/>
                <w:kern w:val="0"/>
                <w:sz w:val="18"/>
                <w:szCs w:val="18"/>
              </w:rPr>
              <w:t>效指标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项目按时开工率（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533" w:type="pct"/>
            <w:shd w:val="clear" w:color="auto" w:fill="auto"/>
            <w:vAlign w:val="center"/>
          </w:tcPr>
          <w:p>
            <w:pPr>
              <w:jc w:val="center"/>
              <w:rPr>
                <w:rFonts w:asciiTheme="minorEastAsia" w:hAnsiTheme="minorEastAsia" w:eastAsiaTheme="minorEastAsia" w:cstheme="minorBidi"/>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项目按时验收率（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533" w:type="pct"/>
            <w:shd w:val="clear" w:color="auto" w:fill="auto"/>
            <w:vAlign w:val="center"/>
          </w:tcPr>
          <w:p>
            <w:pPr>
              <w:jc w:val="center"/>
              <w:rPr>
                <w:rFonts w:asciiTheme="minorEastAsia" w:hAnsiTheme="minorEastAsia" w:eastAsiaTheme="minorEastAsia" w:cstheme="minorBidi"/>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年度预算执行率（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80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100</w:t>
            </w:r>
          </w:p>
        </w:tc>
        <w:tc>
          <w:tcPr>
            <w:tcW w:w="533" w:type="pct"/>
            <w:shd w:val="clear" w:color="auto" w:fill="auto"/>
            <w:vAlign w:val="center"/>
          </w:tcPr>
          <w:p>
            <w:pPr>
              <w:jc w:val="center"/>
              <w:rPr>
                <w:rFonts w:asciiTheme="minorEastAsia" w:hAnsiTheme="minorEastAsia" w:eastAsiaTheme="minorEastAsia" w:cstheme="minorBidi"/>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成本指标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实际完成投资控制在概算内的项目比例（</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项目调整</w:t>
            </w:r>
            <w:r>
              <w:rPr>
                <w:rFonts w:hint="eastAsia" w:cs="Courier New" w:asciiTheme="minorEastAsia" w:hAnsiTheme="minorEastAsia" w:eastAsiaTheme="minorEastAsia"/>
                <w:b w:val="0"/>
                <w:color w:val="000000"/>
                <w:kern w:val="0"/>
                <w:sz w:val="18"/>
                <w:szCs w:val="18"/>
              </w:rPr>
              <w:t>概算</w:t>
            </w:r>
            <w:r>
              <w:rPr>
                <w:rFonts w:cs="Courier New" w:asciiTheme="minorEastAsia" w:hAnsiTheme="minorEastAsia" w:eastAsiaTheme="minorEastAsia"/>
                <w:b w:val="0"/>
                <w:color w:val="000000"/>
                <w:kern w:val="0"/>
                <w:sz w:val="18"/>
                <w:szCs w:val="18"/>
              </w:rPr>
              <w:t>程序完备率（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cs="Times New Roman" w:asciiTheme="minorEastAsia" w:hAnsiTheme="minorEastAsia" w:eastAsiaTheme="minorEastAsia"/>
                <w:b w:val="0"/>
                <w:sz w:val="18"/>
                <w:szCs w:val="18"/>
              </w:rPr>
              <w:t>100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效益</w:t>
            </w:r>
          </w:p>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指标</w:t>
            </w:r>
          </w:p>
        </w:tc>
        <w:tc>
          <w:tcPr>
            <w:tcW w:w="594" w:type="pct"/>
            <w:gridSpan w:val="2"/>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经济效益指标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促进三峡移民安置村居民（含移民）人均增收额（元）</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800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800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社会效益指标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项目帮扶受益人口（人）</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4867</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4979</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生态效益指标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对当地生态环境产生积极影响（是/否）</w:t>
            </w:r>
          </w:p>
        </w:tc>
        <w:tc>
          <w:tcPr>
            <w:tcW w:w="589" w:type="pct"/>
            <w:shd w:val="clear" w:color="auto" w:fill="auto"/>
            <w:vAlign w:val="center"/>
          </w:tcPr>
          <w:p>
            <w:pPr>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是</w:t>
            </w:r>
          </w:p>
        </w:tc>
        <w:tc>
          <w:tcPr>
            <w:tcW w:w="397" w:type="pct"/>
            <w:gridSpan w:val="2"/>
            <w:shd w:val="clear" w:color="auto" w:fill="auto"/>
            <w:vAlign w:val="center"/>
          </w:tcPr>
          <w:p>
            <w:pPr>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是</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restart"/>
            <w:shd w:val="clear" w:color="auto" w:fill="auto"/>
            <w:vAlign w:val="center"/>
          </w:tcPr>
          <w:p>
            <w:pPr>
              <w:jc w:val="center"/>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可持续影响指标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项目完成后正常运行比例（%）</w:t>
            </w:r>
          </w:p>
        </w:tc>
        <w:tc>
          <w:tcPr>
            <w:tcW w:w="589" w:type="pct"/>
            <w:shd w:val="clear" w:color="auto" w:fill="auto"/>
            <w:vAlign w:val="center"/>
          </w:tcPr>
          <w:p>
            <w:pPr>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100</w:t>
            </w:r>
          </w:p>
        </w:tc>
        <w:tc>
          <w:tcPr>
            <w:tcW w:w="397" w:type="pct"/>
            <w:gridSpan w:val="2"/>
            <w:shd w:val="clear" w:color="auto" w:fill="auto"/>
            <w:vAlign w:val="center"/>
          </w:tcPr>
          <w:p>
            <w:pPr>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hint="eastAsia" w:cs="Courier New" w:asciiTheme="minorEastAsia" w:hAnsiTheme="minorEastAsia" w:eastAsiaTheme="minorEastAsia"/>
                <w:b w:val="0"/>
                <w:color w:val="000000"/>
                <w:kern w:val="0"/>
                <w:sz w:val="18"/>
                <w:szCs w:val="18"/>
              </w:rPr>
              <w:t>对移民收入增长的促进作用（是/否）</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是</w:t>
            </w:r>
          </w:p>
        </w:tc>
        <w:tc>
          <w:tcPr>
            <w:tcW w:w="397" w:type="pct"/>
            <w:gridSpan w:val="2"/>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是</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满意度指标</w:t>
            </w:r>
          </w:p>
        </w:tc>
        <w:tc>
          <w:tcPr>
            <w:tcW w:w="594" w:type="pct"/>
            <w:gridSpan w:val="2"/>
            <w:vMerge w:val="restart"/>
            <w:shd w:val="clear" w:color="auto" w:fill="auto"/>
            <w:vAlign w:val="center"/>
          </w:tcPr>
          <w:p>
            <w:pPr>
              <w:widowControl/>
              <w:jc w:val="center"/>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服务对象满意度指标</w:t>
            </w: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移民安置区居民</w:t>
            </w:r>
            <w:r>
              <w:rPr>
                <w:rFonts w:hint="eastAsia" w:cs="Courier New" w:asciiTheme="minorEastAsia" w:hAnsiTheme="minorEastAsia" w:eastAsiaTheme="minorEastAsia"/>
                <w:b w:val="0"/>
                <w:color w:val="000000"/>
                <w:kern w:val="0"/>
                <w:sz w:val="18"/>
                <w:szCs w:val="18"/>
              </w:rPr>
              <w:t>（含移民）</w:t>
            </w:r>
            <w:r>
              <w:rPr>
                <w:rFonts w:cs="Courier New" w:asciiTheme="minorEastAsia" w:hAnsiTheme="minorEastAsia" w:eastAsiaTheme="minorEastAsia"/>
                <w:b w:val="0"/>
                <w:color w:val="000000"/>
                <w:kern w:val="0"/>
                <w:sz w:val="18"/>
                <w:szCs w:val="18"/>
              </w:rPr>
              <w:t>满意度（</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ascii="宋体" w:hAnsi="宋体" w:eastAsia="宋体" w:cs="宋体"/>
                <w:b w:val="0"/>
                <w:sz w:val="18"/>
                <w:szCs w:val="18"/>
              </w:rPr>
              <w:t>≥</w:t>
            </w:r>
            <w:r>
              <w:rPr>
                <w:rFonts w:hint="eastAsia" w:cs="Times New Roman" w:asciiTheme="minorEastAsia" w:hAnsiTheme="minorEastAsia" w:eastAsiaTheme="minorEastAsia"/>
                <w:b w:val="0"/>
                <w:sz w:val="18"/>
                <w:szCs w:val="18"/>
              </w:rPr>
              <w:t>80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7" w:type="pct"/>
            <w:vMerge w:val="continue"/>
            <w:vAlign w:val="center"/>
          </w:tcPr>
          <w:p>
            <w:pPr>
              <w:widowControl/>
              <w:spacing w:line="240" w:lineRule="exact"/>
              <w:jc w:val="center"/>
              <w:rPr>
                <w:rFonts w:cs="Times New Roman" w:asciiTheme="minorEastAsia" w:hAnsiTheme="minorEastAsia" w:eastAsiaTheme="minorEastAsia"/>
                <w:b w:val="0"/>
                <w:kern w:val="0"/>
                <w:sz w:val="18"/>
                <w:szCs w:val="18"/>
              </w:rPr>
            </w:pPr>
          </w:p>
        </w:tc>
        <w:tc>
          <w:tcPr>
            <w:tcW w:w="283" w:type="pct"/>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594" w:type="pct"/>
            <w:gridSpan w:val="2"/>
            <w:vMerge w:val="continue"/>
            <w:shd w:val="clear" w:color="auto" w:fill="auto"/>
            <w:vAlign w:val="center"/>
          </w:tcPr>
          <w:p>
            <w:pPr>
              <w:widowControl/>
              <w:jc w:val="center"/>
              <w:rPr>
                <w:rFonts w:cs="Courier New" w:asciiTheme="minorEastAsia" w:hAnsiTheme="minorEastAsia" w:eastAsiaTheme="minorEastAsia"/>
                <w:b w:val="0"/>
                <w:color w:val="000000"/>
                <w:kern w:val="0"/>
                <w:sz w:val="18"/>
                <w:szCs w:val="18"/>
              </w:rPr>
            </w:pPr>
          </w:p>
        </w:tc>
        <w:tc>
          <w:tcPr>
            <w:tcW w:w="2372" w:type="pct"/>
            <w:gridSpan w:val="2"/>
            <w:vAlign w:val="center"/>
          </w:tcPr>
          <w:p>
            <w:pPr>
              <w:widowControl/>
              <w:rPr>
                <w:rFonts w:cs="Courier New" w:asciiTheme="minorEastAsia" w:hAnsiTheme="minorEastAsia" w:eastAsiaTheme="minorEastAsia"/>
                <w:b w:val="0"/>
                <w:color w:val="000000"/>
                <w:kern w:val="0"/>
                <w:sz w:val="18"/>
                <w:szCs w:val="18"/>
              </w:rPr>
            </w:pPr>
            <w:r>
              <w:rPr>
                <w:rFonts w:cs="Courier New" w:asciiTheme="minorEastAsia" w:hAnsiTheme="minorEastAsia" w:eastAsiaTheme="minorEastAsia"/>
                <w:b w:val="0"/>
                <w:color w:val="000000"/>
                <w:kern w:val="0"/>
                <w:sz w:val="18"/>
                <w:szCs w:val="18"/>
              </w:rPr>
              <w:t>促进相关信访问题化解率（</w:t>
            </w:r>
            <w:r>
              <w:rPr>
                <w:rFonts w:cs="Times New Roman" w:asciiTheme="minorEastAsia" w:hAnsiTheme="minorEastAsia" w:eastAsiaTheme="minorEastAsia"/>
                <w:b w:val="0"/>
                <w:color w:val="000000"/>
                <w:kern w:val="0"/>
                <w:sz w:val="18"/>
                <w:szCs w:val="18"/>
              </w:rPr>
              <w:t>%</w:t>
            </w:r>
            <w:r>
              <w:rPr>
                <w:rFonts w:cs="Courier New" w:asciiTheme="minorEastAsia" w:hAnsiTheme="minorEastAsia" w:eastAsiaTheme="minorEastAsia"/>
                <w:b w:val="0"/>
                <w:color w:val="000000"/>
                <w:kern w:val="0"/>
                <w:sz w:val="18"/>
                <w:szCs w:val="18"/>
              </w:rPr>
              <w:t>）</w:t>
            </w:r>
          </w:p>
        </w:tc>
        <w:tc>
          <w:tcPr>
            <w:tcW w:w="589" w:type="pct"/>
            <w:shd w:val="clear" w:color="auto" w:fill="auto"/>
            <w:vAlign w:val="center"/>
          </w:tcPr>
          <w:p>
            <w:pPr>
              <w:jc w:val="center"/>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90</w:t>
            </w:r>
          </w:p>
        </w:tc>
        <w:tc>
          <w:tcPr>
            <w:tcW w:w="397" w:type="pct"/>
            <w:gridSpan w:val="2"/>
            <w:shd w:val="clear" w:color="auto" w:fill="auto"/>
            <w:vAlign w:val="center"/>
          </w:tcPr>
          <w:p>
            <w:pPr>
              <w:jc w:val="center"/>
              <w:rPr>
                <w:rFonts w:cs="Times New Roman" w:asciiTheme="minorEastAsia" w:hAnsiTheme="minorEastAsia" w:eastAsiaTheme="minorEastAsia"/>
                <w:b w:val="0"/>
                <w:color w:val="000000"/>
                <w:sz w:val="18"/>
                <w:szCs w:val="18"/>
              </w:rPr>
            </w:pPr>
            <w:r>
              <w:rPr>
                <w:rFonts w:hint="eastAsia" w:cs="Times New Roman" w:asciiTheme="minorEastAsia" w:hAnsiTheme="minorEastAsia" w:eastAsiaTheme="minorEastAsia"/>
                <w:b w:val="0"/>
                <w:color w:val="000000"/>
                <w:sz w:val="18"/>
                <w:szCs w:val="18"/>
              </w:rPr>
              <w:t>100</w:t>
            </w:r>
          </w:p>
        </w:tc>
        <w:tc>
          <w:tcPr>
            <w:tcW w:w="533" w:type="pct"/>
            <w:shd w:val="clear" w:color="auto" w:fill="auto"/>
            <w:vAlign w:val="center"/>
          </w:tcPr>
          <w:p>
            <w:pPr>
              <w:widowControl/>
              <w:spacing w:line="240" w:lineRule="exact"/>
              <w:jc w:val="center"/>
              <w:rPr>
                <w:rFonts w:cs="Times New Roman" w:asciiTheme="minorEastAsia" w:hAnsiTheme="minorEastAsia" w:eastAsiaTheme="minorEastAsia"/>
                <w:b w:val="0"/>
                <w:kern w:val="0"/>
                <w:sz w:val="18"/>
                <w:szCs w:val="18"/>
              </w:rPr>
            </w:pPr>
          </w:p>
        </w:tc>
      </w:tr>
    </w:tbl>
    <w:p>
      <w:pPr>
        <w:spacing w:line="580" w:lineRule="exact"/>
        <w:ind w:firstLine="6240" w:firstLineChars="1950"/>
        <w:rPr>
          <w:rFonts w:ascii="仿宋" w:hAnsi="仿宋" w:eastAsia="仿宋"/>
          <w:b w:val="0"/>
          <w:sz w:val="32"/>
          <w:szCs w:val="32"/>
        </w:rPr>
      </w:pPr>
      <w:bookmarkStart w:id="0" w:name="_GoBack"/>
      <w:bookmarkEnd w:id="0"/>
    </w:p>
    <w:sectPr>
      <w:footerReference r:id="rId3" w:type="default"/>
      <w:footerReference r:id="rId4" w:type="even"/>
      <w:pgSz w:w="11906" w:h="16838"/>
      <w:pgMar w:top="1559" w:right="1418" w:bottom="1559" w:left="1701" w:header="851" w:footer="851" w:gutter="0"/>
      <w:pgNumType w:fmt="numberInDash"/>
      <w:cols w:space="425" w:num="1"/>
      <w:docGrid w:linePitch="4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000000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608287"/>
      <w:docPartObj>
        <w:docPartGallery w:val="AutoText"/>
      </w:docPartObj>
    </w:sdtPr>
    <w:sdtEndPr>
      <w:rPr>
        <w:rFonts w:asciiTheme="minorEastAsia" w:hAnsiTheme="minorEastAsia" w:eastAsiaTheme="minorEastAsia"/>
        <w:b w:val="0"/>
        <w:sz w:val="28"/>
        <w:szCs w:val="28"/>
      </w:rPr>
    </w:sdtEndPr>
    <w:sdtContent>
      <w:p>
        <w:pPr>
          <w:pStyle w:val="3"/>
          <w:jc w:val="right"/>
          <w:rPr>
            <w:rFonts w:asciiTheme="minorEastAsia" w:hAnsiTheme="minorEastAsia" w:eastAsiaTheme="minorEastAsia"/>
            <w:b w:val="0"/>
            <w:sz w:val="28"/>
            <w:szCs w:val="28"/>
          </w:rPr>
        </w:pPr>
        <w:r>
          <w:rPr>
            <w:rFonts w:asciiTheme="minorEastAsia" w:hAnsiTheme="minorEastAsia" w:eastAsiaTheme="minorEastAsia"/>
            <w:b w:val="0"/>
            <w:sz w:val="28"/>
            <w:szCs w:val="28"/>
          </w:rPr>
          <w:fldChar w:fldCharType="begin"/>
        </w:r>
        <w:r>
          <w:rPr>
            <w:rFonts w:asciiTheme="minorEastAsia" w:hAnsiTheme="minorEastAsia" w:eastAsiaTheme="minorEastAsia"/>
            <w:b w:val="0"/>
            <w:sz w:val="28"/>
            <w:szCs w:val="28"/>
          </w:rPr>
          <w:instrText xml:space="preserve">PAGE   \* MERGEFORMAT</w:instrText>
        </w:r>
        <w:r>
          <w:rPr>
            <w:rFonts w:asciiTheme="minorEastAsia" w:hAnsiTheme="minorEastAsia" w:eastAsiaTheme="minorEastAsia"/>
            <w:b w:val="0"/>
            <w:sz w:val="28"/>
            <w:szCs w:val="28"/>
          </w:rPr>
          <w:fldChar w:fldCharType="separate"/>
        </w:r>
        <w:r>
          <w:rPr>
            <w:rFonts w:asciiTheme="minorEastAsia" w:hAnsiTheme="minorEastAsia" w:eastAsiaTheme="minorEastAsia"/>
            <w:b w:val="0"/>
            <w:sz w:val="28"/>
            <w:szCs w:val="28"/>
            <w:lang w:val="zh-CN"/>
          </w:rPr>
          <w:t>-</w:t>
        </w:r>
        <w:r>
          <w:rPr>
            <w:rFonts w:asciiTheme="minorEastAsia" w:hAnsiTheme="minorEastAsia" w:eastAsiaTheme="minorEastAsia"/>
            <w:b w:val="0"/>
            <w:sz w:val="28"/>
            <w:szCs w:val="28"/>
          </w:rPr>
          <w:t xml:space="preserve"> 3 -</w:t>
        </w:r>
        <w:r>
          <w:rPr>
            <w:rFonts w:asciiTheme="minorEastAsia" w:hAnsiTheme="minorEastAsia" w:eastAsiaTheme="minorEastAsia"/>
            <w:b w:val="0"/>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088610"/>
      <w:docPartObj>
        <w:docPartGallery w:val="AutoText"/>
      </w:docPartObj>
    </w:sdtPr>
    <w:sdtEndPr>
      <w:rPr>
        <w:rFonts w:asciiTheme="minorEastAsia" w:hAnsiTheme="minorEastAsia" w:eastAsiaTheme="minorEastAsia"/>
        <w:b w:val="0"/>
        <w:sz w:val="28"/>
        <w:szCs w:val="28"/>
      </w:rPr>
    </w:sdtEndPr>
    <w:sdtContent>
      <w:p>
        <w:pPr>
          <w:pStyle w:val="3"/>
          <w:rPr>
            <w:rFonts w:asciiTheme="minorEastAsia" w:hAnsiTheme="minorEastAsia" w:eastAsiaTheme="minorEastAsia"/>
            <w:b w:val="0"/>
            <w:sz w:val="28"/>
            <w:szCs w:val="28"/>
          </w:rPr>
        </w:pPr>
        <w:r>
          <w:rPr>
            <w:rFonts w:asciiTheme="minorEastAsia" w:hAnsiTheme="minorEastAsia" w:eastAsiaTheme="minorEastAsia"/>
            <w:b w:val="0"/>
            <w:sz w:val="28"/>
            <w:szCs w:val="28"/>
          </w:rPr>
          <w:fldChar w:fldCharType="begin"/>
        </w:r>
        <w:r>
          <w:rPr>
            <w:rFonts w:asciiTheme="minorEastAsia" w:hAnsiTheme="minorEastAsia" w:eastAsiaTheme="minorEastAsia"/>
            <w:b w:val="0"/>
            <w:sz w:val="28"/>
            <w:szCs w:val="28"/>
          </w:rPr>
          <w:instrText xml:space="preserve">PAGE   \* MERGEFORMAT</w:instrText>
        </w:r>
        <w:r>
          <w:rPr>
            <w:rFonts w:asciiTheme="minorEastAsia" w:hAnsiTheme="minorEastAsia" w:eastAsiaTheme="minorEastAsia"/>
            <w:b w:val="0"/>
            <w:sz w:val="28"/>
            <w:szCs w:val="28"/>
          </w:rPr>
          <w:fldChar w:fldCharType="separate"/>
        </w:r>
        <w:r>
          <w:rPr>
            <w:rFonts w:asciiTheme="minorEastAsia" w:hAnsiTheme="minorEastAsia" w:eastAsiaTheme="minorEastAsia"/>
            <w:b w:val="0"/>
            <w:sz w:val="28"/>
            <w:szCs w:val="28"/>
            <w:lang w:val="zh-CN"/>
          </w:rPr>
          <w:t>-</w:t>
        </w:r>
        <w:r>
          <w:rPr>
            <w:rFonts w:asciiTheme="minorEastAsia" w:hAnsiTheme="minorEastAsia" w:eastAsiaTheme="minorEastAsia"/>
            <w:b w:val="0"/>
            <w:sz w:val="28"/>
            <w:szCs w:val="28"/>
          </w:rPr>
          <w:t xml:space="preserve"> 4 -</w:t>
        </w:r>
        <w:r>
          <w:rPr>
            <w:rFonts w:asciiTheme="minorEastAsia" w:hAnsiTheme="minorEastAsia" w:eastAsiaTheme="minorEastAsia"/>
            <w:b w:val="0"/>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301"/>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8E2"/>
    <w:rsid w:val="00005578"/>
    <w:rsid w:val="00023716"/>
    <w:rsid w:val="00034053"/>
    <w:rsid w:val="0004275B"/>
    <w:rsid w:val="00050B58"/>
    <w:rsid w:val="00055A72"/>
    <w:rsid w:val="00062041"/>
    <w:rsid w:val="00094C9D"/>
    <w:rsid w:val="000A419B"/>
    <w:rsid w:val="000B25B8"/>
    <w:rsid w:val="000C002A"/>
    <w:rsid w:val="000D69F4"/>
    <w:rsid w:val="00110643"/>
    <w:rsid w:val="001169D3"/>
    <w:rsid w:val="0014658A"/>
    <w:rsid w:val="0015697C"/>
    <w:rsid w:val="00167E27"/>
    <w:rsid w:val="0017348C"/>
    <w:rsid w:val="001751EF"/>
    <w:rsid w:val="00194FC7"/>
    <w:rsid w:val="001A1242"/>
    <w:rsid w:val="001C5649"/>
    <w:rsid w:val="001E528C"/>
    <w:rsid w:val="00214324"/>
    <w:rsid w:val="0024026F"/>
    <w:rsid w:val="0025401C"/>
    <w:rsid w:val="00262286"/>
    <w:rsid w:val="002A4013"/>
    <w:rsid w:val="002B2D45"/>
    <w:rsid w:val="002C2BE3"/>
    <w:rsid w:val="00371268"/>
    <w:rsid w:val="00394460"/>
    <w:rsid w:val="003C4742"/>
    <w:rsid w:val="003F4FD1"/>
    <w:rsid w:val="00431D6C"/>
    <w:rsid w:val="00476D79"/>
    <w:rsid w:val="00482CD3"/>
    <w:rsid w:val="004D01F1"/>
    <w:rsid w:val="004E1745"/>
    <w:rsid w:val="004E640C"/>
    <w:rsid w:val="00510CF1"/>
    <w:rsid w:val="00564547"/>
    <w:rsid w:val="00590928"/>
    <w:rsid w:val="005B2F60"/>
    <w:rsid w:val="005E3F70"/>
    <w:rsid w:val="006051F0"/>
    <w:rsid w:val="00614174"/>
    <w:rsid w:val="0061593D"/>
    <w:rsid w:val="00623AB3"/>
    <w:rsid w:val="00627174"/>
    <w:rsid w:val="00645597"/>
    <w:rsid w:val="00667863"/>
    <w:rsid w:val="0067092B"/>
    <w:rsid w:val="00673F48"/>
    <w:rsid w:val="0069434C"/>
    <w:rsid w:val="006B7889"/>
    <w:rsid w:val="006B7DB2"/>
    <w:rsid w:val="006C0F72"/>
    <w:rsid w:val="00726C39"/>
    <w:rsid w:val="00793C20"/>
    <w:rsid w:val="007A4125"/>
    <w:rsid w:val="007E63F5"/>
    <w:rsid w:val="00801385"/>
    <w:rsid w:val="00802277"/>
    <w:rsid w:val="00802DAE"/>
    <w:rsid w:val="008300D4"/>
    <w:rsid w:val="00861D5B"/>
    <w:rsid w:val="008635F9"/>
    <w:rsid w:val="00881B49"/>
    <w:rsid w:val="0089038B"/>
    <w:rsid w:val="008927D4"/>
    <w:rsid w:val="00895494"/>
    <w:rsid w:val="008A5263"/>
    <w:rsid w:val="00920755"/>
    <w:rsid w:val="00923F14"/>
    <w:rsid w:val="00971739"/>
    <w:rsid w:val="00981311"/>
    <w:rsid w:val="00992983"/>
    <w:rsid w:val="009A4ED8"/>
    <w:rsid w:val="009E2EFC"/>
    <w:rsid w:val="00A02E75"/>
    <w:rsid w:val="00A51BC5"/>
    <w:rsid w:val="00A661D7"/>
    <w:rsid w:val="00A66713"/>
    <w:rsid w:val="00A75BD6"/>
    <w:rsid w:val="00A83019"/>
    <w:rsid w:val="00AB06CB"/>
    <w:rsid w:val="00B12D9F"/>
    <w:rsid w:val="00B21B35"/>
    <w:rsid w:val="00B4700E"/>
    <w:rsid w:val="00B70819"/>
    <w:rsid w:val="00B86102"/>
    <w:rsid w:val="00B86AD6"/>
    <w:rsid w:val="00B8777D"/>
    <w:rsid w:val="00BA7F0B"/>
    <w:rsid w:val="00BB033A"/>
    <w:rsid w:val="00BC624B"/>
    <w:rsid w:val="00C378C5"/>
    <w:rsid w:val="00C62C54"/>
    <w:rsid w:val="00C87791"/>
    <w:rsid w:val="00CD19BA"/>
    <w:rsid w:val="00CF0771"/>
    <w:rsid w:val="00CF4AC0"/>
    <w:rsid w:val="00D2576F"/>
    <w:rsid w:val="00D42DFA"/>
    <w:rsid w:val="00D45E68"/>
    <w:rsid w:val="00D60A6A"/>
    <w:rsid w:val="00D81020"/>
    <w:rsid w:val="00D87AAF"/>
    <w:rsid w:val="00D9475C"/>
    <w:rsid w:val="00D97E63"/>
    <w:rsid w:val="00DA4048"/>
    <w:rsid w:val="00DA48B5"/>
    <w:rsid w:val="00DD069E"/>
    <w:rsid w:val="00DD1BC7"/>
    <w:rsid w:val="00DF202F"/>
    <w:rsid w:val="00E67A1C"/>
    <w:rsid w:val="00E978DF"/>
    <w:rsid w:val="00EC437E"/>
    <w:rsid w:val="00EE7D3D"/>
    <w:rsid w:val="00F15FD6"/>
    <w:rsid w:val="00F23663"/>
    <w:rsid w:val="00F24084"/>
    <w:rsid w:val="00F418E2"/>
    <w:rsid w:val="00F445FC"/>
    <w:rsid w:val="00F45AAF"/>
    <w:rsid w:val="00F605D6"/>
    <w:rsid w:val="00FB4031"/>
    <w:rsid w:val="00FD0EA1"/>
    <w:rsid w:val="00FD33E9"/>
    <w:rsid w:val="00FF45FC"/>
    <w:rsid w:val="7BAAD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
      <w:kern w:val="2"/>
      <w:sz w:val="30"/>
      <w:szCs w:val="30"/>
      <w:lang w:val="en-US" w:eastAsia="zh-CN" w:bidi="ar-SA"/>
    </w:rPr>
  </w:style>
  <w:style w:type="paragraph" w:styleId="2">
    <w:name w:val="heading 2"/>
    <w:basedOn w:val="1"/>
    <w:next w:val="1"/>
    <w:link w:val="7"/>
    <w:unhideWhenUsed/>
    <w:qFormat/>
    <w:uiPriority w:val="0"/>
    <w:pPr>
      <w:keepNext/>
      <w:keepLines/>
      <w:widowControl/>
      <w:spacing w:before="260" w:after="260" w:line="416" w:lineRule="auto"/>
      <w:jc w:val="left"/>
      <w:outlineLvl w:val="1"/>
    </w:pPr>
    <w:rPr>
      <w:rFonts w:asciiTheme="majorHAnsi" w:hAnsiTheme="majorHAnsi" w:eastAsiaTheme="majorEastAsia" w:cstheme="majorBidi"/>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qFormat/>
    <w:uiPriority w:val="0"/>
    <w:rPr>
      <w:rFonts w:asciiTheme="majorHAnsi" w:hAnsiTheme="majorHAnsi" w:eastAsiaTheme="majorEastAsia" w:cstheme="majorBidi"/>
      <w:b/>
      <w:bCs/>
      <w:kern w:val="0"/>
      <w:sz w:val="32"/>
      <w:szCs w:val="32"/>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仿宋_GB2312" w:hAnsi="Times New Roman" w:eastAsia="仿宋_GB2312" w:cs="Times New Roman"/>
      <w:b/>
      <w:sz w:val="18"/>
      <w:szCs w:val="18"/>
    </w:rPr>
  </w:style>
  <w:style w:type="character" w:customStyle="1" w:styleId="10">
    <w:name w:val="页脚 Char"/>
    <w:basedOn w:val="6"/>
    <w:link w:val="3"/>
    <w:qFormat/>
    <w:uiPriority w:val="99"/>
    <w:rPr>
      <w:rFonts w:ascii="仿宋_GB2312" w:hAnsi="Times New Roman" w:eastAsia="仿宋_GB2312" w:cs="Times New Roman"/>
      <w:b/>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255</Words>
  <Characters>1459</Characters>
  <Lines>12</Lines>
  <Paragraphs>3</Paragraphs>
  <TotalTime>1</TotalTime>
  <ScaleCrop>false</ScaleCrop>
  <LinksUpToDate>false</LinksUpToDate>
  <CharactersWithSpaces>1711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2023-02-01T14:49:00Z</dcterms:created>
  <dc:creator>PGOS</dc:creator>
  <cp:lastModifiedBy>kylin</cp:lastModifiedBy>
  <cp:lastPrinted>2020-05-06T08:31:00Z</cp:lastPrinted>
  <dcterms:modified xsi:type="dcterms:W3CDTF">2024-08-31T15:31:51Z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