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5B98A6A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F6A9E22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9"/>
          <w:b/>
          <w:bCs/>
          <w:sz w:val="30"/>
          <w:szCs w:val="30"/>
          <w:lang w:val="en-US"/>
        </w:rPr>
        <w:t>12430922MB1D490007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037E94CB">
      <w:pPr>
        <w:jc w:val="right"/>
        <w:rPr>
          <w:lang w:val="en-US"/>
        </w:rPr>
      </w:pPr>
    </w:p>
    <w:p w14:paraId="5D2A5300">
      <w:pPr>
        <w:jc w:val="right"/>
        <w:rPr>
          <w:lang w:val="en-US"/>
        </w:rPr>
      </w:pPr>
    </w:p>
    <w:p w14:paraId="402283E0">
      <w:pPr>
        <w:jc w:val="right"/>
        <w:rPr>
          <w:lang w:val="en-US"/>
        </w:rPr>
      </w:pPr>
    </w:p>
    <w:p w14:paraId="78B30A8A">
      <w:pPr>
        <w:jc w:val="right"/>
        <w:rPr>
          <w:lang w:val="en-US"/>
        </w:rPr>
      </w:pPr>
    </w:p>
    <w:p w14:paraId="5D4A73B4">
      <w:pPr>
        <w:jc w:val="right"/>
        <w:rPr>
          <w:lang w:val="en-US"/>
        </w:rPr>
      </w:pPr>
    </w:p>
    <w:p w14:paraId="2273D5B6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20522F22">
      <w:pPr>
        <w:jc w:val="center"/>
        <w:rPr>
          <w:rFonts w:eastAsia="黑体"/>
          <w:b/>
          <w:bCs/>
          <w:spacing w:val="30"/>
          <w:lang w:val="en-US"/>
        </w:rPr>
      </w:pPr>
    </w:p>
    <w:p w14:paraId="29549AD7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9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13DC0C69">
      <w:pPr>
        <w:jc w:val="center"/>
        <w:rPr>
          <w:sz w:val="36"/>
          <w:szCs w:val="24"/>
          <w:lang w:val="en-US"/>
        </w:rPr>
      </w:pPr>
    </w:p>
    <w:p w14:paraId="10C54AB8">
      <w:pPr>
        <w:jc w:val="center"/>
        <w:rPr>
          <w:sz w:val="36"/>
          <w:szCs w:val="24"/>
          <w:lang w:val="en-US"/>
        </w:rPr>
      </w:pPr>
    </w:p>
    <w:p w14:paraId="78F14E9A">
      <w:pPr>
        <w:jc w:val="center"/>
        <w:rPr>
          <w:sz w:val="36"/>
          <w:szCs w:val="24"/>
          <w:lang w:val="en-US"/>
        </w:rPr>
      </w:pPr>
    </w:p>
    <w:p w14:paraId="73894540">
      <w:pPr>
        <w:jc w:val="center"/>
        <w:rPr>
          <w:sz w:val="36"/>
          <w:szCs w:val="24"/>
          <w:lang w:val="en-US"/>
        </w:rPr>
      </w:pPr>
    </w:p>
    <w:p w14:paraId="6F389781">
      <w:pPr>
        <w:jc w:val="center"/>
        <w:rPr>
          <w:sz w:val="36"/>
          <w:szCs w:val="24"/>
          <w:lang w:val="en-US"/>
        </w:rPr>
      </w:pPr>
    </w:p>
    <w:p w14:paraId="3BB76E94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509A8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6C694B8D">
            <w:pPr>
              <w:jc w:val="distribute"/>
            </w:pPr>
            <w:r>
              <w:rPr>
                <w:rStyle w:val="20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6B0007E7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桃江县财政事务中心</w:t>
            </w:r>
          </w:p>
        </w:tc>
      </w:tr>
    </w:tbl>
    <w:p w14:paraId="6FE796D4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779BF7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25E3C2C1">
            <w:pPr>
              <w:jc w:val="distribute"/>
            </w:pPr>
            <w:r>
              <w:rPr>
                <w:rStyle w:val="20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20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20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8974ACE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7712935D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0DBE9E80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0A14C549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37D58B1F">
      <w:pPr>
        <w:jc w:val="center"/>
        <w:rPr>
          <w:u w:val="single"/>
          <w:lang w:val="en-US"/>
        </w:rPr>
      </w:pPr>
    </w:p>
    <w:p w14:paraId="37F205F9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38126106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9F55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06ACCA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5C8F326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717B78E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52333BF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1613213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6576C93C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B3055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2C76495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桃江县财政事务中心</w:t>
            </w:r>
          </w:p>
        </w:tc>
      </w:tr>
      <w:tr w14:paraId="49001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2C42E5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595B9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2747554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2673483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负责制定和组织实施非税收入国库集中收缴制定，负责非税收入账户、收缴方式、退付退库等管理工作；负责政府非税收入管理，按规定管理行政事业性收费；负责财政票据的购领、保管、发放、使用、核销、检查等工作；监督检查县直单位和乡镇非税收入征收、汇缴、划解、使用和票据管理等工作，依法查处各种违反非税收入管理法规的行为。</w:t>
            </w:r>
          </w:p>
        </w:tc>
      </w:tr>
      <w:tr w14:paraId="54DD5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D18A94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DA4AC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0246A12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桃江县财政局</w:t>
            </w:r>
          </w:p>
        </w:tc>
      </w:tr>
      <w:tr w14:paraId="4EB35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CD4F1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CA465E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DB6D27D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胡拥军</w:t>
            </w:r>
          </w:p>
        </w:tc>
      </w:tr>
      <w:tr w14:paraId="12C6AF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473015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C929AD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07DD29D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10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10D6B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7B9EEE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9C3E11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767C387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4CF32A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9295CB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11C78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B6CCC3F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桃江县财政局</w:t>
            </w:r>
          </w:p>
        </w:tc>
      </w:tr>
      <w:tr w14:paraId="0AC83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590BB6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1C3724F5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4B66CD4B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9C6722B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45CC3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41C8F8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2141099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02AA186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52C979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A94FD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01D8EE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1.6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392D162">
            <w:pPr>
              <w:jc w:val="center"/>
            </w:pPr>
            <w:r>
              <w:rPr>
                <w:rStyle w:val="15"/>
                <w:sz w:val="32"/>
                <w:szCs w:val="32"/>
                <w:bdr w:val="none" w:color="auto" w:sz="0" w:space="0"/>
                <w:lang w:val="en-US"/>
              </w:rPr>
              <w:t>1.6</w:t>
            </w:r>
          </w:p>
        </w:tc>
      </w:tr>
      <w:tr w14:paraId="15DE5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BCDDB7D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0A7F0F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桃江县财政事务中心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A277DF6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E1475FE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10</w:t>
            </w:r>
          </w:p>
        </w:tc>
      </w:tr>
      <w:tr w14:paraId="3372FF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58A4A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3B256CB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77CCF48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7CE3B06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056B67B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76B6EF0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511DF0D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20CADBF0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17766FD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严格按照《条咧》和实施细则有关规定执行，全年无变更</w:t>
            </w:r>
          </w:p>
        </w:tc>
      </w:tr>
      <w:tr w14:paraId="75C333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67B950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1C0FB8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7B54A8E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1E4FDA1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0CE9E79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24F07DB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469CA03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40B2B4DE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663F83D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今年1-9月，我县完成非税收入35592.62万元，同比减少37763.25万元、下降51.48%，为全年计划228695.59万元（包括城投公司和竹乡公司国有资产有偿使用收入109438.75万元）的15.56%。 分征收部门看，财政部门完成18061.05万元，同比减少7611.29万元、下降29.65%，主要是行政事业性收费收入减少1818.83万元，罚没收入减少4169.81万元，国有资源（资产）有偿使用收入减少2664.69万元。税务部门完成17531.67万元，同比减少30151.86万元、下降63.23%，主要是国有土地使用权出让收入减少16555.60万元，国有资源（资产）有偿使用收入减少14589.90万元。 分收入性质看，主要收入项目完成情况为：专项收入完成4293.51万元，同比增加346.08万元、增长8.77%，为全年任务的63.80%；行政事业性收费收入完成6432.92万元，同比减少972.54万元、下降13.13%，为全年任务的97.07%，主要是教育行政事业收费同比减少1490万元；罚没收入完成6409.86万元，同比减少4169.81万元、下降39.41%，为全年任务的105.90%，主要是公安局罚没收入同比减少4959.49万元；国有资源（资产）有偿使用收入完成2041.49万元，同比减少17254.59万元、下降89.42%，为全年任务的1.44%，主要是矿产资源专项收入同比减少14766万元。政府性基金完成13367.20万元，同比减少15481.92万元，下降53.67%，主要是由于国有土地使用权出让收入减少16555.60万元。 二、有关单位非税收入执收和预算安排情况 县公安局非税收入执收情况：2022年完成非税收入8251.36万元，其中罚没收入8251.36万元；2023年1-9月完成非税收入2317.98万元，其中罚没收入2317.98万元，预计四季度可结案并完成罚没收入2500万元。部门预算支出安排情况：2022年安排支出6552.48万元，其中基本支出6062.48万元，单位项目支出490万元；2023年安排支出6282.49万元，其中基本支出6242.49万元，单位项目支出40万元。 县交警队非税收入执收情况：2022年完成非税收入1671.62万元，其中罚没收入1370.47万元；2023年1-9月完成非税收入1571.08万元，其中罚没收入1421.41万元，预计四季度可完成罚没收入300万元。部门预算支出安排情况：2022年安排支出1656.93万元，其中基本支出1021.73万元，单位项目支出635.20万元；2023年安排支出1168.62万元，其中基本支出1035.62万元，单位项目支出133万元。 市监局非税收入执收情况：2022年完成非税收入849.63万元，其中罚没收入849.48万元，办结案件212件；2023年1-9月完成非税收入735.61万元，其中罚没收入734.61万元，办结案件180件，正在办理且今年可办结的案件20件，预计四季度可入库罚没收入60万元。部门预算支出安排情况：2022年安排支出4084.20万元，其中基本支出3504.20万元，单位项目支出580万元；2023年安排支出3317.84万元，其中基本支出3277.84万元，单位项目支出40万元。 县纪委非税收入执收情况：2022年完成非税收入1222.64万元，其中罚没收入722.64万元；2023年1-9月完成非税收入1017.40万元，其中罚没收入617.40万元，正在办理且能够结案的罚没收入预计为65万元。部门预算支出安排情况：2022年安排支出1160.22万元，其中基本支出794.22万元，单位项目支出366万元；2023年安排支出1073.09万元，其中基本支出735.09万元，单位项目支出338万元。 三、政法机关罚没收入上缴管理政策执行情况 今年4月，组织公安、法院、检察院相关人员参加省厅组织的座谈会，对政法机关罚没收入上缴及管理有关方面提出意见建议。5月，组织公安、法院、检察院就县级层面运行机制进行沟通和探讨。目前，县法院罚没收入暂未缴至县财政，县检察院罚没收入由于省检察院未完成收入分成也暂未缴至县财政，县公安局罚没收入由于体制尚未理顺暂未上缴至省财政。 四、非税收入电子缴款书改革情况 我县非税收入电子缴款书改革至去年年底启动以来，通过调研部署、测试演练、业务培训、上线试点等环节，在确保全县非税收入正常收缴和核算的前提下，以银行为切入点，在四家代理银行中选取两家银行于6月份上线运行。截至10月25日，共有164家执收单位共开出7668张电子缴款书，执收金额37239.97万元。在充分总结已上线银行运行经验的基础上，本周五将组织开展农业银行的上线工作，待12123平台征收系统与非税征管系统对接工作完成后，将组织完成最后一家银行的上线工作。 </w:t>
            </w:r>
          </w:p>
          <w:p w14:paraId="76043143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5B734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47BC266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8A729F4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事业法人证书，有效期2020年1月6日至2025年1月6日</w:t>
            </w:r>
          </w:p>
        </w:tc>
      </w:tr>
      <w:tr w14:paraId="244E4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D71DB5A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D087FE3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绩效一类，其他无</w:t>
            </w:r>
          </w:p>
        </w:tc>
      </w:tr>
      <w:tr w14:paraId="70DAA4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487A225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31AD722B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E387459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04DF84B4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6D83183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8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5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6">
    <w:name w:val="hps"/>
    <w:basedOn w:val="13"/>
    <w:uiPriority w:val="0"/>
  </w:style>
  <w:style w:type="character" w:customStyle="1" w:styleId="17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9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20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6</Pages>
  <Words>1998</Words>
  <Characters>2568</Characters>
  <Lines>4</Lines>
  <Paragraphs>1</Paragraphs>
  <TotalTime>45456.3750000016</TotalTime>
  <ScaleCrop>false</ScaleCrop>
  <LinksUpToDate>false</LinksUpToDate>
  <CharactersWithSpaces>2615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2024-06-13T01:23:50Z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5B474FC2BC8C470DB19CF3C25BB78BFC_13</vt:lpwstr>
  </property>
</Properties>
</file>