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255F4AC">
      <w:pPr>
        <w:wordWrap w:val="0"/>
        <w:jc w:val="right"/>
        <w:rPr>
          <w:rFonts w:hint="eastAsia" w:ascii="楷体_GB2312" w:eastAsia="楷体_GB2312" w:cs="楷体_GB2312"/>
          <w:b/>
          <w:bCs w:val="0"/>
          <w:sz w:val="30"/>
          <w:szCs w:val="24"/>
          <w:lang w:val="en-US"/>
        </w:rPr>
      </w:pPr>
      <w:r>
        <w:rPr>
          <w:rFonts w:hint="eastAsia" w:ascii="楷体_GB2312" w:eastAsia="楷体_GB2312" w:cs="楷体_GB2312"/>
          <w:b/>
          <w:bCs w:val="0"/>
          <w:sz w:val="30"/>
          <w:szCs w:val="24"/>
          <w:lang w:eastAsia="zh-CN"/>
        </w:rPr>
        <w:t>统一社会信用代码</w:t>
      </w:r>
      <w:r>
        <w:rPr>
          <w:rFonts w:hint="eastAsia" w:ascii="楷体_GB2312" w:eastAsia="楷体_GB2312" w:cs="楷体_GB2312"/>
          <w:b/>
          <w:bCs w:val="0"/>
          <w:sz w:val="30"/>
          <w:szCs w:val="24"/>
          <w:lang w:val="en-US"/>
        </w:rPr>
        <w:t xml:space="preserve">   </w:t>
      </w:r>
    </w:p>
    <w:p w14:paraId="08B99C8B">
      <w:pPr>
        <w:wordWrap w:val="0"/>
        <w:jc w:val="right"/>
        <w:rPr>
          <w:rFonts w:eastAsia="楷体_GB2312"/>
          <w:b/>
          <w:bCs/>
          <w:sz w:val="30"/>
          <w:szCs w:val="24"/>
          <w:lang w:val="en-US"/>
        </w:rPr>
      </w:pPr>
      <w:r>
        <w:rPr>
          <w:rFonts w:eastAsia="楷体_GB2312"/>
          <w:b/>
          <w:bCs/>
          <w:sz w:val="30"/>
          <w:szCs w:val="24"/>
          <w:lang w:val="en-US"/>
        </w:rPr>
        <w:t xml:space="preserve">   </w:t>
      </w:r>
      <w:r>
        <w:rPr>
          <w:rStyle w:val="14"/>
          <w:b/>
          <w:bCs/>
          <w:sz w:val="30"/>
          <w:szCs w:val="30"/>
          <w:lang w:val="en-US"/>
        </w:rPr>
        <w:t>124309224470192264</w:t>
      </w:r>
      <w:r>
        <w:rPr>
          <w:rFonts w:eastAsia="楷体_GB2312"/>
          <w:b/>
          <w:bCs/>
          <w:sz w:val="30"/>
          <w:szCs w:val="24"/>
          <w:lang w:val="en-US"/>
        </w:rPr>
        <w:t xml:space="preserve">   </w:t>
      </w:r>
    </w:p>
    <w:p w14:paraId="5C2EB3E3">
      <w:pPr>
        <w:jc w:val="right"/>
        <w:rPr>
          <w:lang w:val="en-US"/>
        </w:rPr>
      </w:pPr>
    </w:p>
    <w:p w14:paraId="6906880E">
      <w:pPr>
        <w:jc w:val="right"/>
        <w:rPr>
          <w:lang w:val="en-US"/>
        </w:rPr>
      </w:pPr>
    </w:p>
    <w:p w14:paraId="1BD9ECB0">
      <w:pPr>
        <w:jc w:val="right"/>
        <w:rPr>
          <w:lang w:val="en-US"/>
        </w:rPr>
      </w:pPr>
    </w:p>
    <w:p w14:paraId="092FA166">
      <w:pPr>
        <w:jc w:val="right"/>
        <w:rPr>
          <w:lang w:val="en-US"/>
        </w:rPr>
      </w:pPr>
    </w:p>
    <w:p w14:paraId="39D7C52E">
      <w:pPr>
        <w:jc w:val="right"/>
        <w:rPr>
          <w:lang w:val="en-US"/>
        </w:rPr>
      </w:pPr>
    </w:p>
    <w:p w14:paraId="796E0E41">
      <w:pPr>
        <w:jc w:val="center"/>
        <w:rPr>
          <w:rFonts w:eastAsia="黑体"/>
          <w:b/>
          <w:bCs/>
          <w:spacing w:val="40"/>
          <w:sz w:val="52"/>
          <w:szCs w:val="24"/>
          <w:lang w:val="en-US"/>
        </w:rPr>
      </w:pPr>
      <w:r>
        <w:rPr>
          <w:rFonts w:hint="eastAsia" w:ascii="Times New Roman" w:hAnsi="宋体" w:eastAsia="黑体" w:cs="黑体"/>
          <w:b/>
          <w:bCs/>
          <w:spacing w:val="40"/>
          <w:sz w:val="52"/>
          <w:szCs w:val="24"/>
          <w:lang w:eastAsia="zh-CN"/>
        </w:rPr>
        <w:t>事业单位法人年度报告书</w:t>
      </w:r>
    </w:p>
    <w:p w14:paraId="469AC417">
      <w:pPr>
        <w:jc w:val="center"/>
        <w:rPr>
          <w:rFonts w:eastAsia="黑体"/>
          <w:b/>
          <w:bCs/>
          <w:spacing w:val="30"/>
          <w:lang w:val="en-US"/>
        </w:rPr>
      </w:pPr>
    </w:p>
    <w:p w14:paraId="25BA7EDF">
      <w:pPr>
        <w:jc w:val="center"/>
        <w:rPr>
          <w:rFonts w:eastAsia="楷体_GB2312"/>
          <w:b/>
          <w:bCs/>
          <w:spacing w:val="30"/>
          <w:sz w:val="36"/>
          <w:szCs w:val="24"/>
          <w:lang w:val="en-US"/>
        </w:rPr>
      </w:pPr>
      <w:r>
        <w:rPr>
          <w:rFonts w:hint="eastAsia" w:ascii="Times New Roman" w:eastAsia="楷体_GB2312" w:cs="楷体_GB2312"/>
          <w:b/>
          <w:bCs/>
          <w:spacing w:val="30"/>
          <w:sz w:val="36"/>
          <w:szCs w:val="24"/>
          <w:lang w:eastAsia="zh-CN"/>
        </w:rPr>
        <w:t>（</w:t>
      </w:r>
      <w:r>
        <w:rPr>
          <w:rFonts w:eastAsia="楷体_GB2312"/>
          <w:b/>
          <w:bCs/>
          <w:spacing w:val="30"/>
          <w:sz w:val="36"/>
          <w:szCs w:val="24"/>
          <w:lang w:val="en-US"/>
        </w:rPr>
        <w:t xml:space="preserve">  </w:t>
      </w:r>
      <w:r>
        <w:rPr>
          <w:rStyle w:val="14"/>
          <w:b/>
          <w:bCs/>
          <w:sz w:val="30"/>
          <w:szCs w:val="30"/>
          <w:lang w:val="en-US"/>
        </w:rPr>
        <w:t>2023</w:t>
      </w:r>
      <w:r>
        <w:rPr>
          <w:rFonts w:eastAsia="楷体_GB2312"/>
          <w:b/>
          <w:bCs/>
          <w:spacing w:val="30"/>
          <w:sz w:val="36"/>
          <w:szCs w:val="24"/>
          <w:lang w:val="en-US"/>
        </w:rPr>
        <w:t xml:space="preserve">  </w:t>
      </w:r>
      <w:r>
        <w:rPr>
          <w:rFonts w:hint="eastAsia" w:ascii="Times New Roman" w:eastAsia="楷体_GB2312" w:cs="楷体_GB2312"/>
          <w:b/>
          <w:bCs/>
          <w:spacing w:val="30"/>
          <w:sz w:val="36"/>
          <w:szCs w:val="24"/>
          <w:lang w:eastAsia="zh-CN"/>
        </w:rPr>
        <w:t>年度）</w:t>
      </w:r>
    </w:p>
    <w:p w14:paraId="6BE71A47">
      <w:pPr>
        <w:jc w:val="center"/>
        <w:rPr>
          <w:sz w:val="36"/>
          <w:szCs w:val="24"/>
          <w:lang w:val="en-US"/>
        </w:rPr>
      </w:pPr>
    </w:p>
    <w:p w14:paraId="3AD5724F">
      <w:pPr>
        <w:jc w:val="center"/>
        <w:rPr>
          <w:sz w:val="36"/>
          <w:szCs w:val="24"/>
          <w:lang w:val="en-US"/>
        </w:rPr>
      </w:pPr>
    </w:p>
    <w:p w14:paraId="756D1012">
      <w:pPr>
        <w:jc w:val="center"/>
        <w:rPr>
          <w:sz w:val="36"/>
          <w:szCs w:val="24"/>
          <w:lang w:val="en-US"/>
        </w:rPr>
      </w:pPr>
    </w:p>
    <w:p w14:paraId="5D6E3067">
      <w:pPr>
        <w:jc w:val="center"/>
        <w:rPr>
          <w:sz w:val="36"/>
          <w:szCs w:val="24"/>
          <w:lang w:val="en-US"/>
        </w:rPr>
      </w:pPr>
    </w:p>
    <w:p w14:paraId="5DDF6973">
      <w:pPr>
        <w:jc w:val="center"/>
        <w:rPr>
          <w:sz w:val="36"/>
          <w:szCs w:val="24"/>
          <w:lang w:val="en-US"/>
        </w:rPr>
      </w:pPr>
    </w:p>
    <w:p w14:paraId="29E36C87">
      <w:pPr>
        <w:jc w:val="center"/>
        <w:rPr>
          <w:sz w:val="36"/>
          <w:szCs w:val="24"/>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405"/>
        <w:gridCol w:w="5294"/>
      </w:tblGrid>
      <w:tr w14:paraId="1A327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405" w:type="dxa"/>
            <w:shd w:val="clear"/>
            <w:vAlign w:val="bottom"/>
          </w:tcPr>
          <w:p w14:paraId="727C5B2A">
            <w:pPr>
              <w:jc w:val="distribute"/>
            </w:pPr>
            <w:r>
              <w:rPr>
                <w:rStyle w:val="19"/>
                <w:b/>
                <w:bCs/>
                <w:sz w:val="36"/>
                <w:szCs w:val="24"/>
                <w:bdr w:val="none" w:color="auto" w:sz="0" w:space="0"/>
              </w:rPr>
              <w:t>单 位 名 称</w:t>
            </w:r>
          </w:p>
        </w:tc>
        <w:tc>
          <w:tcPr>
            <w:tcW w:w="5294" w:type="dxa"/>
            <w:tcBorders>
              <w:top w:val="nil"/>
              <w:left w:val="nil"/>
              <w:bottom w:val="single" w:color="auto" w:sz="12" w:space="0"/>
              <w:right w:val="nil"/>
            </w:tcBorders>
            <w:shd w:val="clear"/>
            <w:vAlign w:val="bottom"/>
          </w:tcPr>
          <w:p w14:paraId="6A0E5D17">
            <w:pPr>
              <w:jc w:val="center"/>
              <w:rPr>
                <w:rFonts w:hint="eastAsia" w:ascii="楷体_GB2312" w:eastAsia="楷体_GB2312" w:cs="楷体_GB2312"/>
                <w:sz w:val="32"/>
                <w:szCs w:val="24"/>
                <w:bdr w:val="none" w:color="auto" w:sz="0" w:space="0"/>
                <w:lang w:val="en-US"/>
              </w:rPr>
            </w:pPr>
            <w:r>
              <w:rPr>
                <w:rStyle w:val="15"/>
                <w:rFonts w:hint="eastAsia" w:ascii="楷体_GB2312" w:eastAsia="楷体_GB2312" w:cs="楷体_GB2312"/>
                <w:sz w:val="32"/>
                <w:szCs w:val="24"/>
                <w:bdr w:val="none" w:color="auto" w:sz="0" w:space="0"/>
                <w:lang w:val="en-US"/>
              </w:rPr>
              <w:t>桃江县殡仪馆</w:t>
            </w:r>
          </w:p>
        </w:tc>
      </w:tr>
    </w:tbl>
    <w:p w14:paraId="1AD72482">
      <w:pPr>
        <w:rPr>
          <w:rFonts w:hint="eastAsia" w:ascii="黑体" w:hAnsi="宋体" w:eastAsia="黑体" w:cs="黑体"/>
          <w:b/>
          <w:bCs/>
          <w:sz w:val="24"/>
          <w:szCs w:val="24"/>
          <w:u w:val="single"/>
          <w:lang w:val="en-US"/>
        </w:rPr>
      </w:pP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2365"/>
        <w:gridCol w:w="5254"/>
      </w:tblGrid>
      <w:tr w14:paraId="2C574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15" w:hRule="atLeast"/>
          <w:jc w:val="center"/>
        </w:trPr>
        <w:tc>
          <w:tcPr>
            <w:tcW w:w="2365" w:type="dxa"/>
            <w:shd w:val="clear"/>
            <w:vAlign w:val="bottom"/>
          </w:tcPr>
          <w:p w14:paraId="5ACDA151">
            <w:pPr>
              <w:jc w:val="distribute"/>
            </w:pPr>
            <w:r>
              <w:rPr>
                <w:rStyle w:val="19"/>
                <w:b/>
                <w:bCs/>
                <w:sz w:val="36"/>
                <w:szCs w:val="24"/>
                <w:bdr w:val="none" w:color="auto" w:sz="0" w:space="0"/>
              </w:rPr>
              <w:t>法</w:t>
            </w:r>
            <w:r>
              <w:rPr>
                <w:rStyle w:val="19"/>
                <w:b/>
                <w:bCs/>
                <w:spacing w:val="30"/>
                <w:sz w:val="36"/>
                <w:szCs w:val="24"/>
                <w:bdr w:val="none" w:color="auto" w:sz="0" w:space="0"/>
              </w:rPr>
              <w:t>定代表</w:t>
            </w:r>
            <w:r>
              <w:rPr>
                <w:rStyle w:val="19"/>
                <w:b/>
                <w:bCs/>
                <w:sz w:val="36"/>
                <w:szCs w:val="24"/>
                <w:bdr w:val="none" w:color="auto" w:sz="0" w:space="0"/>
              </w:rPr>
              <w:t>人</w:t>
            </w:r>
          </w:p>
        </w:tc>
        <w:tc>
          <w:tcPr>
            <w:tcW w:w="5254" w:type="dxa"/>
            <w:tcBorders>
              <w:top w:val="nil"/>
              <w:left w:val="nil"/>
              <w:bottom w:val="single" w:color="auto" w:sz="12" w:space="0"/>
              <w:right w:val="nil"/>
            </w:tcBorders>
            <w:shd w:val="clear"/>
            <w:vAlign w:val="bottom"/>
          </w:tcPr>
          <w:p w14:paraId="7EAA2D7F">
            <w:pPr>
              <w:keepNext w:val="0"/>
              <w:keepLines w:val="0"/>
              <w:widowControl/>
              <w:suppressLineNumbers w:val="0"/>
              <w:jc w:val="left"/>
              <w:rPr>
                <w:kern w:val="0"/>
                <w:sz w:val="20"/>
                <w:szCs w:val="20"/>
                <w:bdr w:val="none" w:color="auto" w:sz="0" w:space="0"/>
                <w:lang w:val="en-US"/>
              </w:rPr>
            </w:pPr>
          </w:p>
        </w:tc>
      </w:tr>
    </w:tbl>
    <w:p w14:paraId="68A3A8C9">
      <w:pPr>
        <w:ind w:left="0" w:firstLine="723" w:firstLineChars="300"/>
        <w:rPr>
          <w:rFonts w:hint="eastAsia" w:ascii="黑体" w:hAnsi="宋体" w:eastAsia="黑体" w:cs="黑体"/>
          <w:b/>
          <w:bCs/>
          <w:sz w:val="24"/>
          <w:szCs w:val="24"/>
          <w:u w:val="single"/>
          <w:lang w:val="en-US"/>
        </w:rPr>
      </w:pPr>
    </w:p>
    <w:p w14:paraId="07D1EC4F">
      <w:pPr>
        <w:jc w:val="center"/>
        <w:rPr>
          <w:rFonts w:hint="eastAsia" w:ascii="黑体" w:hAnsi="宋体" w:eastAsia="黑体" w:cs="黑体"/>
          <w:b/>
          <w:bCs/>
          <w:sz w:val="30"/>
          <w:szCs w:val="24"/>
          <w:u w:val="single"/>
          <w:lang w:val="en-US"/>
        </w:rPr>
      </w:pPr>
    </w:p>
    <w:p w14:paraId="1395EBEA">
      <w:pPr>
        <w:jc w:val="center"/>
        <w:rPr>
          <w:rFonts w:hint="eastAsia" w:ascii="黑体" w:hAnsi="宋体" w:eastAsia="黑体" w:cs="黑体"/>
          <w:b/>
          <w:bCs/>
          <w:sz w:val="30"/>
          <w:szCs w:val="24"/>
          <w:u w:val="single"/>
          <w:lang w:val="en-US"/>
        </w:rPr>
      </w:pPr>
    </w:p>
    <w:p w14:paraId="1CE2CB47">
      <w:pPr>
        <w:jc w:val="center"/>
        <w:rPr>
          <w:u w:val="single"/>
          <w:lang w:val="en-US"/>
        </w:rPr>
      </w:pPr>
    </w:p>
    <w:p w14:paraId="7A0F0F5A">
      <w:pPr>
        <w:jc w:val="center"/>
        <w:rPr>
          <w:rFonts w:eastAsia="楷体_GB2312"/>
          <w:b/>
          <w:bCs/>
          <w:sz w:val="32"/>
          <w:szCs w:val="24"/>
          <w:lang w:val="en-US"/>
        </w:rPr>
      </w:pPr>
      <w:r>
        <w:rPr>
          <w:rFonts w:hint="eastAsia" w:ascii="Times New Roman" w:eastAsia="楷体_GB2312" w:cs="楷体_GB2312"/>
          <w:b/>
          <w:bCs/>
          <w:sz w:val="32"/>
          <w:szCs w:val="24"/>
          <w:lang w:eastAsia="zh-CN"/>
        </w:rPr>
        <w:t>国家事业单位登记管理局制</w:t>
      </w:r>
    </w:p>
    <w:p w14:paraId="6F1CC069">
      <w:pPr>
        <w:jc w:val="center"/>
        <w:rPr>
          <w:rFonts w:eastAsia="楷体_GB2312"/>
          <w:b/>
          <w:bCs/>
          <w:sz w:val="32"/>
          <w:szCs w:val="24"/>
          <w:lang w:val="en-US"/>
        </w:rPr>
      </w:pPr>
    </w:p>
    <w:tbl>
      <w:tblPr>
        <w:tblStyle w:val="1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Layout w:type="fixed"/>
        <w:tblCellMar>
          <w:top w:w="0" w:type="dxa"/>
          <w:left w:w="108" w:type="dxa"/>
          <w:bottom w:w="0" w:type="dxa"/>
          <w:right w:w="108" w:type="dxa"/>
        </w:tblCellMar>
      </w:tblPr>
      <w:tblGrid>
        <w:gridCol w:w="1560"/>
        <w:gridCol w:w="2031"/>
        <w:gridCol w:w="1796"/>
        <w:gridCol w:w="1702"/>
        <w:gridCol w:w="2452"/>
      </w:tblGrid>
      <w:tr w14:paraId="064B0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tblCellMar>
            <w:top w:w="0" w:type="dxa"/>
            <w:left w:w="108" w:type="dxa"/>
            <w:bottom w:w="0" w:type="dxa"/>
            <w:right w:w="108" w:type="dxa"/>
          </w:tblCellMar>
        </w:tblPrEx>
        <w:trPr>
          <w:cantSplit/>
          <w:trHeight w:val="821" w:hRule="atLeast"/>
        </w:trPr>
        <w:tc>
          <w:tcPr>
            <w:tcW w:w="1560" w:type="dxa"/>
            <w:vMerge w:val="restart"/>
            <w:tcBorders>
              <w:top w:val="single" w:color="auto" w:sz="12" w:space="0"/>
              <w:left w:val="single" w:color="auto" w:sz="12" w:space="0"/>
              <w:bottom w:val="single" w:color="auto" w:sz="4" w:space="0"/>
              <w:right w:val="single" w:color="auto" w:sz="4" w:space="0"/>
            </w:tcBorders>
            <w:shd w:val="clear"/>
            <w:vAlign w:val="center"/>
          </w:tcPr>
          <w:p w14:paraId="2B376FC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《事业</w:t>
            </w:r>
          </w:p>
          <w:p w14:paraId="7A46A62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w:t>
            </w:r>
          </w:p>
          <w:p w14:paraId="335A8AE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法人</w:t>
            </w:r>
          </w:p>
          <w:p w14:paraId="0420F39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证书》</w:t>
            </w:r>
          </w:p>
          <w:p w14:paraId="56C0FB2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登载</w:t>
            </w:r>
          </w:p>
          <w:p w14:paraId="00EEA760">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事项</w:t>
            </w:r>
          </w:p>
        </w:tc>
        <w:tc>
          <w:tcPr>
            <w:tcW w:w="2031" w:type="dxa"/>
            <w:tcBorders>
              <w:top w:val="single" w:color="auto" w:sz="12" w:space="0"/>
              <w:left w:val="single" w:color="auto" w:sz="4" w:space="0"/>
              <w:bottom w:val="single" w:color="auto" w:sz="4" w:space="0"/>
              <w:right w:val="single" w:color="auto" w:sz="4" w:space="0"/>
            </w:tcBorders>
            <w:shd w:val="clear"/>
            <w:vAlign w:val="center"/>
          </w:tcPr>
          <w:p w14:paraId="0F599C0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单位名称</w:t>
            </w:r>
          </w:p>
        </w:tc>
        <w:tc>
          <w:tcPr>
            <w:tcW w:w="5949" w:type="dxa"/>
            <w:gridSpan w:val="3"/>
            <w:tcBorders>
              <w:top w:val="single" w:color="auto" w:sz="12" w:space="0"/>
              <w:left w:val="single" w:color="auto" w:sz="4" w:space="0"/>
              <w:bottom w:val="single" w:color="auto" w:sz="4" w:space="0"/>
              <w:right w:val="single" w:color="auto" w:sz="12" w:space="0"/>
            </w:tcBorders>
            <w:shd w:val="clear"/>
            <w:vAlign w:val="center"/>
          </w:tcPr>
          <w:p w14:paraId="6F4E2115">
            <w:pPr>
              <w:spacing w:line="320" w:lineRule="exact"/>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桃江县殡仪馆</w:t>
            </w:r>
          </w:p>
        </w:tc>
      </w:tr>
      <w:tr w14:paraId="0CA97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7"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24656BD0">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4836D8A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宗旨和</w:t>
            </w:r>
          </w:p>
          <w:p w14:paraId="206DA823">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业务范围</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29B7E508">
            <w:pPr>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提供殡仪服务。 殡仪礼仪服务 遗体处置服务 遗体火化 骨灰安葬安放服务 遗体安葬 丧葬用品服务</w:t>
            </w:r>
          </w:p>
        </w:tc>
      </w:tr>
      <w:tr w14:paraId="77841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3"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074126F1">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427B4C57">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住</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所</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47BAC835">
            <w:pPr>
              <w:jc w:val="left"/>
            </w:pPr>
            <w:r>
              <w:rPr>
                <w:rStyle w:val="16"/>
                <w:rFonts w:hint="eastAsia" w:ascii="楷体_GB2312" w:eastAsia="楷体_GB2312" w:cs="楷体_GB2312"/>
                <w:sz w:val="28"/>
                <w:szCs w:val="28"/>
                <w:bdr w:val="none" w:color="auto" w:sz="0" w:space="0"/>
                <w:lang w:val="en-US"/>
              </w:rPr>
              <w:t>桃江县浮邱山乡人形山村</w:t>
            </w:r>
          </w:p>
        </w:tc>
      </w:tr>
      <w:tr w14:paraId="717CA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5"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0FCE126">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701C567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法定代表人</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39FA25EF">
            <w:pPr>
              <w:jc w:val="left"/>
            </w:pPr>
            <w:r>
              <w:rPr>
                <w:rStyle w:val="16"/>
                <w:rFonts w:hint="eastAsia" w:ascii="楷体_GB2312" w:eastAsia="楷体_GB2312" w:cs="楷体_GB2312"/>
                <w:sz w:val="28"/>
                <w:szCs w:val="28"/>
                <w:bdr w:val="none" w:color="auto" w:sz="0" w:space="0"/>
                <w:lang w:val="en-US"/>
              </w:rPr>
              <w:t>何剑平</w:t>
            </w:r>
          </w:p>
        </w:tc>
      </w:tr>
      <w:tr w14:paraId="6EF3F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5563E00F">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5B33DDB6">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开办资金</w:t>
            </w:r>
          </w:p>
        </w:tc>
        <w:tc>
          <w:tcPr>
            <w:tcW w:w="5949" w:type="dxa"/>
            <w:gridSpan w:val="3"/>
            <w:tcBorders>
              <w:top w:val="single" w:color="auto" w:sz="4" w:space="0"/>
              <w:left w:val="single" w:color="auto" w:sz="4" w:space="0"/>
              <w:bottom w:val="single" w:color="auto" w:sz="4" w:space="0"/>
              <w:right w:val="single" w:color="auto" w:sz="12" w:space="0"/>
            </w:tcBorders>
            <w:shd w:val="clear"/>
            <w:vAlign w:val="top"/>
          </w:tcPr>
          <w:p w14:paraId="3ABEBF15">
            <w:pPr>
              <w:jc w:val="lef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385.74</w:t>
            </w:r>
            <w:r>
              <w:rPr>
                <w:rStyle w:val="16"/>
                <w:rFonts w:hint="eastAsia" w:ascii="楷体_GB2312" w:eastAsia="楷体_GB2312" w:cs="楷体_GB2312"/>
                <w:sz w:val="28"/>
                <w:szCs w:val="28"/>
                <w:bdr w:val="none" w:color="auto" w:sz="0" w:space="0"/>
              </w:rPr>
              <w:t>（万元）</w:t>
            </w:r>
          </w:p>
        </w:tc>
      </w:tr>
      <w:tr w14:paraId="2367F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6E6665F4">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C00949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经费来源</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220E5927">
            <w:pPr>
              <w:jc w:val="left"/>
              <w:rPr>
                <w:sz w:val="32"/>
                <w:szCs w:val="32"/>
                <w:bdr w:val="none" w:color="auto" w:sz="0" w:space="0"/>
                <w:lang w:val="en-US"/>
              </w:rPr>
            </w:pPr>
            <w:r>
              <w:rPr>
                <w:rStyle w:val="16"/>
                <w:rFonts w:hint="eastAsia" w:ascii="楷体_GB2312" w:eastAsia="楷体_GB2312" w:cs="楷体_GB2312"/>
                <w:sz w:val="28"/>
                <w:szCs w:val="28"/>
                <w:bdr w:val="none" w:color="auto" w:sz="0" w:space="0"/>
                <w:lang w:val="en-US"/>
              </w:rPr>
              <w:t>财政补助（全额拨款）</w:t>
            </w:r>
          </w:p>
        </w:tc>
      </w:tr>
      <w:tr w14:paraId="1ED74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trPr>
        <w:tc>
          <w:tcPr>
            <w:tcW w:w="1560" w:type="dxa"/>
            <w:vMerge w:val="continue"/>
            <w:tcBorders>
              <w:top w:val="single" w:color="auto" w:sz="12" w:space="0"/>
              <w:left w:val="single" w:color="auto" w:sz="12" w:space="0"/>
              <w:bottom w:val="single" w:color="auto" w:sz="4" w:space="0"/>
              <w:right w:val="single" w:color="auto" w:sz="4" w:space="0"/>
            </w:tcBorders>
            <w:shd w:val="clear"/>
            <w:vAlign w:val="center"/>
          </w:tcPr>
          <w:p w14:paraId="57D3B658">
            <w:pPr>
              <w:rPr>
                <w:rFonts w:hint="default" w:ascii="Times New Roman" w:hAnsi="Times New Roman" w:cs="Times New Roman"/>
                <w:sz w:val="20"/>
                <w:szCs w:val="20"/>
              </w:rPr>
            </w:pPr>
          </w:p>
        </w:tc>
        <w:tc>
          <w:tcPr>
            <w:tcW w:w="2031" w:type="dxa"/>
            <w:tcBorders>
              <w:top w:val="single" w:color="auto" w:sz="4" w:space="0"/>
              <w:left w:val="single" w:color="auto" w:sz="4" w:space="0"/>
              <w:bottom w:val="single" w:color="auto" w:sz="4" w:space="0"/>
              <w:right w:val="single" w:color="auto" w:sz="4" w:space="0"/>
            </w:tcBorders>
            <w:shd w:val="clear"/>
            <w:vAlign w:val="center"/>
          </w:tcPr>
          <w:p w14:paraId="2F507378">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举办单位</w:t>
            </w:r>
          </w:p>
        </w:tc>
        <w:tc>
          <w:tcPr>
            <w:tcW w:w="5949" w:type="dxa"/>
            <w:gridSpan w:val="3"/>
            <w:tcBorders>
              <w:top w:val="single" w:color="auto" w:sz="4" w:space="0"/>
              <w:left w:val="single" w:color="auto" w:sz="4" w:space="0"/>
              <w:bottom w:val="single" w:color="auto" w:sz="4" w:space="0"/>
              <w:right w:val="single" w:color="auto" w:sz="12" w:space="0"/>
            </w:tcBorders>
            <w:shd w:val="clear"/>
            <w:vAlign w:val="center"/>
          </w:tcPr>
          <w:p w14:paraId="7557539C">
            <w:pPr>
              <w:jc w:val="left"/>
            </w:pPr>
            <w:r>
              <w:rPr>
                <w:rStyle w:val="16"/>
                <w:rFonts w:hint="eastAsia" w:ascii="楷体_GB2312" w:eastAsia="楷体_GB2312" w:cs="楷体_GB2312"/>
                <w:sz w:val="28"/>
                <w:szCs w:val="28"/>
                <w:bdr w:val="none" w:color="auto" w:sz="0" w:space="0"/>
                <w:lang w:val="en-US"/>
              </w:rPr>
              <w:t>桃江县民政局</w:t>
            </w:r>
          </w:p>
        </w:tc>
      </w:tr>
      <w:tr w14:paraId="6A1D8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restart"/>
            <w:tcBorders>
              <w:top w:val="single" w:color="auto" w:sz="4" w:space="0"/>
              <w:left w:val="single" w:color="auto" w:sz="12" w:space="0"/>
              <w:bottom w:val="single" w:color="auto" w:sz="4" w:space="0"/>
              <w:right w:val="single" w:color="auto" w:sz="4" w:space="0"/>
            </w:tcBorders>
            <w:shd w:val="clear"/>
            <w:vAlign w:val="center"/>
          </w:tcPr>
          <w:p w14:paraId="04D138DF">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资产</w:t>
            </w:r>
          </w:p>
          <w:p w14:paraId="533DD37A">
            <w:pPr>
              <w:keepNext w:val="0"/>
              <w:keepLines w:val="0"/>
              <w:widowControl/>
              <w:suppressLineNumbers w:val="0"/>
              <w:jc w:val="center"/>
              <w:rPr>
                <w:rFonts w:eastAsia="楷体_GB2312"/>
                <w:b/>
                <w:bCs w:val="0"/>
                <w:sz w:val="32"/>
                <w:szCs w:val="24"/>
                <w:bdr w:val="none" w:color="auto" w:sz="0" w:space="0"/>
                <w:lang w:val="en-US"/>
              </w:rPr>
            </w:pPr>
            <w:r>
              <w:rPr>
                <w:rFonts w:hint="eastAsia" w:ascii="Times New Roman" w:eastAsia="楷体_GB2312" w:cs="楷体_GB2312"/>
                <w:b/>
                <w:bCs w:val="0"/>
                <w:sz w:val="32"/>
                <w:szCs w:val="24"/>
                <w:bdr w:val="none" w:color="auto" w:sz="0" w:space="0"/>
              </w:rPr>
              <w:t>损益</w:t>
            </w:r>
          </w:p>
          <w:p w14:paraId="11B881B6">
            <w:pPr>
              <w:keepNext w:val="0"/>
              <w:keepLines w:val="0"/>
              <w:widowControl/>
              <w:suppressLineNumbers w:val="0"/>
              <w:jc w:val="center"/>
              <w:rPr>
                <w:rFonts w:eastAsia="楷体_GB2312"/>
                <w:sz w:val="32"/>
                <w:szCs w:val="24"/>
                <w:bdr w:val="none" w:color="auto" w:sz="0" w:space="0"/>
                <w:lang w:val="en-US"/>
              </w:rPr>
            </w:pPr>
            <w:r>
              <w:rPr>
                <w:rFonts w:hint="eastAsia" w:ascii="Times New Roman" w:eastAsia="楷体_GB2312" w:cs="楷体_GB2312"/>
                <w:b/>
                <w:bCs w:val="0"/>
                <w:sz w:val="32"/>
                <w:szCs w:val="24"/>
                <w:bdr w:val="none" w:color="auto" w:sz="0" w:space="0"/>
              </w:rPr>
              <w:t>情况</w:t>
            </w:r>
          </w:p>
        </w:tc>
        <w:tc>
          <w:tcPr>
            <w:tcW w:w="7980" w:type="dxa"/>
            <w:gridSpan w:val="4"/>
            <w:tcBorders>
              <w:top w:val="single" w:color="auto" w:sz="4" w:space="0"/>
              <w:left w:val="single" w:color="auto" w:sz="4" w:space="0"/>
              <w:bottom w:val="single" w:color="auto" w:sz="4" w:space="0"/>
              <w:right w:val="single" w:color="auto" w:sz="12" w:space="0"/>
            </w:tcBorders>
            <w:shd w:val="clear"/>
            <w:vAlign w:val="center"/>
          </w:tcPr>
          <w:p w14:paraId="7730BD3B">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净资产合计（所有者权益合计）</w:t>
            </w:r>
          </w:p>
        </w:tc>
      </w:tr>
      <w:tr w14:paraId="2C1A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00664AEB">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5362244D">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年初数（万元）</w:t>
            </w:r>
          </w:p>
        </w:tc>
        <w:tc>
          <w:tcPr>
            <w:tcW w:w="4153" w:type="dxa"/>
            <w:gridSpan w:val="2"/>
            <w:tcBorders>
              <w:top w:val="single" w:color="auto" w:sz="4" w:space="0"/>
              <w:left w:val="single" w:color="auto" w:sz="4" w:space="0"/>
              <w:bottom w:val="single" w:color="auto" w:sz="4" w:space="0"/>
              <w:right w:val="single" w:color="auto" w:sz="12" w:space="0"/>
            </w:tcBorders>
            <w:shd w:val="clear"/>
            <w:vAlign w:val="center"/>
          </w:tcPr>
          <w:p w14:paraId="4F0719C7">
            <w:pPr>
              <w:jc w:val="center"/>
              <w:rPr>
                <w:sz w:val="32"/>
                <w:szCs w:val="24"/>
                <w:bdr w:val="none" w:color="auto" w:sz="0" w:space="0"/>
                <w:lang w:val="en-US"/>
              </w:rPr>
            </w:pPr>
            <w:r>
              <w:rPr>
                <w:rStyle w:val="15"/>
                <w:rFonts w:hint="eastAsia" w:ascii="Times New Roman" w:eastAsia="楷体_GB2312" w:cs="楷体_GB2312"/>
                <w:sz w:val="32"/>
                <w:szCs w:val="24"/>
                <w:bdr w:val="none" w:color="auto" w:sz="0" w:space="0"/>
              </w:rPr>
              <w:t>年末数（万元）</w:t>
            </w:r>
          </w:p>
        </w:tc>
      </w:tr>
      <w:tr w14:paraId="7C95F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trPr>
        <w:tc>
          <w:tcPr>
            <w:tcW w:w="1560" w:type="dxa"/>
            <w:vMerge w:val="continue"/>
            <w:tcBorders>
              <w:top w:val="single" w:color="auto" w:sz="4" w:space="0"/>
              <w:left w:val="single" w:color="auto" w:sz="12" w:space="0"/>
              <w:bottom w:val="single" w:color="auto" w:sz="4" w:space="0"/>
              <w:right w:val="single" w:color="auto" w:sz="4" w:space="0"/>
            </w:tcBorders>
            <w:shd w:val="clear"/>
            <w:vAlign w:val="center"/>
          </w:tcPr>
          <w:p w14:paraId="612A8D84">
            <w:pPr>
              <w:rPr>
                <w:rFonts w:hint="default" w:ascii="Times New Roman" w:hAnsi="Times New Roman" w:cs="Times New Roman"/>
                <w:sz w:val="20"/>
                <w:szCs w:val="20"/>
              </w:rPr>
            </w:pP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7EA0233F">
            <w:pPr>
              <w:jc w:val="center"/>
              <w:rPr>
                <w:sz w:val="32"/>
                <w:szCs w:val="24"/>
                <w:bdr w:val="none" w:color="auto" w:sz="0" w:space="0"/>
                <w:lang w:val="en-US"/>
              </w:rPr>
            </w:pPr>
            <w:r>
              <w:rPr>
                <w:rStyle w:val="15"/>
                <w:sz w:val="32"/>
                <w:szCs w:val="24"/>
                <w:bdr w:val="none" w:color="auto" w:sz="0" w:space="0"/>
                <w:lang w:val="en-US"/>
              </w:rPr>
              <w:t>351.9917</w:t>
            </w:r>
          </w:p>
        </w:tc>
        <w:tc>
          <w:tcPr>
            <w:tcW w:w="4153" w:type="dxa"/>
            <w:gridSpan w:val="2"/>
            <w:tcBorders>
              <w:top w:val="single" w:color="auto" w:sz="4" w:space="0"/>
              <w:left w:val="single" w:color="auto" w:sz="4" w:space="0"/>
              <w:bottom w:val="single" w:color="auto" w:sz="4" w:space="0"/>
              <w:right w:val="single" w:color="auto" w:sz="12" w:space="0"/>
            </w:tcBorders>
            <w:shd w:val="clear"/>
            <w:vAlign w:val="top"/>
          </w:tcPr>
          <w:p w14:paraId="23F9A388">
            <w:pPr>
              <w:jc w:val="center"/>
            </w:pPr>
            <w:r>
              <w:rPr>
                <w:rStyle w:val="16"/>
                <w:sz w:val="32"/>
                <w:szCs w:val="32"/>
                <w:bdr w:val="none" w:color="auto" w:sz="0" w:space="0"/>
                <w:lang w:val="en-US"/>
              </w:rPr>
              <w:t>347.1784</w:t>
            </w:r>
          </w:p>
        </w:tc>
      </w:tr>
      <w:tr w14:paraId="2CA9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15B9917F">
            <w:pPr>
              <w:jc w:val="center"/>
              <w:rPr>
                <w:rFonts w:hint="eastAsia" w:ascii="楷体_GB2312" w:eastAsia="楷体_GB2312" w:cs="楷体_GB2312"/>
                <w:b/>
                <w:bCs/>
                <w:sz w:val="32"/>
                <w:szCs w:val="24"/>
                <w:bdr w:val="none" w:color="auto" w:sz="0" w:space="0"/>
                <w:lang w:val="en-US"/>
              </w:rPr>
            </w:pPr>
            <w:r>
              <w:rPr>
                <w:rFonts w:hint="eastAsia" w:ascii="楷体_GB2312" w:eastAsia="楷体_GB2312" w:cs="楷体_GB2312"/>
                <w:b/>
                <w:bCs/>
                <w:sz w:val="32"/>
                <w:szCs w:val="24"/>
                <w:bdr w:val="none" w:color="auto" w:sz="0" w:space="0"/>
              </w:rPr>
              <w:t>网上名称</w:t>
            </w:r>
          </w:p>
        </w:tc>
        <w:tc>
          <w:tcPr>
            <w:tcW w:w="3827" w:type="dxa"/>
            <w:gridSpan w:val="2"/>
            <w:tcBorders>
              <w:top w:val="single" w:color="auto" w:sz="4" w:space="0"/>
              <w:left w:val="single" w:color="auto" w:sz="4" w:space="0"/>
              <w:bottom w:val="single" w:color="auto" w:sz="4" w:space="0"/>
              <w:right w:val="single" w:color="auto" w:sz="4" w:space="0"/>
            </w:tcBorders>
            <w:shd w:val="clear"/>
            <w:vAlign w:val="center"/>
          </w:tcPr>
          <w:p w14:paraId="31C3AA53">
            <w:pPr>
              <w:spacing w:line="0" w:lineRule="atLeast"/>
              <w:jc w:val="left"/>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lang w:val="en-US"/>
              </w:rPr>
              <w:t>桃江县殡仪馆</w:t>
            </w:r>
          </w:p>
        </w:tc>
        <w:tc>
          <w:tcPr>
            <w:tcW w:w="1702" w:type="dxa"/>
            <w:tcBorders>
              <w:top w:val="single" w:color="auto" w:sz="4" w:space="0"/>
              <w:left w:val="single" w:color="auto" w:sz="4" w:space="0"/>
              <w:bottom w:val="single" w:color="auto" w:sz="4" w:space="0"/>
              <w:right w:val="single" w:color="auto" w:sz="4" w:space="0"/>
            </w:tcBorders>
            <w:shd w:val="clear"/>
            <w:vAlign w:val="center"/>
          </w:tcPr>
          <w:p w14:paraId="79C8A79E">
            <w:pPr>
              <w:jc w:val="center"/>
              <w:rPr>
                <w:rFonts w:hint="eastAsia" w:ascii="楷体_GB2312" w:eastAsia="楷体_GB2312" w:cs="楷体_GB2312"/>
                <w:sz w:val="32"/>
                <w:szCs w:val="24"/>
                <w:bdr w:val="none" w:color="auto" w:sz="0" w:space="0"/>
                <w:lang w:val="en-US"/>
              </w:rPr>
            </w:pPr>
            <w:r>
              <w:rPr>
                <w:rFonts w:hint="eastAsia" w:ascii="楷体_GB2312" w:eastAsia="楷体_GB2312" w:cs="楷体_GB2312"/>
                <w:b/>
                <w:bCs/>
                <w:sz w:val="32"/>
                <w:szCs w:val="24"/>
                <w:bdr w:val="none" w:color="auto" w:sz="0" w:space="0"/>
              </w:rPr>
              <w:t>从业人数</w:t>
            </w:r>
          </w:p>
        </w:tc>
        <w:tc>
          <w:tcPr>
            <w:tcW w:w="2452" w:type="dxa"/>
            <w:tcBorders>
              <w:top w:val="single" w:color="auto" w:sz="4" w:space="0"/>
              <w:left w:val="single" w:color="auto" w:sz="4" w:space="0"/>
              <w:bottom w:val="single" w:color="auto" w:sz="4" w:space="0"/>
              <w:right w:val="single" w:color="auto" w:sz="12" w:space="0"/>
            </w:tcBorders>
            <w:shd w:val="clear"/>
            <w:vAlign w:val="center"/>
          </w:tcPr>
          <w:p w14:paraId="7FB20F5A">
            <w:pPr>
              <w:spacing w:line="0" w:lineRule="atLeast"/>
              <w:jc w:val="left"/>
              <w:rPr>
                <w:rFonts w:hint="eastAsia" w:ascii="楷体_GB2312" w:eastAsia="楷体_GB2312" w:cs="楷体_GB2312"/>
                <w:sz w:val="32"/>
                <w:szCs w:val="24"/>
                <w:bdr w:val="none" w:color="auto" w:sz="0" w:space="0"/>
                <w:lang w:val="en-US"/>
              </w:rPr>
            </w:pPr>
            <w:r>
              <w:rPr>
                <w:rStyle w:val="15"/>
                <w:sz w:val="32"/>
                <w:szCs w:val="24"/>
                <w:bdr w:val="none" w:color="auto" w:sz="0" w:space="0"/>
                <w:lang w:val="en-US"/>
              </w:rPr>
              <w:t>9</w:t>
            </w:r>
          </w:p>
        </w:tc>
      </w:tr>
      <w:tr w14:paraId="65E9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098F798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对《条</w:t>
            </w:r>
          </w:p>
          <w:p w14:paraId="41A6384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例》和</w:t>
            </w:r>
          </w:p>
          <w:p w14:paraId="726C667B">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实施细</w:t>
            </w:r>
          </w:p>
          <w:p w14:paraId="3B8FEA0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则有关</w:t>
            </w:r>
          </w:p>
          <w:p w14:paraId="08ADA73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变更登</w:t>
            </w:r>
          </w:p>
          <w:p w14:paraId="24A042B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记规定</w:t>
            </w:r>
          </w:p>
          <w:p w14:paraId="4EA1F8B2">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的执行</w:t>
            </w:r>
          </w:p>
          <w:p w14:paraId="165D15B8">
            <w:pPr>
              <w:jc w:val="center"/>
              <w:rPr>
                <w:rFonts w:eastAsia="楷体_GB2312"/>
                <w:sz w:val="32"/>
                <w:szCs w:val="24"/>
                <w:bdr w:val="none" w:color="auto" w:sz="0" w:space="0"/>
                <w:lang w:val="en-US"/>
              </w:rPr>
            </w:pP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308003C1">
            <w:pPr>
              <w:spacing w:line="320" w:lineRule="exac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8"/>
                <w:bdr w:val="none" w:color="auto" w:sz="0" w:space="0"/>
                <w:lang w:val="en-US"/>
              </w:rPr>
              <w:t>1、严格施行《殡葬管理条例》积极地、有步骤地实行火葬，改革土葬，节约殡葬用地，革除丧葬陋俗，提倡文明节俭办丧事。 2、严格按照物价部门的有关规定收取费用，对所有的殡葬服务项目以及丧葬用品销售价格进行明码标价并上墙张榜公布。在服务过程中，由丧户根据殡仪服务项目单，自行选择服务项目。对一些需要面议的服务项目，做好与丧户之间的沟通协调，不误导消费，不欺骗丧户。 3、严格执行湖南省民政厅 湖南省财政厅《关于免除城乡困难群众基本殡葬服务费的通知》免除城乡困难群众的基本殡葬服务费用。</w:t>
            </w:r>
          </w:p>
        </w:tc>
      </w:tr>
      <w:tr w14:paraId="351F4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4"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37C77425">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开</w:t>
            </w:r>
          </w:p>
          <w:p w14:paraId="30291A6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展</w:t>
            </w:r>
          </w:p>
          <w:p w14:paraId="617916D1">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业</w:t>
            </w:r>
          </w:p>
          <w:p w14:paraId="37CA6664">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务</w:t>
            </w:r>
          </w:p>
          <w:p w14:paraId="61D2A3BF">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活</w:t>
            </w:r>
          </w:p>
          <w:p w14:paraId="7E033379">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动</w:t>
            </w:r>
          </w:p>
          <w:p w14:paraId="5607D13A">
            <w:pPr>
              <w:jc w:val="cente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情</w:t>
            </w:r>
          </w:p>
          <w:p w14:paraId="0B32A499">
            <w:pPr>
              <w:jc w:val="center"/>
              <w:rPr>
                <w:u w:val="single"/>
                <w:bdr w:val="none" w:color="auto" w:sz="0" w:space="0"/>
                <w:lang w:val="en-US"/>
              </w:rPr>
            </w:pP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0676AB84">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r>
              <w:rPr>
                <w:rStyle w:val="16"/>
                <w:rFonts w:hint="eastAsia" w:ascii="楷体_GB2312" w:eastAsia="楷体_GB2312" w:cs="楷体_GB2312"/>
                <w:sz w:val="28"/>
                <w:szCs w:val="24"/>
                <w:bdr w:val="none" w:color="auto" w:sz="0" w:space="0"/>
                <w:lang w:val="en-US"/>
              </w:rPr>
              <w:t xml:space="preserve">2023年，在局党组的正确领导下，我馆以“丧属至上，优质服务”为宗旨，积极宣传殡葬改革法律法规，大力推行“和谐殡葬、阳光殡葬”，全体职工团结奋进，以提高服务质量，提升服务水平为目标，围绕“一切以丧属为中心”的服务理念，按照年初制定的工作计划有序开展，圆满完成各项工作任务，现将工作情况汇报如下：一、殡仪服务工作有序开展1、做好殡葬惠民政策的落实。2023年殡仪馆共火化遗体数664具 ，其中减免特困群体及三无人员费用近33万元。 2、进一步规范殡葬服务行为。严格按照物价部门的有关规定收取费用，对所有的殡葬服务项目以及丧葬用品销售价格进行明码标价并上墙张榜公布。在服务过程中，由丧户根据殡仪服务项目单，自行选择服务项目。对一些需要面议的服务项目，做好与丧户之间的沟通协调，不误导消费，不欺骗丧户。加强服务的标准化管理，不断提高服务品质和服务档次。二、加强人员的教育管理从领导班子做起，狠抓廉洁自律教育，注重个人品行的培养和自身素质的提升。以身作则，率先垂范。做好人员的定岗定位，不定期与职工之间进行沟通交流，做好他们的思想教育，确保人员的团结、稳定。三、做好安全生产工作每名职工都要牢固树立“安全责任重于泰山”的意识，搞好职工团结，确保其思想稳定。在工作中，没有安全做保证的工作不能接，没有安全防范措施的工作不能干。特别是做好夏季殡葬服务高峰期的防水、电、油、煤气、雷击等各项安全隐患的防范工作。做好炉间、配电房等要害部门的安全隐患排查工作，必须确保万无一失。针对炉间的高温工作环境，我们适时地做好防暑降温工作，配给好风扇和饮用水。定期召开安全工作会议，总结安全工作经验教训、分析安全形势、制定紧急预案和安全措施。 </w:t>
            </w:r>
          </w:p>
          <w:p w14:paraId="2A7EEC5C">
            <w:pPr>
              <w:autoSpaceDE w:val="0"/>
              <w:autoSpaceDN w:val="0"/>
              <w:adjustRightInd w:val="0"/>
              <w:snapToGrid w:val="0"/>
              <w:spacing w:line="360" w:lineRule="auto"/>
              <w:rPr>
                <w:rFonts w:hint="eastAsia" w:ascii="楷体_GB2312" w:eastAsia="楷体_GB2312" w:cs="楷体_GB2312"/>
                <w:sz w:val="28"/>
                <w:szCs w:val="24"/>
                <w:bdr w:val="none" w:color="auto" w:sz="0" w:space="0"/>
                <w:lang w:val="en-US"/>
              </w:rPr>
            </w:pPr>
          </w:p>
        </w:tc>
      </w:tr>
      <w:tr w14:paraId="288CC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560" w:type="dxa"/>
            <w:tcBorders>
              <w:top w:val="single" w:color="auto" w:sz="12" w:space="0"/>
              <w:left w:val="single" w:color="auto" w:sz="12" w:space="0"/>
              <w:bottom w:val="single" w:color="auto" w:sz="4" w:space="0"/>
              <w:right w:val="single" w:color="auto" w:sz="4" w:space="0"/>
            </w:tcBorders>
            <w:shd w:val="clear"/>
            <w:vAlign w:val="center"/>
          </w:tcPr>
          <w:p w14:paraId="4FB58CE5">
            <w:pPr>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相关资质认可或执业许可证明文件及有效期</w:t>
            </w:r>
          </w:p>
        </w:tc>
        <w:tc>
          <w:tcPr>
            <w:tcW w:w="7980" w:type="dxa"/>
            <w:gridSpan w:val="4"/>
            <w:tcBorders>
              <w:top w:val="single" w:color="auto" w:sz="12" w:space="0"/>
              <w:left w:val="single" w:color="auto" w:sz="4" w:space="0"/>
              <w:bottom w:val="single" w:color="auto" w:sz="4" w:space="0"/>
              <w:right w:val="single" w:color="auto" w:sz="12" w:space="0"/>
            </w:tcBorders>
            <w:shd w:val="clear"/>
            <w:vAlign w:val="top"/>
          </w:tcPr>
          <w:p w14:paraId="1388C123">
            <w:pPr>
              <w:spacing w:line="320" w:lineRule="exact"/>
              <w:rPr>
                <w:rFonts w:hint="eastAsia" w:ascii="楷体_GB2312" w:eastAsia="楷体_GB2312" w:cs="楷体_GB2312"/>
                <w:sz w:val="28"/>
                <w:szCs w:val="28"/>
                <w:bdr w:val="none" w:color="auto" w:sz="0" w:space="0"/>
                <w:lang w:val="en-US"/>
              </w:rPr>
            </w:pPr>
            <w:r>
              <w:rPr>
                <w:rStyle w:val="16"/>
                <w:rFonts w:hint="eastAsia" w:ascii="楷体_GB2312" w:eastAsia="楷体_GB2312" w:cs="楷体_GB2312"/>
                <w:sz w:val="28"/>
                <w:szCs w:val="24"/>
                <w:bdr w:val="none" w:color="auto" w:sz="0" w:space="0"/>
                <w:lang w:val="en-US"/>
              </w:rPr>
              <w:t>无</w:t>
            </w:r>
          </w:p>
        </w:tc>
      </w:tr>
      <w:tr w14:paraId="2D4D9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4" w:hRule="atLeast"/>
        </w:trPr>
        <w:tc>
          <w:tcPr>
            <w:tcW w:w="1560" w:type="dxa"/>
            <w:tcBorders>
              <w:top w:val="single" w:color="auto" w:sz="4" w:space="0"/>
              <w:left w:val="single" w:color="auto" w:sz="12" w:space="0"/>
              <w:bottom w:val="single" w:color="auto" w:sz="4" w:space="0"/>
              <w:right w:val="single" w:color="auto" w:sz="4" w:space="0"/>
            </w:tcBorders>
            <w:shd w:val="clear"/>
            <w:vAlign w:val="center"/>
          </w:tcPr>
          <w:p w14:paraId="496FA132">
            <w:pPr>
              <w:spacing w:line="0" w:lineRule="atLeast"/>
            </w:pPr>
            <w:r>
              <w:rPr>
                <w:rFonts w:hint="eastAsia" w:ascii="Times New Roman" w:eastAsia="楷体_GB2312" w:cs="楷体_GB2312"/>
                <w:b/>
                <w:bCs/>
                <w:sz w:val="32"/>
                <w:szCs w:val="24"/>
                <w:bdr w:val="none" w:color="auto" w:sz="0" w:space="0"/>
              </w:rPr>
              <w:t>绩</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效</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和受奖惩及诉讼投诉情</w:t>
            </w:r>
            <w:r>
              <w:rPr>
                <w:rFonts w:eastAsia="楷体_GB2312"/>
                <w:b/>
                <w:bCs/>
                <w:sz w:val="32"/>
                <w:szCs w:val="24"/>
                <w:bdr w:val="none" w:color="auto" w:sz="0" w:space="0"/>
                <w:lang w:val="en-US"/>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4" w:space="0"/>
              <w:right w:val="single" w:color="auto" w:sz="12" w:space="0"/>
            </w:tcBorders>
            <w:shd w:val="clear"/>
            <w:vAlign w:val="top"/>
          </w:tcPr>
          <w:p w14:paraId="335D45CF">
            <w:pPr>
              <w:jc w:val="left"/>
            </w:pPr>
            <w:r>
              <w:rPr>
                <w:rStyle w:val="16"/>
                <w:rFonts w:hint="eastAsia" w:ascii="楷体_GB2312" w:eastAsia="楷体_GB2312" w:cs="楷体_GB2312"/>
                <w:sz w:val="28"/>
                <w:szCs w:val="28"/>
                <w:bdr w:val="none" w:color="auto" w:sz="0" w:space="0"/>
                <w:lang w:val="en-US"/>
              </w:rPr>
              <w:t>无</w:t>
            </w:r>
          </w:p>
        </w:tc>
      </w:tr>
      <w:tr w14:paraId="46635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60" w:type="dxa"/>
            <w:tcBorders>
              <w:top w:val="single" w:color="auto" w:sz="4" w:space="0"/>
              <w:left w:val="single" w:color="auto" w:sz="12" w:space="0"/>
              <w:bottom w:val="single" w:color="auto" w:sz="12" w:space="0"/>
              <w:right w:val="single" w:color="auto" w:sz="4" w:space="0"/>
            </w:tcBorders>
            <w:shd w:val="clear"/>
            <w:vAlign w:val="center"/>
          </w:tcPr>
          <w:p w14:paraId="072FDA4C">
            <w:pPr>
              <w:spacing w:line="0" w:lineRule="atLeast"/>
              <w:rPr>
                <w:rFonts w:eastAsia="楷体_GB2312"/>
                <w:b/>
                <w:bCs/>
                <w:sz w:val="32"/>
                <w:szCs w:val="24"/>
                <w:bdr w:val="none" w:color="auto" w:sz="0" w:space="0"/>
                <w:lang w:val="en-US"/>
              </w:rPr>
            </w:pPr>
            <w:r>
              <w:rPr>
                <w:rFonts w:hint="eastAsia" w:ascii="Times New Roman" w:eastAsia="楷体_GB2312" w:cs="楷体_GB2312"/>
                <w:b/>
                <w:bCs/>
                <w:sz w:val="32"/>
                <w:szCs w:val="24"/>
                <w:bdr w:val="none" w:color="auto" w:sz="0" w:space="0"/>
              </w:rPr>
              <w:t>接受捐赠</w:t>
            </w:r>
          </w:p>
          <w:p w14:paraId="6AC34B3D">
            <w:pPr>
              <w:spacing w:line="0" w:lineRule="atLeast"/>
            </w:pPr>
            <w:r>
              <w:rPr>
                <w:rFonts w:hint="eastAsia" w:ascii="Times New Roman" w:eastAsia="楷体_GB2312" w:cs="楷体_GB2312"/>
                <w:b/>
                <w:bCs/>
                <w:sz w:val="32"/>
                <w:szCs w:val="24"/>
                <w:bdr w:val="none" w:color="auto" w:sz="0" w:space="0"/>
              </w:rPr>
              <w:t>资助及使用</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情</w:t>
            </w:r>
            <w:r>
              <w:rPr>
                <w:rFonts w:eastAsia="楷体_GB2312"/>
                <w:b/>
                <w:bCs/>
                <w:sz w:val="32"/>
                <w:szCs w:val="24"/>
                <w:bdr w:val="none" w:color="auto" w:sz="0" w:space="0"/>
              </w:rPr>
              <w:t xml:space="preserve"> </w:t>
            </w:r>
            <w:r>
              <w:rPr>
                <w:rFonts w:hint="eastAsia" w:ascii="Times New Roman" w:eastAsia="楷体_GB2312" w:cs="楷体_GB2312"/>
                <w:b/>
                <w:bCs/>
                <w:sz w:val="32"/>
                <w:szCs w:val="24"/>
                <w:bdr w:val="none" w:color="auto" w:sz="0" w:space="0"/>
              </w:rPr>
              <w:t>况</w:t>
            </w:r>
          </w:p>
        </w:tc>
        <w:tc>
          <w:tcPr>
            <w:tcW w:w="7980" w:type="dxa"/>
            <w:gridSpan w:val="4"/>
            <w:tcBorders>
              <w:top w:val="single" w:color="auto" w:sz="4" w:space="0"/>
              <w:left w:val="single" w:color="auto" w:sz="4" w:space="0"/>
              <w:bottom w:val="single" w:color="auto" w:sz="12" w:space="0"/>
              <w:right w:val="single" w:color="auto" w:sz="12" w:space="0"/>
            </w:tcBorders>
            <w:shd w:val="clear"/>
            <w:vAlign w:val="top"/>
          </w:tcPr>
          <w:p w14:paraId="38B26B49">
            <w:pPr>
              <w:jc w:val="left"/>
            </w:pPr>
            <w:r>
              <w:rPr>
                <w:rStyle w:val="16"/>
                <w:rFonts w:hint="eastAsia" w:ascii="楷体_GB2312" w:eastAsia="楷体_GB2312" w:cs="楷体_GB2312"/>
                <w:sz w:val="28"/>
                <w:szCs w:val="28"/>
                <w:bdr w:val="none" w:color="auto" w:sz="0" w:space="0"/>
                <w:lang w:val="en-US"/>
              </w:rPr>
              <w:t>无</w:t>
            </w:r>
          </w:p>
        </w:tc>
      </w:tr>
    </w:tbl>
    <w:p w14:paraId="4D32D1B8">
      <w:pPr>
        <w:jc w:val="left"/>
        <w:rPr>
          <w:rFonts w:hint="eastAsia" w:ascii="楷体_GB2312" w:eastAsia="楷体_GB2312" w:cs="楷体_GB2312"/>
          <w:b/>
          <w:bCs/>
          <w:sz w:val="28"/>
          <w:szCs w:val="28"/>
          <w:lang w:val="en-US"/>
        </w:rPr>
      </w:pPr>
    </w:p>
    <w:sectPr>
      <w:pgSz w:w="11906" w:h="16838"/>
      <w:pgMar w:top="1440" w:right="1135" w:bottom="1440" w:left="1135" w:header="851" w:footer="992" w:gutter="0"/>
      <w:paperSrc/>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宋体">
    <w:panose1 w:val="02010600030101010101"/>
    <w:charset w:val="86"/>
    <w:family w:val="auto"/>
    <w:pitch w:val="variable"/>
    <w:sig w:usb0="00000003" w:usb1="288F0000" w:usb2="00000006" w:usb3="00000000" w:csb0="00040001" w:csb1="00000000"/>
  </w:font>
  <w:font w:name="@黑体">
    <w:panose1 w:val="02010609060101010101"/>
    <w:charset w:val="86"/>
    <w:family w:val="auto"/>
    <w:pitch w:val="fixed"/>
    <w:sig w:usb0="800002BF" w:usb1="38CF7CFA" w:usb2="00000016" w:usb3="00000000" w:csb0="00040001" w:csb1="00000000"/>
  </w:font>
  <w:font w:name="Cambria Math">
    <w:panose1 w:val="02040503050406030204"/>
    <w:charset w:val="01"/>
    <w:family w:val="auto"/>
    <w:pitch w:val="variable"/>
    <w:sig w:usb0="E00002FF" w:usb1="420024FF" w:usb2="00000000" w:usb3="00000000" w:csb0="2000019F" w:csb1="00000000"/>
  </w:font>
  <w:font w:name="楷体_GB2312">
    <w:panose1 w:val="02010609030101010101"/>
    <w:charset w:val="86"/>
    <w:family w:val="auto"/>
    <w:pitch w:val="fixed"/>
    <w:sig w:usb0="00000001" w:usb1="080E0000" w:usb2="00000000" w:usb3="00000000" w:csb0="00040000" w:csb1="00000000"/>
  </w:font>
  <w:font w:name="@楷体_GB2312">
    <w:panose1 w:val="02010609030101010101"/>
    <w:charset w:val="86"/>
    <w:family w:val="auto"/>
    <w:pitch w:val="fixed"/>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7"/>
  <w:displayHorizontalDrawingGridEvery w:val="0"/>
  <w:displayVerticalDrawingGridEvery w:val="2"/>
  <w:characterSpacingControl w:val="compressPunctuation"/>
  <w:footnotePr>
    <w:footnote w:id="0"/>
    <w:footnote w:id="1"/>
  </w:footnotePr>
  <w:compat>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IyN2U2NjRhN2NiMzUxYTA1NjlkZWExMDEwNWQifQ=="/>
  </w:docVars>
  <w:rsids>
    <w:rsidRoot w:val="00000000"/>
    <w:rsid w:val="029D2AFF"/>
    <w:rsid w:val="7B7F2E2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nhideWhenUsed="0" w:uiPriority="35"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semiHidden/>
    <w:unhideWhenUsed/>
    <w:uiPriority w:val="99"/>
    <w:pPr>
      <w:keepNext w:val="0"/>
      <w:keepLines w:val="0"/>
      <w:widowControl w:val="0"/>
      <w:suppressLineNumbers w:val="0"/>
      <w:spacing w:before="0" w:beforeAutospacing="0" w:after="0" w:afterAutospacing="0"/>
      <w:ind w:left="0" w:right="0"/>
      <w:jc w:val="both"/>
    </w:pPr>
    <w:rPr>
      <w:rFonts w:hint="default" w:ascii="Times New Roman" w:hAnsi="Times New Roman" w:eastAsia="宋体" w:cs="Times New Roman"/>
      <w:kern w:val="2"/>
      <w:sz w:val="21"/>
      <w:szCs w:val="24"/>
      <w:lang w:val="en-US" w:eastAsia="zh-CN" w:bidi="ar"/>
    </w:rPr>
  </w:style>
  <w:style w:type="paragraph" w:styleId="2">
    <w:name w:val="heading 1"/>
    <w:basedOn w:val="1"/>
    <w:next w:val="1"/>
    <w:qFormat/>
    <w:uiPriority w:val="9"/>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9"/>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9"/>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9"/>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9"/>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9"/>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3">
    <w:name w:val="Default Paragraph Font"/>
    <w:semiHidden/>
    <w:unhideWhenUsed/>
    <w:uiPriority w:val="99"/>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footer"/>
    <w:basedOn w:val="1"/>
    <w:link w:val="18"/>
    <w:semiHidden/>
    <w:unhideWhenUsed/>
    <w:uiPriority w:val="99"/>
    <w:pPr>
      <w:keepNext w:val="0"/>
      <w:keepLines w:val="0"/>
      <w:widowControl w:val="0"/>
      <w:suppressLineNumbers w:val="0"/>
      <w:tabs>
        <w:tab w:val="center" w:pos="4153"/>
        <w:tab w:val="right" w:pos="8306"/>
      </w:tabs>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9">
    <w:name w:val="header"/>
    <w:basedOn w:val="1"/>
    <w:link w:val="17"/>
    <w:semiHidden/>
    <w:unhideWhenUsed/>
    <w:uiPriority w:val="99"/>
    <w:pPr>
      <w:keepNext w:val="0"/>
      <w:keepLines w:val="0"/>
      <w:widowControl w:val="0"/>
      <w:suppressLineNumbers w:val="0"/>
      <w:pBdr>
        <w:top w:val="none" w:color="auto" w:sz="0" w:space="0"/>
        <w:left w:val="none" w:color="auto" w:sz="0" w:space="0"/>
        <w:bottom w:val="single" w:color="auto" w:sz="6" w:space="1"/>
        <w:right w:val="none" w:color="auto" w:sz="0" w:space="0"/>
      </w:pBdr>
      <w:tabs>
        <w:tab w:val="center" w:pos="4153"/>
        <w:tab w:val="right" w:pos="8306"/>
      </w:tabs>
      <w:snapToGrid w:val="0"/>
      <w:spacing w:before="0" w:beforeAutospacing="0" w:after="0" w:afterAutospacing="0"/>
      <w:ind w:left="0" w:right="0"/>
      <w:jc w:val="center"/>
    </w:pPr>
    <w:rPr>
      <w:rFonts w:hint="default" w:ascii="Times New Roman" w:hAnsi="Times New Roman" w:eastAsia="宋体" w:cs="Times New Roman"/>
      <w:kern w:val="2"/>
      <w:sz w:val="18"/>
      <w:szCs w:val="18"/>
      <w:lang w:val="en-US" w:eastAsia="zh-CN" w:bidi="ar"/>
    </w:rPr>
  </w:style>
  <w:style w:type="paragraph" w:styleId="10">
    <w:name w:val="HTML Preformatted"/>
    <w:basedOn w:val="1"/>
    <w:semiHidden/>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semiHidden/>
    <w:unhideWhenUsed/>
    <w:uiPriority w:val="99"/>
    <w:pPr>
      <w:widowControl/>
      <w:spacing w:before="0" w:beforeAutospacing="1" w:after="0" w:afterAutospacing="1"/>
      <w:ind w:left="0" w:right="0"/>
      <w:jc w:val="left"/>
    </w:pPr>
    <w:rPr>
      <w:rFonts w:ascii="宋体" w:hAnsi="宋体" w:eastAsia="宋体" w:cs="宋体"/>
      <w:kern w:val="0"/>
      <w:sz w:val="24"/>
      <w:lang w:val="en-US" w:eastAsia="zh-CN" w:bidi="ar"/>
    </w:rPr>
  </w:style>
  <w:style w:type="character" w:customStyle="1" w:styleId="14">
    <w:name w:val="font21"/>
    <w:basedOn w:val="13"/>
    <w:uiPriority w:val="0"/>
    <w:rPr>
      <w:rFonts w:hint="default" w:ascii="Times New Roman" w:hAnsi="Times New Roman" w:eastAsia="楷体_GB2312" w:cs="Times New Roman"/>
      <w:sz w:val="30"/>
      <w:szCs w:val="24"/>
    </w:rPr>
  </w:style>
  <w:style w:type="character" w:customStyle="1" w:styleId="15">
    <w:name w:val="font61"/>
    <w:basedOn w:val="13"/>
    <w:uiPriority w:val="0"/>
    <w:rPr>
      <w:rFonts w:hint="default" w:ascii="Times New Roman" w:hAnsi="Times New Roman" w:eastAsia="楷体_GB2312" w:cs="Times New Roman"/>
      <w:sz w:val="32"/>
      <w:szCs w:val="24"/>
    </w:rPr>
  </w:style>
  <w:style w:type="character" w:customStyle="1" w:styleId="16">
    <w:name w:val="font71"/>
    <w:basedOn w:val="13"/>
    <w:uiPriority w:val="0"/>
    <w:rPr>
      <w:rFonts w:hint="default" w:ascii="Times New Roman" w:hAnsi="Times New Roman" w:eastAsia="楷体_GB2312" w:cs="Times New Roman"/>
      <w:sz w:val="28"/>
      <w:szCs w:val="24"/>
    </w:rPr>
  </w:style>
  <w:style w:type="character" w:customStyle="1" w:styleId="17">
    <w:name w:val="页眉 Char"/>
    <w:basedOn w:val="13"/>
    <w:link w:val="9"/>
    <w:locked/>
    <w:uiPriority w:val="0"/>
    <w:rPr>
      <w:rFonts w:hint="default" w:ascii="Times New Roman" w:hAnsi="Times New Roman" w:eastAsia="宋体" w:cs="Times New Roman"/>
      <w:sz w:val="18"/>
      <w:szCs w:val="18"/>
    </w:rPr>
  </w:style>
  <w:style w:type="character" w:customStyle="1" w:styleId="18">
    <w:name w:val="页脚 Char"/>
    <w:basedOn w:val="13"/>
    <w:link w:val="8"/>
    <w:locked/>
    <w:uiPriority w:val="0"/>
    <w:rPr>
      <w:rFonts w:hint="default" w:ascii="Times New Roman" w:hAnsi="Times New Roman" w:eastAsia="宋体" w:cs="Times New Roman"/>
      <w:sz w:val="18"/>
      <w:szCs w:val="18"/>
    </w:rPr>
  </w:style>
  <w:style w:type="character" w:customStyle="1" w:styleId="19">
    <w:name w:val="font51"/>
    <w:basedOn w:val="13"/>
    <w:uiPriority w:val="0"/>
    <w:rPr>
      <w:rFonts w:hint="eastAsia" w:ascii="黑体" w:hAnsi="宋体" w:eastAsia="黑体" w:cs="黑体"/>
      <w:sz w:val="36"/>
      <w:szCs w:val="24"/>
    </w:rPr>
  </w:style>
  <w:style w:type="character" w:customStyle="1" w:styleId="20">
    <w:name w:val="hps"/>
    <w:basedOn w:val="13"/>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WwW.YlmF.CoM</Company>
  <Pages>5</Pages>
  <Words>1261</Words>
  <Characters>1324</Characters>
  <Lines>4</Lines>
  <Paragraphs>1</Paragraphs>
  <TotalTime>45456.4375000016</TotalTime>
  <ScaleCrop>false</ScaleCrop>
  <LinksUpToDate>false</LinksUpToDate>
  <CharactersWithSpaces>1371</CharactersWithSpaces>
  <Application>WPS Office_12.1.0.17133_F1E327BC-269C-435d-A152-05C5408002CA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1899-12-29T16:00:00Z</dcterms:created>
  <dc:creator>雨林木风</dc:creator>
  <cp:lastModifiedBy>Administrator</cp:lastModifiedBy>
  <dcterms:modified xsi:type="dcterms:W3CDTF">2024-06-13T02:39:59Z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77C5B7DF02164A72A33980F36190BE94_13</vt:lpwstr>
  </property>
</Properties>
</file>