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4B0009FC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4FF1AD9A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8"/>
          <w:b/>
          <w:bCs/>
          <w:sz w:val="30"/>
          <w:szCs w:val="30"/>
          <w:lang w:val="en-US"/>
        </w:rPr>
        <w:t>124309227828683722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32A90E98">
      <w:pPr>
        <w:jc w:val="right"/>
        <w:rPr>
          <w:lang w:val="en-US"/>
        </w:rPr>
      </w:pPr>
    </w:p>
    <w:p w14:paraId="633413FD">
      <w:pPr>
        <w:jc w:val="right"/>
        <w:rPr>
          <w:lang w:val="en-US"/>
        </w:rPr>
      </w:pPr>
    </w:p>
    <w:p w14:paraId="2DE23B14">
      <w:pPr>
        <w:jc w:val="right"/>
        <w:rPr>
          <w:lang w:val="en-US"/>
        </w:rPr>
      </w:pPr>
    </w:p>
    <w:p w14:paraId="409CD9A2">
      <w:pPr>
        <w:jc w:val="right"/>
        <w:rPr>
          <w:lang w:val="en-US"/>
        </w:rPr>
      </w:pPr>
    </w:p>
    <w:p w14:paraId="0AFFA472">
      <w:pPr>
        <w:jc w:val="right"/>
        <w:rPr>
          <w:lang w:val="en-US"/>
        </w:rPr>
      </w:pPr>
    </w:p>
    <w:p w14:paraId="5DE9D30A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003BD8EF">
      <w:pPr>
        <w:jc w:val="center"/>
        <w:rPr>
          <w:rFonts w:eastAsia="黑体"/>
          <w:b/>
          <w:bCs/>
          <w:spacing w:val="30"/>
          <w:lang w:val="en-US"/>
        </w:rPr>
      </w:pPr>
    </w:p>
    <w:p w14:paraId="18F1E804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8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390F31E7">
      <w:pPr>
        <w:jc w:val="center"/>
        <w:rPr>
          <w:sz w:val="36"/>
          <w:szCs w:val="24"/>
          <w:lang w:val="en-US"/>
        </w:rPr>
      </w:pPr>
    </w:p>
    <w:p w14:paraId="57454CF4">
      <w:pPr>
        <w:jc w:val="center"/>
        <w:rPr>
          <w:sz w:val="36"/>
          <w:szCs w:val="24"/>
          <w:lang w:val="en-US"/>
        </w:rPr>
      </w:pPr>
    </w:p>
    <w:p w14:paraId="334F0E54">
      <w:pPr>
        <w:jc w:val="center"/>
        <w:rPr>
          <w:sz w:val="36"/>
          <w:szCs w:val="24"/>
          <w:lang w:val="en-US"/>
        </w:rPr>
      </w:pPr>
    </w:p>
    <w:p w14:paraId="514BC234">
      <w:pPr>
        <w:jc w:val="center"/>
        <w:rPr>
          <w:sz w:val="36"/>
          <w:szCs w:val="24"/>
          <w:lang w:val="en-US"/>
        </w:rPr>
      </w:pPr>
    </w:p>
    <w:p w14:paraId="4B3D8D0F">
      <w:pPr>
        <w:jc w:val="center"/>
        <w:rPr>
          <w:sz w:val="36"/>
          <w:szCs w:val="24"/>
          <w:lang w:val="en-US"/>
        </w:rPr>
      </w:pPr>
    </w:p>
    <w:p w14:paraId="674A73F7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337BF8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2C4D2C8E"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4FE74906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桃江县浮邱山乡卫生院</w:t>
            </w:r>
          </w:p>
        </w:tc>
      </w:tr>
    </w:tbl>
    <w:p w14:paraId="69C65CE5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002320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0596F4CA"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9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50654BF2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3F37A81A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1EB507E1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4CCB8798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51268B0A">
      <w:pPr>
        <w:jc w:val="center"/>
        <w:rPr>
          <w:u w:val="single"/>
          <w:lang w:val="en-US"/>
        </w:rPr>
      </w:pPr>
    </w:p>
    <w:p w14:paraId="3A866E55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551F8A5F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4DFA44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E3A8EB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589A8DF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11E898F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70926E57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5B95EE4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700EEAA8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CCCE60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EA879C1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桃江县浮邱山乡卫生院</w:t>
            </w:r>
          </w:p>
        </w:tc>
      </w:tr>
      <w:tr w14:paraId="51BC4E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D1A2E87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754196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1C681D2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F81902C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为人民身体健康提供医疗与预防保健服务。 医疗、常见多发病护理 恢复期病人康复治疗与护理 预防保健、初级卫生保健规划实施 合作医疗组织与管理 卫生监督与卫生信息管理</w:t>
            </w:r>
          </w:p>
        </w:tc>
      </w:tr>
      <w:tr w14:paraId="08EAFE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991FA5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26906B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D1C6F8B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桃江县浮邱山乡新桥村</w:t>
            </w:r>
          </w:p>
        </w:tc>
      </w:tr>
      <w:tr w14:paraId="3B083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7A2B53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613B92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E1AA988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何仲希</w:t>
            </w:r>
          </w:p>
        </w:tc>
      </w:tr>
      <w:tr w14:paraId="546914A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3E7E143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1EBEA3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BA7E820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885</w:t>
            </w: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3BEA25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8D5A179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1679FE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4D83FEA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0F3ECE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0108B2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B61EC4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4D501B7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桃江县卫生健康局</w:t>
            </w:r>
          </w:p>
        </w:tc>
      </w:tr>
      <w:tr w14:paraId="2447E6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F61DEB6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08AEAF6A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4824E1AD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BC9F630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7226A3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EEE48D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0C29131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A449DBE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1162B6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584F8E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5CCC33E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sz w:val="32"/>
                <w:szCs w:val="24"/>
                <w:bdr w:val="none" w:color="auto" w:sz="0" w:space="0"/>
                <w:lang w:val="en-US"/>
              </w:rPr>
              <w:t>810.91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758D768D">
            <w:pPr>
              <w:jc w:val="center"/>
            </w:pPr>
            <w:r>
              <w:rPr>
                <w:rStyle w:val="14"/>
                <w:sz w:val="32"/>
                <w:szCs w:val="32"/>
                <w:bdr w:val="none" w:color="auto" w:sz="0" w:space="0"/>
                <w:lang w:val="en-US"/>
              </w:rPr>
              <w:t>786.21</w:t>
            </w:r>
          </w:p>
        </w:tc>
      </w:tr>
      <w:tr w14:paraId="040A3E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BFB0DC8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8C45A05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桃江县浮丘山乡卫生院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835AB44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FB32CB1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20"/>
                <w:sz w:val="32"/>
                <w:szCs w:val="24"/>
                <w:bdr w:val="none" w:color="auto" w:sz="0" w:space="0"/>
                <w:lang w:val="en-US"/>
              </w:rPr>
              <w:t>74</w:t>
            </w:r>
          </w:p>
        </w:tc>
      </w:tr>
      <w:tr w14:paraId="003B03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9382C1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5063516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56DD6F05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169AF0A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3F89002E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6004D82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48CB882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2A0CFE4B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2445198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为人民身体健康提供医疗与预防保健服务。 医疗、常见多发病护理 恢复期病人康复治疗与护理 预防保健、初级卫生保健规划实施 合作医疗组织与管理 卫生监督与卫生信息管理。</w:t>
            </w:r>
          </w:p>
        </w:tc>
      </w:tr>
      <w:tr w14:paraId="07CF000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095578C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75BD846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5062026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1497015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7266E0E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7701964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0DBA940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7C1D5602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5101338F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一、重点工作完成情况 （一）业务工作 1、全年完成了医疗业务收入800万元，较去年增长29.6%，开展外科手术130台。 2、全年组织专业技术人员参加业务知识培训24次，三基考试4期，技能操作考核2次，另外自行组织了院感、中医药、法律法规、十八项核心制度等课件的培训，选配1名同志到益阳市中心医院进修学习，使每位职工学有所成，全面掌握各项技能及提高法律法规意识。在临床上狠抓医疗核心制度的落实，持续改进医疗服务质量，大力发扬中医文化。2023年顺利通过了省基药检查，得到了检查组的一致好评。 （二）公卫工作 1、全乡常住人口为39534人，建档44281份，建档率为112%；各类重点人群的规范管理率不断提升。成立了17个家庭医生签约服务团队，共签约22311人，签约率56.4%。&amp;nbsp;&amp;nbsp; 2、5月份开展了重点人群免费体检，完成体检人数6308人，体检率63.09%。 3、全年共处置学校疫情9例，并配合县疾控完成流行病学调查。辖区内未发生突发公共卫生事件。 4、完成了炭山桥和新桥2个村共130户的居民健康素养监测和成人烟草流行监测工作。 &amp;nbsp;5、在全乡开展结核、预防接种、肝炎防治与母乳喂养周、艾滋病防治等主题宣传活动。 （三）乡村振兴 继续做好了“一站式”结算服务工作。开展对监测人口、脱贫人口的家庭医生签约服务。及时跟进，不漏人员。对健康扶贫系统做到随时跟进与随访，确保村卫生室和人员“空白点”动态清零。进一步改善设施条件，巩固加强村卫生室公有化与标准化建设成果。加强了村卫生室“五有”的督查。 （四）强化医防融合 以临床医生为主体开展了家庭医生签约服务，同步参与高血压、糖尿病等慢病患者的健康管理，建立慢病“一站式”门诊服务，&amp;nbsp;促推临床医生和助手在患者的一次诊疗过程中，协同完成基本医疗和公共卫生服务，提高协同服务、融合服务的质量和效率。 （五）加强院内外培训 请上级专家对全院工作人员及乡村医生进行了红十字会“应急救护”技能培训、人文素质教育培训、婚姻法及消防安全培训。 （六）医疗执业行为监管 进一步加强了院内及乡村医生依法执业意识，规范日常诊疗行为及各类登记，加强村卫生室督查，确保患者的就医安全。规范医疗废弃物处置工作，对医院、村卫生室、分所人员进行医疗废弃物处置规范培训与督查，疗废弃物处置基本规范。 （七）医保工作 严格按照上级政策落实医保工作，开展自查自纠，今年以来共完成国家审计署核实重复收费、违规收费问题清单的自查整改、职工门诊统筹基金专项整治、“三医”突出问题医保领域专项整治、宣传月活动、违规收费问题清单（第二批）自查整改、信用记录关爱日活动、异地就医直接结算集中宣传月活动、新冠疫苗接种自查自纠、职工门诊统自查自纠等15次大的医保行动，共交违规金额17477.49元，涉及重复收费、连续静脉输液第二组、超量开药、串换药品等项目。 （八）安全生产工作： 1、医疗安全全年无投诉，无重大医疗纠纷的投诉； 2、院班子成员、后勤人员一同进行了四个季度的安全生产线索排查工作；后勤人员对相关的电线进行了维护、更换及整改工作；对用火、用电、用氧进行了每日一巡查并完善了相关台账资料；全年进行了5次消防安全知识培训和1次应急演练工作，杜绝了消防安全问题。 （九）纪检监察工作 1、职工无重大违纪违规现象，无严重的违规行医； 2、职工无重大的高药品购入，无索拿卡要等违规现象； 3、开展了酒后驾车违法行为相关知识培训及考试； 4、开展了三医联动督查工作及禁止车辆违停的宣传工作； 5、对乡村医生进行了督查，严格了他们的执业行为，宣传了国家的政策，执行了严格的层级管理。 &amp;nbsp; （十）意识形态工作 认真开展了增强“四个意识”，坚定“四个自信”，做到“两个维护”，认真学习习近平新时代中国特色社会主义思想，切实提高政治判断力，努力提升医疗业务专业知识能力，树立医院风清气正的良好形象。认真开展了医德医风培训和人员素质教育培训，加强了学习，践行承诺，爱岗敬业，注重形象，遵纪守法，廉洁行医，顾全大局，和谐共事，营造了良好的行医环境。严格落实了医疗行业九不准，扎实开展平安医院建设、刹人情歪风等专项行动，保持四风高压态势，杜绝了违法违纪行的为发生。 （十一）医德医风和医药领域腐败问题集中整治工作 通过集中整治，全面落实了廉洁从业九项准则，解决了医药领域腐败问题，推进了医德医风建设，提高了医疗质量与安全水平。 （十二）党建工作 坚持以习近平新时代中国特色社会主义思想为指导，深入开展了党日主题活动12次、开展了组织生活会和民主评议党员会及党员积分管理，按季度按时公开公示进行考评并接受监督，获得了县督导组的一致好评。 （十三）、其他工作 统筹开展了社会治安综合治理、人居环境整治、献血等工作。 二、存在困难 1、人才队伍老化，45岁以上人员占三分之二，未能形成梯队，人才难以引进。 2、业务用房少、住院条件差，无楼层升降机，住院病房不够，部份病房无厕所及中心供养设备。 三、下一步工作打算 1、重点打造中医肛肠科和中医科，申请开设内分泌科。 2、遵循“多劳多得，优绩优酬”的原则，进一步完善绩效方案。 3、加强医院的制度建设，以制度管人管事。 4、强化财务管理工作，加强预算管理与成本核算，进一步开源节流，增收节支。做到无预算不开支，无报告不开。 5、加强医院的文化建设。 </w:t>
            </w:r>
          </w:p>
          <w:p w14:paraId="548ECD71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526B81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FF67F1B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DD5157C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事业单位法人证书：有效期2019年8月28日至2024年8月28日 营业执照有：有效期2022年6月1日至2025年5月31日</w:t>
            </w:r>
          </w:p>
        </w:tc>
      </w:tr>
      <w:tr w14:paraId="29B4A0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0D457B8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2059E34F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65BB03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63F876B2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2B15052E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44B4AFD3">
            <w:pPr>
              <w:jc w:val="left"/>
            </w:pPr>
            <w:r>
              <w:rPr>
                <w:rStyle w:val="14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0C07DDF1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7D652EF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6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15">
    <w:name w:val="hps"/>
    <w:basedOn w:val="13"/>
    <w:uiPriority w:val="0"/>
  </w:style>
  <w:style w:type="character" w:customStyle="1" w:styleId="16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7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9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20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7</Pages>
  <Words>2584</Words>
  <Characters>2726</Characters>
  <Lines>4</Lines>
  <Paragraphs>1</Paragraphs>
  <TotalTime>45456.6562500016</TotalTime>
  <ScaleCrop>false</ScaleCrop>
  <LinksUpToDate>false</LinksUpToDate>
  <CharactersWithSpaces>2819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2024-06-13T07:45:55Z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2BB09E37604D4C0E96536612CE1F3977_13</vt:lpwstr>
  </property>
</Properties>
</file>