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AECA3CD">
      <w:pPr>
        <w:wordWrap w:val="0"/>
        <w:jc w:val="right"/>
        <w:rPr>
          <w:rFonts w:hint="eastAsia" w:ascii="楷体_GB2312" w:eastAsia="楷体_GB2312" w:cs="楷体_GB2312"/>
          <w:b/>
          <w:bCs w:val="0"/>
          <w:sz w:val="30"/>
          <w:szCs w:val="24"/>
          <w:lang w:val="en-US"/>
        </w:rPr>
      </w:pPr>
      <w:r>
        <w:rPr>
          <w:rFonts w:hint="eastAsia" w:ascii="楷体_GB2312" w:eastAsia="楷体_GB2312" w:cs="楷体_GB2312"/>
          <w:b/>
          <w:bCs w:val="0"/>
          <w:sz w:val="30"/>
          <w:szCs w:val="24"/>
          <w:lang w:eastAsia="zh-CN"/>
        </w:rPr>
        <w:t>统一社会信用代码</w:t>
      </w:r>
      <w:r>
        <w:rPr>
          <w:rFonts w:hint="eastAsia" w:ascii="楷体_GB2312" w:eastAsia="楷体_GB2312" w:cs="楷体_GB2312"/>
          <w:b/>
          <w:bCs w:val="0"/>
          <w:sz w:val="30"/>
          <w:szCs w:val="24"/>
          <w:lang w:val="en-US"/>
        </w:rPr>
        <w:t xml:space="preserve">   </w:t>
      </w:r>
    </w:p>
    <w:p w14:paraId="6886A77E">
      <w:pPr>
        <w:wordWrap w:val="0"/>
        <w:jc w:val="right"/>
        <w:rPr>
          <w:rFonts w:eastAsia="楷体_GB2312"/>
          <w:b/>
          <w:bCs/>
          <w:sz w:val="30"/>
          <w:szCs w:val="24"/>
          <w:lang w:val="en-US"/>
        </w:rPr>
      </w:pPr>
      <w:r>
        <w:rPr>
          <w:rFonts w:eastAsia="楷体_GB2312"/>
          <w:b/>
          <w:bCs/>
          <w:sz w:val="30"/>
          <w:szCs w:val="24"/>
          <w:lang w:val="en-US"/>
        </w:rPr>
        <w:t xml:space="preserve">   </w:t>
      </w:r>
      <w:r>
        <w:rPr>
          <w:rStyle w:val="16"/>
          <w:b/>
          <w:bCs/>
          <w:sz w:val="30"/>
          <w:szCs w:val="30"/>
          <w:lang w:val="en-US"/>
        </w:rPr>
        <w:t>12430922MB0N411960</w:t>
      </w:r>
      <w:r>
        <w:rPr>
          <w:rFonts w:eastAsia="楷体_GB2312"/>
          <w:b/>
          <w:bCs/>
          <w:sz w:val="30"/>
          <w:szCs w:val="24"/>
          <w:lang w:val="en-US"/>
        </w:rPr>
        <w:t xml:space="preserve">   </w:t>
      </w:r>
    </w:p>
    <w:p w14:paraId="400DC279">
      <w:pPr>
        <w:jc w:val="right"/>
        <w:rPr>
          <w:lang w:val="en-US"/>
        </w:rPr>
      </w:pPr>
    </w:p>
    <w:p w14:paraId="220FF959">
      <w:pPr>
        <w:jc w:val="right"/>
        <w:rPr>
          <w:lang w:val="en-US"/>
        </w:rPr>
      </w:pPr>
    </w:p>
    <w:p w14:paraId="69106BB8">
      <w:pPr>
        <w:jc w:val="right"/>
        <w:rPr>
          <w:lang w:val="en-US"/>
        </w:rPr>
      </w:pPr>
    </w:p>
    <w:p w14:paraId="7632683F">
      <w:pPr>
        <w:jc w:val="right"/>
        <w:rPr>
          <w:lang w:val="en-US"/>
        </w:rPr>
      </w:pPr>
    </w:p>
    <w:p w14:paraId="6FCB69B7">
      <w:pPr>
        <w:jc w:val="right"/>
        <w:rPr>
          <w:lang w:val="en-US"/>
        </w:rPr>
      </w:pPr>
    </w:p>
    <w:p w14:paraId="6A2FBDE9">
      <w:pPr>
        <w:jc w:val="center"/>
        <w:rPr>
          <w:rFonts w:eastAsia="黑体"/>
          <w:b/>
          <w:bCs/>
          <w:spacing w:val="40"/>
          <w:sz w:val="52"/>
          <w:szCs w:val="24"/>
          <w:lang w:val="en-US"/>
        </w:rPr>
      </w:pPr>
      <w:r>
        <w:rPr>
          <w:rFonts w:hint="eastAsia" w:ascii="Times New Roman" w:hAnsi="宋体" w:eastAsia="黑体" w:cs="黑体"/>
          <w:b/>
          <w:bCs/>
          <w:spacing w:val="40"/>
          <w:sz w:val="52"/>
          <w:szCs w:val="24"/>
          <w:lang w:eastAsia="zh-CN"/>
        </w:rPr>
        <w:t>事业单位法人年度报告书</w:t>
      </w:r>
    </w:p>
    <w:p w14:paraId="7CF82ACB">
      <w:pPr>
        <w:jc w:val="center"/>
        <w:rPr>
          <w:rFonts w:eastAsia="黑体"/>
          <w:b/>
          <w:bCs/>
          <w:spacing w:val="30"/>
          <w:lang w:val="en-US"/>
        </w:rPr>
      </w:pPr>
    </w:p>
    <w:p w14:paraId="6ED26EAD">
      <w:pPr>
        <w:jc w:val="center"/>
        <w:rPr>
          <w:rFonts w:eastAsia="楷体_GB2312"/>
          <w:b/>
          <w:bCs/>
          <w:spacing w:val="30"/>
          <w:sz w:val="36"/>
          <w:szCs w:val="24"/>
          <w:lang w:val="en-US"/>
        </w:rPr>
      </w:pPr>
      <w:r>
        <w:rPr>
          <w:rFonts w:hint="eastAsia" w:ascii="Times New Roman" w:eastAsia="楷体_GB2312" w:cs="楷体_GB2312"/>
          <w:b/>
          <w:bCs/>
          <w:spacing w:val="30"/>
          <w:sz w:val="36"/>
          <w:szCs w:val="24"/>
          <w:lang w:eastAsia="zh-CN"/>
        </w:rPr>
        <w:t>（</w:t>
      </w:r>
      <w:r>
        <w:rPr>
          <w:rFonts w:eastAsia="楷体_GB2312"/>
          <w:b/>
          <w:bCs/>
          <w:spacing w:val="30"/>
          <w:sz w:val="36"/>
          <w:szCs w:val="24"/>
          <w:lang w:val="en-US"/>
        </w:rPr>
        <w:t xml:space="preserve">  </w:t>
      </w:r>
      <w:r>
        <w:rPr>
          <w:rStyle w:val="16"/>
          <w:b/>
          <w:bCs/>
          <w:sz w:val="30"/>
          <w:szCs w:val="30"/>
          <w:lang w:val="en-US"/>
        </w:rPr>
        <w:t>2023</w:t>
      </w:r>
      <w:r>
        <w:rPr>
          <w:rFonts w:eastAsia="楷体_GB2312"/>
          <w:b/>
          <w:bCs/>
          <w:spacing w:val="30"/>
          <w:sz w:val="36"/>
          <w:szCs w:val="24"/>
          <w:lang w:val="en-US"/>
        </w:rPr>
        <w:t xml:space="preserve">  </w:t>
      </w:r>
      <w:r>
        <w:rPr>
          <w:rFonts w:hint="eastAsia" w:ascii="Times New Roman" w:eastAsia="楷体_GB2312" w:cs="楷体_GB2312"/>
          <w:b/>
          <w:bCs/>
          <w:spacing w:val="30"/>
          <w:sz w:val="36"/>
          <w:szCs w:val="24"/>
          <w:lang w:eastAsia="zh-CN"/>
        </w:rPr>
        <w:t>年度）</w:t>
      </w:r>
    </w:p>
    <w:p w14:paraId="7C651EC2">
      <w:pPr>
        <w:jc w:val="center"/>
        <w:rPr>
          <w:sz w:val="36"/>
          <w:szCs w:val="24"/>
          <w:lang w:val="en-US"/>
        </w:rPr>
      </w:pPr>
    </w:p>
    <w:p w14:paraId="68FE8660">
      <w:pPr>
        <w:jc w:val="center"/>
        <w:rPr>
          <w:sz w:val="36"/>
          <w:szCs w:val="24"/>
          <w:lang w:val="en-US"/>
        </w:rPr>
      </w:pPr>
    </w:p>
    <w:p w14:paraId="46EC27E9">
      <w:pPr>
        <w:jc w:val="center"/>
        <w:rPr>
          <w:sz w:val="36"/>
          <w:szCs w:val="24"/>
          <w:lang w:val="en-US"/>
        </w:rPr>
      </w:pPr>
    </w:p>
    <w:p w14:paraId="3239B238">
      <w:pPr>
        <w:jc w:val="center"/>
        <w:rPr>
          <w:sz w:val="36"/>
          <w:szCs w:val="24"/>
          <w:lang w:val="en-US"/>
        </w:rPr>
      </w:pPr>
    </w:p>
    <w:p w14:paraId="71ACB4E2">
      <w:pPr>
        <w:jc w:val="center"/>
        <w:rPr>
          <w:sz w:val="36"/>
          <w:szCs w:val="24"/>
          <w:lang w:val="en-US"/>
        </w:rPr>
      </w:pPr>
    </w:p>
    <w:p w14:paraId="48CB7ACF">
      <w:pPr>
        <w:jc w:val="center"/>
        <w:rPr>
          <w:sz w:val="36"/>
          <w:szCs w:val="24"/>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405"/>
        <w:gridCol w:w="5294"/>
      </w:tblGrid>
      <w:tr w14:paraId="1C4B27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405" w:type="dxa"/>
            <w:shd w:val="clear"/>
            <w:vAlign w:val="bottom"/>
          </w:tcPr>
          <w:p w14:paraId="326EFC54">
            <w:pPr>
              <w:jc w:val="distribute"/>
            </w:pPr>
            <w:r>
              <w:rPr>
                <w:rStyle w:val="17"/>
                <w:b/>
                <w:bCs/>
                <w:sz w:val="36"/>
                <w:szCs w:val="24"/>
                <w:bdr w:val="none" w:color="auto" w:sz="0" w:space="0"/>
              </w:rPr>
              <w:t>单 位 名 称</w:t>
            </w:r>
          </w:p>
        </w:tc>
        <w:tc>
          <w:tcPr>
            <w:tcW w:w="5294" w:type="dxa"/>
            <w:tcBorders>
              <w:top w:val="nil"/>
              <w:left w:val="nil"/>
              <w:bottom w:val="single" w:color="auto" w:sz="12" w:space="0"/>
              <w:right w:val="nil"/>
            </w:tcBorders>
            <w:shd w:val="clear"/>
            <w:vAlign w:val="bottom"/>
          </w:tcPr>
          <w:p w14:paraId="36EF3904">
            <w:pPr>
              <w:jc w:val="center"/>
              <w:rPr>
                <w:rFonts w:hint="eastAsia" w:ascii="楷体_GB2312" w:eastAsia="楷体_GB2312" w:cs="楷体_GB2312"/>
                <w:sz w:val="32"/>
                <w:szCs w:val="24"/>
                <w:bdr w:val="none" w:color="auto" w:sz="0" w:space="0"/>
                <w:lang w:val="en-US"/>
              </w:rPr>
            </w:pPr>
            <w:r>
              <w:rPr>
                <w:rStyle w:val="18"/>
                <w:rFonts w:hint="eastAsia" w:ascii="楷体_GB2312" w:eastAsia="楷体_GB2312" w:cs="楷体_GB2312"/>
                <w:sz w:val="32"/>
                <w:szCs w:val="24"/>
                <w:bdr w:val="none" w:color="auto" w:sz="0" w:space="0"/>
                <w:lang w:val="en-US"/>
              </w:rPr>
              <w:t>桃江县广播电视转播台</w:t>
            </w:r>
          </w:p>
        </w:tc>
      </w:tr>
    </w:tbl>
    <w:p w14:paraId="364DE9E0">
      <w:pPr>
        <w:rPr>
          <w:rFonts w:hint="eastAsia" w:ascii="黑体" w:hAnsi="宋体" w:eastAsia="黑体" w:cs="黑体"/>
          <w:b/>
          <w:bCs/>
          <w:sz w:val="24"/>
          <w:szCs w:val="24"/>
          <w:u w:val="single"/>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365"/>
        <w:gridCol w:w="5254"/>
      </w:tblGrid>
      <w:tr w14:paraId="0ED30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365" w:type="dxa"/>
            <w:shd w:val="clear"/>
            <w:vAlign w:val="bottom"/>
          </w:tcPr>
          <w:p w14:paraId="27A1B4E0">
            <w:pPr>
              <w:jc w:val="distribute"/>
            </w:pPr>
            <w:r>
              <w:rPr>
                <w:rStyle w:val="17"/>
                <w:b/>
                <w:bCs/>
                <w:sz w:val="36"/>
                <w:szCs w:val="24"/>
                <w:bdr w:val="none" w:color="auto" w:sz="0" w:space="0"/>
              </w:rPr>
              <w:t>法</w:t>
            </w:r>
            <w:r>
              <w:rPr>
                <w:rStyle w:val="17"/>
                <w:b/>
                <w:bCs/>
                <w:spacing w:val="30"/>
                <w:sz w:val="36"/>
                <w:szCs w:val="24"/>
                <w:bdr w:val="none" w:color="auto" w:sz="0" w:space="0"/>
              </w:rPr>
              <w:t>定代表</w:t>
            </w:r>
            <w:r>
              <w:rPr>
                <w:rStyle w:val="17"/>
                <w:b/>
                <w:bCs/>
                <w:sz w:val="36"/>
                <w:szCs w:val="24"/>
                <w:bdr w:val="none" w:color="auto" w:sz="0" w:space="0"/>
              </w:rPr>
              <w:t>人</w:t>
            </w:r>
          </w:p>
        </w:tc>
        <w:tc>
          <w:tcPr>
            <w:tcW w:w="5254" w:type="dxa"/>
            <w:tcBorders>
              <w:top w:val="nil"/>
              <w:left w:val="nil"/>
              <w:bottom w:val="single" w:color="auto" w:sz="12" w:space="0"/>
              <w:right w:val="nil"/>
            </w:tcBorders>
            <w:shd w:val="clear"/>
            <w:vAlign w:val="bottom"/>
          </w:tcPr>
          <w:p w14:paraId="1165E6A3">
            <w:pPr>
              <w:keepNext w:val="0"/>
              <w:keepLines w:val="0"/>
              <w:widowControl/>
              <w:suppressLineNumbers w:val="0"/>
              <w:jc w:val="left"/>
              <w:rPr>
                <w:kern w:val="0"/>
                <w:sz w:val="20"/>
                <w:szCs w:val="20"/>
                <w:bdr w:val="none" w:color="auto" w:sz="0" w:space="0"/>
                <w:lang w:val="en-US"/>
              </w:rPr>
            </w:pPr>
          </w:p>
        </w:tc>
      </w:tr>
    </w:tbl>
    <w:p w14:paraId="0D4072A6">
      <w:pPr>
        <w:ind w:left="0" w:firstLine="723" w:firstLineChars="300"/>
        <w:rPr>
          <w:rFonts w:hint="eastAsia" w:ascii="黑体" w:hAnsi="宋体" w:eastAsia="黑体" w:cs="黑体"/>
          <w:b/>
          <w:bCs/>
          <w:sz w:val="24"/>
          <w:szCs w:val="24"/>
          <w:u w:val="single"/>
          <w:lang w:val="en-US"/>
        </w:rPr>
      </w:pPr>
    </w:p>
    <w:p w14:paraId="294F3FB7">
      <w:pPr>
        <w:jc w:val="center"/>
        <w:rPr>
          <w:rFonts w:hint="eastAsia" w:ascii="黑体" w:hAnsi="宋体" w:eastAsia="黑体" w:cs="黑体"/>
          <w:b/>
          <w:bCs/>
          <w:sz w:val="30"/>
          <w:szCs w:val="24"/>
          <w:u w:val="single"/>
          <w:lang w:val="en-US"/>
        </w:rPr>
      </w:pPr>
    </w:p>
    <w:p w14:paraId="6DFF63F2">
      <w:pPr>
        <w:jc w:val="center"/>
        <w:rPr>
          <w:rFonts w:hint="eastAsia" w:ascii="黑体" w:hAnsi="宋体" w:eastAsia="黑体" w:cs="黑体"/>
          <w:b/>
          <w:bCs/>
          <w:sz w:val="30"/>
          <w:szCs w:val="24"/>
          <w:u w:val="single"/>
          <w:lang w:val="en-US"/>
        </w:rPr>
      </w:pPr>
    </w:p>
    <w:p w14:paraId="59FAC3F5">
      <w:pPr>
        <w:jc w:val="center"/>
        <w:rPr>
          <w:u w:val="single"/>
          <w:lang w:val="en-US"/>
        </w:rPr>
      </w:pPr>
    </w:p>
    <w:p w14:paraId="2F96714F">
      <w:pPr>
        <w:jc w:val="center"/>
        <w:rPr>
          <w:rFonts w:eastAsia="楷体_GB2312"/>
          <w:b/>
          <w:bCs/>
          <w:sz w:val="32"/>
          <w:szCs w:val="24"/>
          <w:lang w:val="en-US"/>
        </w:rPr>
      </w:pPr>
      <w:r>
        <w:rPr>
          <w:rFonts w:hint="eastAsia" w:ascii="Times New Roman" w:eastAsia="楷体_GB2312" w:cs="楷体_GB2312"/>
          <w:b/>
          <w:bCs/>
          <w:sz w:val="32"/>
          <w:szCs w:val="24"/>
          <w:lang w:eastAsia="zh-CN"/>
        </w:rPr>
        <w:t>国家事业单位登记管理局制</w:t>
      </w:r>
    </w:p>
    <w:p w14:paraId="01507E2B">
      <w:pPr>
        <w:jc w:val="center"/>
        <w:rPr>
          <w:rFonts w:eastAsia="楷体_GB2312"/>
          <w:b/>
          <w:bCs/>
          <w:sz w:val="32"/>
          <w:szCs w:val="24"/>
          <w:lang w:val="en-US"/>
        </w:rPr>
      </w:pP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108" w:type="dxa"/>
          <w:bottom w:w="0" w:type="dxa"/>
          <w:right w:w="108" w:type="dxa"/>
        </w:tblCellMar>
      </w:tblPr>
      <w:tblGrid>
        <w:gridCol w:w="1560"/>
        <w:gridCol w:w="2031"/>
        <w:gridCol w:w="1796"/>
        <w:gridCol w:w="1702"/>
        <w:gridCol w:w="2452"/>
      </w:tblGrid>
      <w:tr w14:paraId="2E90C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108" w:type="dxa"/>
            <w:bottom w:w="0" w:type="dxa"/>
            <w:right w:w="108" w:type="dxa"/>
          </w:tblCellMar>
        </w:tblPrEx>
        <w:trPr>
          <w:cantSplit/>
          <w:trHeight w:val="821" w:hRule="atLeast"/>
        </w:trPr>
        <w:tc>
          <w:tcPr>
            <w:tcW w:w="1560" w:type="dxa"/>
            <w:vMerge w:val="restart"/>
            <w:tcBorders>
              <w:top w:val="single" w:color="auto" w:sz="12" w:space="0"/>
              <w:left w:val="single" w:color="auto" w:sz="12" w:space="0"/>
              <w:bottom w:val="single" w:color="auto" w:sz="4" w:space="0"/>
              <w:right w:val="single" w:color="auto" w:sz="4" w:space="0"/>
            </w:tcBorders>
            <w:shd w:val="clear"/>
            <w:vAlign w:val="center"/>
          </w:tcPr>
          <w:p w14:paraId="16A4E9D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《事业</w:t>
            </w:r>
          </w:p>
          <w:p w14:paraId="7F15336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w:t>
            </w:r>
          </w:p>
          <w:p w14:paraId="59BFD3D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法人</w:t>
            </w:r>
          </w:p>
          <w:p w14:paraId="33690A7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证书》</w:t>
            </w:r>
          </w:p>
          <w:p w14:paraId="19CFF6F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登载</w:t>
            </w:r>
          </w:p>
          <w:p w14:paraId="3F53223F">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事项</w:t>
            </w:r>
          </w:p>
        </w:tc>
        <w:tc>
          <w:tcPr>
            <w:tcW w:w="2031" w:type="dxa"/>
            <w:tcBorders>
              <w:top w:val="single" w:color="auto" w:sz="12" w:space="0"/>
              <w:left w:val="single" w:color="auto" w:sz="4" w:space="0"/>
              <w:bottom w:val="single" w:color="auto" w:sz="4" w:space="0"/>
              <w:right w:val="single" w:color="auto" w:sz="4" w:space="0"/>
            </w:tcBorders>
            <w:shd w:val="clear"/>
            <w:vAlign w:val="center"/>
          </w:tcPr>
          <w:p w14:paraId="7063828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单位名称</w:t>
            </w:r>
          </w:p>
        </w:tc>
        <w:tc>
          <w:tcPr>
            <w:tcW w:w="5949" w:type="dxa"/>
            <w:gridSpan w:val="3"/>
            <w:tcBorders>
              <w:top w:val="single" w:color="auto" w:sz="12" w:space="0"/>
              <w:left w:val="single" w:color="auto" w:sz="4" w:space="0"/>
              <w:bottom w:val="single" w:color="auto" w:sz="4" w:space="0"/>
              <w:right w:val="single" w:color="auto" w:sz="12" w:space="0"/>
            </w:tcBorders>
            <w:shd w:val="clear"/>
            <w:vAlign w:val="center"/>
          </w:tcPr>
          <w:p w14:paraId="21EA0038">
            <w:pPr>
              <w:spacing w:line="320" w:lineRule="exact"/>
              <w:jc w:val="left"/>
              <w:rPr>
                <w:rFonts w:hint="eastAsia" w:ascii="楷体_GB2312" w:eastAsia="楷体_GB2312" w:cs="楷体_GB2312"/>
                <w:sz w:val="28"/>
                <w:szCs w:val="28"/>
                <w:bdr w:val="none" w:color="auto" w:sz="0" w:space="0"/>
                <w:lang w:val="en-US"/>
              </w:rPr>
            </w:pPr>
            <w:r>
              <w:rPr>
                <w:rStyle w:val="19"/>
                <w:rFonts w:hint="eastAsia" w:ascii="楷体_GB2312" w:eastAsia="楷体_GB2312" w:cs="楷体_GB2312"/>
                <w:sz w:val="28"/>
                <w:szCs w:val="28"/>
                <w:bdr w:val="none" w:color="auto" w:sz="0" w:space="0"/>
                <w:lang w:val="en-US"/>
              </w:rPr>
              <w:t>桃江县广播电视转播台</w:t>
            </w:r>
          </w:p>
        </w:tc>
      </w:tr>
      <w:tr w14:paraId="480BA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7"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1CC78C5">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6574E93">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宗旨和</w:t>
            </w:r>
          </w:p>
          <w:p w14:paraId="63CFF16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业务范围</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7BEB28A8">
            <w:pPr>
              <w:jc w:val="left"/>
              <w:rPr>
                <w:rFonts w:hint="eastAsia" w:ascii="楷体_GB2312" w:eastAsia="楷体_GB2312" w:cs="楷体_GB2312"/>
                <w:sz w:val="28"/>
                <w:szCs w:val="28"/>
                <w:bdr w:val="none" w:color="auto" w:sz="0" w:space="0"/>
                <w:lang w:val="en-US"/>
              </w:rPr>
            </w:pPr>
            <w:r>
              <w:rPr>
                <w:rStyle w:val="19"/>
                <w:rFonts w:hint="eastAsia" w:ascii="楷体_GB2312" w:eastAsia="楷体_GB2312" w:cs="楷体_GB2312"/>
                <w:sz w:val="28"/>
                <w:szCs w:val="28"/>
                <w:bdr w:val="none" w:color="auto" w:sz="0" w:space="0"/>
                <w:lang w:val="en-US"/>
              </w:rPr>
              <w:t>为全县广播电视节目及其他通讯业务提供转播服务</w:t>
            </w:r>
          </w:p>
        </w:tc>
      </w:tr>
      <w:tr w14:paraId="567A8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153B1223">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3404103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住</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所</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64CB192E">
            <w:pPr>
              <w:jc w:val="left"/>
            </w:pPr>
            <w:r>
              <w:rPr>
                <w:rStyle w:val="19"/>
                <w:rFonts w:hint="eastAsia" w:ascii="楷体_GB2312" w:eastAsia="楷体_GB2312" w:cs="楷体_GB2312"/>
                <w:sz w:val="28"/>
                <w:szCs w:val="28"/>
                <w:bdr w:val="none" w:color="auto" w:sz="0" w:space="0"/>
                <w:lang w:val="en-US"/>
              </w:rPr>
              <w:t>桃花江镇芙蓉东路20号</w:t>
            </w:r>
          </w:p>
        </w:tc>
      </w:tr>
      <w:tr w14:paraId="7F1C9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B749079">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7E37D1F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法定代表人</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2B606FB8">
            <w:pPr>
              <w:jc w:val="left"/>
            </w:pPr>
            <w:r>
              <w:rPr>
                <w:rStyle w:val="19"/>
                <w:rFonts w:hint="eastAsia" w:ascii="楷体_GB2312" w:eastAsia="楷体_GB2312" w:cs="楷体_GB2312"/>
                <w:sz w:val="28"/>
                <w:szCs w:val="28"/>
                <w:bdr w:val="none" w:color="auto" w:sz="0" w:space="0"/>
                <w:lang w:val="en-US"/>
              </w:rPr>
              <w:t>吴建平</w:t>
            </w:r>
          </w:p>
        </w:tc>
      </w:tr>
      <w:tr w14:paraId="196C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ABEFFA2">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1F41E5B0">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开办资金</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15A236B6">
            <w:pPr>
              <w:jc w:val="left"/>
              <w:rPr>
                <w:rFonts w:hint="eastAsia" w:ascii="楷体_GB2312" w:eastAsia="楷体_GB2312" w:cs="楷体_GB2312"/>
                <w:sz w:val="28"/>
                <w:szCs w:val="28"/>
                <w:bdr w:val="none" w:color="auto" w:sz="0" w:space="0"/>
                <w:lang w:val="en-US"/>
              </w:rPr>
            </w:pPr>
            <w:r>
              <w:rPr>
                <w:rStyle w:val="19"/>
                <w:rFonts w:hint="eastAsia" w:ascii="楷体_GB2312" w:eastAsia="楷体_GB2312" w:cs="楷体_GB2312"/>
                <w:sz w:val="28"/>
                <w:szCs w:val="28"/>
                <w:bdr w:val="none" w:color="auto" w:sz="0" w:space="0"/>
                <w:lang w:val="en-US"/>
              </w:rPr>
              <w:t>26.8</w:t>
            </w:r>
            <w:r>
              <w:rPr>
                <w:rStyle w:val="19"/>
                <w:rFonts w:hint="eastAsia" w:ascii="楷体_GB2312" w:eastAsia="楷体_GB2312" w:cs="楷体_GB2312"/>
                <w:sz w:val="28"/>
                <w:szCs w:val="28"/>
                <w:bdr w:val="none" w:color="auto" w:sz="0" w:space="0"/>
              </w:rPr>
              <w:t>（万元）</w:t>
            </w:r>
          </w:p>
        </w:tc>
      </w:tr>
      <w:tr w14:paraId="10877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35A8DD16">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64C41EA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经费来源</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685BD955">
            <w:pPr>
              <w:jc w:val="left"/>
              <w:rPr>
                <w:sz w:val="32"/>
                <w:szCs w:val="32"/>
                <w:bdr w:val="none" w:color="auto" w:sz="0" w:space="0"/>
                <w:lang w:val="en-US"/>
              </w:rPr>
            </w:pPr>
            <w:r>
              <w:rPr>
                <w:rStyle w:val="19"/>
                <w:rFonts w:hint="eastAsia" w:ascii="楷体_GB2312" w:eastAsia="楷体_GB2312" w:cs="楷体_GB2312"/>
                <w:sz w:val="28"/>
                <w:szCs w:val="28"/>
                <w:bdr w:val="none" w:color="auto" w:sz="0" w:space="0"/>
                <w:lang w:val="en-US"/>
              </w:rPr>
              <w:t>财政补助</w:t>
            </w:r>
          </w:p>
        </w:tc>
      </w:tr>
      <w:tr w14:paraId="23FE8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437BAD7B">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437BB8D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举办单位</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7E3D09C3">
            <w:pPr>
              <w:jc w:val="left"/>
            </w:pPr>
            <w:r>
              <w:rPr>
                <w:rStyle w:val="19"/>
                <w:rFonts w:hint="eastAsia" w:ascii="楷体_GB2312" w:eastAsia="楷体_GB2312" w:cs="楷体_GB2312"/>
                <w:sz w:val="28"/>
                <w:szCs w:val="28"/>
                <w:bdr w:val="none" w:color="auto" w:sz="0" w:space="0"/>
                <w:lang w:val="en-US"/>
              </w:rPr>
              <w:t>桃江县融媒体中心</w:t>
            </w:r>
          </w:p>
        </w:tc>
      </w:tr>
      <w:tr w14:paraId="3F80D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restart"/>
            <w:tcBorders>
              <w:top w:val="single" w:color="auto" w:sz="4" w:space="0"/>
              <w:left w:val="single" w:color="auto" w:sz="12" w:space="0"/>
              <w:bottom w:val="single" w:color="auto" w:sz="4" w:space="0"/>
              <w:right w:val="single" w:color="auto" w:sz="4" w:space="0"/>
            </w:tcBorders>
            <w:shd w:val="clear"/>
            <w:vAlign w:val="center"/>
          </w:tcPr>
          <w:p w14:paraId="08C5C00C">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资产</w:t>
            </w:r>
          </w:p>
          <w:p w14:paraId="79467424">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损益</w:t>
            </w:r>
          </w:p>
          <w:p w14:paraId="6DD04C94">
            <w:pPr>
              <w:keepNext w:val="0"/>
              <w:keepLines w:val="0"/>
              <w:widowControl/>
              <w:suppressLineNumbers w:val="0"/>
              <w:jc w:val="center"/>
              <w:rPr>
                <w:rFonts w:eastAsia="楷体_GB2312"/>
                <w:sz w:val="32"/>
                <w:szCs w:val="24"/>
                <w:bdr w:val="none" w:color="auto" w:sz="0" w:space="0"/>
                <w:lang w:val="en-US"/>
              </w:rPr>
            </w:pPr>
            <w:r>
              <w:rPr>
                <w:rFonts w:hint="eastAsia" w:ascii="Times New Roman" w:eastAsia="楷体_GB2312" w:cs="楷体_GB2312"/>
                <w:b/>
                <w:bCs w:val="0"/>
                <w:sz w:val="32"/>
                <w:szCs w:val="24"/>
                <w:bdr w:val="none" w:color="auto" w:sz="0" w:space="0"/>
              </w:rPr>
              <w:t>情况</w:t>
            </w:r>
          </w:p>
        </w:tc>
        <w:tc>
          <w:tcPr>
            <w:tcW w:w="7980" w:type="dxa"/>
            <w:gridSpan w:val="4"/>
            <w:tcBorders>
              <w:top w:val="single" w:color="auto" w:sz="4" w:space="0"/>
              <w:left w:val="single" w:color="auto" w:sz="4" w:space="0"/>
              <w:bottom w:val="single" w:color="auto" w:sz="4" w:space="0"/>
              <w:right w:val="single" w:color="auto" w:sz="12" w:space="0"/>
            </w:tcBorders>
            <w:shd w:val="clear"/>
            <w:vAlign w:val="center"/>
          </w:tcPr>
          <w:p w14:paraId="5794D7FD">
            <w:pPr>
              <w:jc w:val="center"/>
              <w:rPr>
                <w:sz w:val="32"/>
                <w:szCs w:val="24"/>
                <w:bdr w:val="none" w:color="auto" w:sz="0" w:space="0"/>
                <w:lang w:val="en-US"/>
              </w:rPr>
            </w:pPr>
            <w:r>
              <w:rPr>
                <w:rStyle w:val="18"/>
                <w:rFonts w:hint="eastAsia" w:ascii="Times New Roman" w:eastAsia="楷体_GB2312" w:cs="楷体_GB2312"/>
                <w:sz w:val="32"/>
                <w:szCs w:val="24"/>
                <w:bdr w:val="none" w:color="auto" w:sz="0" w:space="0"/>
              </w:rPr>
              <w:t>净资产合计（所有者权益合计）</w:t>
            </w:r>
          </w:p>
        </w:tc>
      </w:tr>
      <w:tr w14:paraId="681DD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05CBFDDB">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504D6071">
            <w:pPr>
              <w:jc w:val="center"/>
              <w:rPr>
                <w:sz w:val="32"/>
                <w:szCs w:val="24"/>
                <w:bdr w:val="none" w:color="auto" w:sz="0" w:space="0"/>
                <w:lang w:val="en-US"/>
              </w:rPr>
            </w:pPr>
            <w:r>
              <w:rPr>
                <w:rStyle w:val="18"/>
                <w:rFonts w:hint="eastAsia" w:ascii="Times New Roman" w:eastAsia="楷体_GB2312" w:cs="楷体_GB2312"/>
                <w:sz w:val="32"/>
                <w:szCs w:val="24"/>
                <w:bdr w:val="none" w:color="auto" w:sz="0" w:space="0"/>
              </w:rPr>
              <w:t>年初数（万元）</w:t>
            </w:r>
          </w:p>
        </w:tc>
        <w:tc>
          <w:tcPr>
            <w:tcW w:w="4153" w:type="dxa"/>
            <w:gridSpan w:val="2"/>
            <w:tcBorders>
              <w:top w:val="single" w:color="auto" w:sz="4" w:space="0"/>
              <w:left w:val="single" w:color="auto" w:sz="4" w:space="0"/>
              <w:bottom w:val="single" w:color="auto" w:sz="4" w:space="0"/>
              <w:right w:val="single" w:color="auto" w:sz="12" w:space="0"/>
            </w:tcBorders>
            <w:shd w:val="clear"/>
            <w:vAlign w:val="center"/>
          </w:tcPr>
          <w:p w14:paraId="473F2A2C">
            <w:pPr>
              <w:jc w:val="center"/>
              <w:rPr>
                <w:sz w:val="32"/>
                <w:szCs w:val="24"/>
                <w:bdr w:val="none" w:color="auto" w:sz="0" w:space="0"/>
                <w:lang w:val="en-US"/>
              </w:rPr>
            </w:pPr>
            <w:r>
              <w:rPr>
                <w:rStyle w:val="18"/>
                <w:rFonts w:hint="eastAsia" w:ascii="Times New Roman" w:eastAsia="楷体_GB2312" w:cs="楷体_GB2312"/>
                <w:sz w:val="32"/>
                <w:szCs w:val="24"/>
                <w:bdr w:val="none" w:color="auto" w:sz="0" w:space="0"/>
              </w:rPr>
              <w:t>年末数（万元）</w:t>
            </w:r>
          </w:p>
        </w:tc>
      </w:tr>
      <w:tr w14:paraId="04597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30949BBD">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40DCCAEF">
            <w:pPr>
              <w:jc w:val="center"/>
              <w:rPr>
                <w:sz w:val="32"/>
                <w:szCs w:val="24"/>
                <w:bdr w:val="none" w:color="auto" w:sz="0" w:space="0"/>
                <w:lang w:val="en-US"/>
              </w:rPr>
            </w:pPr>
            <w:r>
              <w:rPr>
                <w:rStyle w:val="18"/>
                <w:sz w:val="32"/>
                <w:szCs w:val="24"/>
                <w:bdr w:val="none" w:color="auto" w:sz="0" w:space="0"/>
                <w:lang w:val="en-US"/>
              </w:rPr>
              <w:t>26.8</w:t>
            </w:r>
          </w:p>
        </w:tc>
        <w:tc>
          <w:tcPr>
            <w:tcW w:w="4153" w:type="dxa"/>
            <w:gridSpan w:val="2"/>
            <w:tcBorders>
              <w:top w:val="single" w:color="auto" w:sz="4" w:space="0"/>
              <w:left w:val="single" w:color="auto" w:sz="4" w:space="0"/>
              <w:bottom w:val="single" w:color="auto" w:sz="4" w:space="0"/>
              <w:right w:val="single" w:color="auto" w:sz="12" w:space="0"/>
            </w:tcBorders>
            <w:shd w:val="clear"/>
            <w:vAlign w:val="top"/>
          </w:tcPr>
          <w:p w14:paraId="54A9922F">
            <w:pPr>
              <w:jc w:val="center"/>
            </w:pPr>
            <w:r>
              <w:rPr>
                <w:rStyle w:val="19"/>
                <w:sz w:val="32"/>
                <w:szCs w:val="32"/>
                <w:bdr w:val="none" w:color="auto" w:sz="0" w:space="0"/>
                <w:lang w:val="en-US"/>
              </w:rPr>
              <w:t>26.8</w:t>
            </w:r>
          </w:p>
        </w:tc>
      </w:tr>
      <w:tr w14:paraId="46A71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2158CC13">
            <w:pPr>
              <w:jc w:val="center"/>
              <w:rPr>
                <w:rFonts w:hint="eastAsia" w:ascii="楷体_GB2312" w:eastAsia="楷体_GB2312" w:cs="楷体_GB2312"/>
                <w:b/>
                <w:bCs/>
                <w:sz w:val="32"/>
                <w:szCs w:val="24"/>
                <w:bdr w:val="none" w:color="auto" w:sz="0" w:space="0"/>
                <w:lang w:val="en-US"/>
              </w:rPr>
            </w:pPr>
            <w:r>
              <w:rPr>
                <w:rFonts w:hint="eastAsia" w:ascii="楷体_GB2312" w:eastAsia="楷体_GB2312" w:cs="楷体_GB2312"/>
                <w:b/>
                <w:bCs/>
                <w:sz w:val="32"/>
                <w:szCs w:val="24"/>
                <w:bdr w:val="none" w:color="auto" w:sz="0" w:space="0"/>
              </w:rPr>
              <w:t>网上名称</w:t>
            </w: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7CAACAC4">
            <w:pPr>
              <w:spacing w:line="0" w:lineRule="atLeast"/>
              <w:jc w:val="left"/>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lang w:val="en-US"/>
              </w:rPr>
              <w:t>桃江县广播电视转播台</w:t>
            </w:r>
          </w:p>
        </w:tc>
        <w:tc>
          <w:tcPr>
            <w:tcW w:w="1702" w:type="dxa"/>
            <w:tcBorders>
              <w:top w:val="single" w:color="auto" w:sz="4" w:space="0"/>
              <w:left w:val="single" w:color="auto" w:sz="4" w:space="0"/>
              <w:bottom w:val="single" w:color="auto" w:sz="4" w:space="0"/>
              <w:right w:val="single" w:color="auto" w:sz="4" w:space="0"/>
            </w:tcBorders>
            <w:shd w:val="clear"/>
            <w:vAlign w:val="center"/>
          </w:tcPr>
          <w:p w14:paraId="456789C7">
            <w:pPr>
              <w:jc w:val="center"/>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rPr>
              <w:t>从业人数</w:t>
            </w:r>
          </w:p>
        </w:tc>
        <w:tc>
          <w:tcPr>
            <w:tcW w:w="2452" w:type="dxa"/>
            <w:tcBorders>
              <w:top w:val="single" w:color="auto" w:sz="4" w:space="0"/>
              <w:left w:val="single" w:color="auto" w:sz="4" w:space="0"/>
              <w:bottom w:val="single" w:color="auto" w:sz="4" w:space="0"/>
              <w:right w:val="single" w:color="auto" w:sz="12" w:space="0"/>
            </w:tcBorders>
            <w:shd w:val="clear"/>
            <w:vAlign w:val="center"/>
          </w:tcPr>
          <w:p w14:paraId="1DCDC3F5">
            <w:pPr>
              <w:spacing w:line="0" w:lineRule="atLeast"/>
              <w:jc w:val="left"/>
              <w:rPr>
                <w:rFonts w:hint="eastAsia" w:ascii="楷体_GB2312" w:eastAsia="楷体_GB2312" w:cs="楷体_GB2312"/>
                <w:sz w:val="32"/>
                <w:szCs w:val="24"/>
                <w:bdr w:val="none" w:color="auto" w:sz="0" w:space="0"/>
                <w:lang w:val="en-US"/>
              </w:rPr>
            </w:pPr>
            <w:r>
              <w:rPr>
                <w:rStyle w:val="18"/>
                <w:sz w:val="32"/>
                <w:szCs w:val="24"/>
                <w:bdr w:val="none" w:color="auto" w:sz="0" w:space="0"/>
                <w:lang w:val="en-US"/>
              </w:rPr>
              <w:t>24</w:t>
            </w:r>
          </w:p>
        </w:tc>
      </w:tr>
      <w:tr w14:paraId="0B2BF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795F4C6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对《条</w:t>
            </w:r>
          </w:p>
          <w:p w14:paraId="0ED5579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例》和</w:t>
            </w:r>
          </w:p>
          <w:p w14:paraId="0ADBFB0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实施细</w:t>
            </w:r>
          </w:p>
          <w:p w14:paraId="7B9D60A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则有关</w:t>
            </w:r>
          </w:p>
          <w:p w14:paraId="44FB22A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变更登</w:t>
            </w:r>
          </w:p>
          <w:p w14:paraId="69C75DD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记规定</w:t>
            </w:r>
          </w:p>
          <w:p w14:paraId="3070C40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的执行</w:t>
            </w:r>
          </w:p>
          <w:p w14:paraId="78EE9AAB">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4C1FA08A">
            <w:pPr>
              <w:spacing w:line="320" w:lineRule="exact"/>
              <w:rPr>
                <w:rFonts w:hint="eastAsia" w:ascii="楷体_GB2312" w:eastAsia="楷体_GB2312" w:cs="楷体_GB2312"/>
                <w:sz w:val="28"/>
                <w:szCs w:val="28"/>
                <w:bdr w:val="none" w:color="auto" w:sz="0" w:space="0"/>
                <w:lang w:val="en-US"/>
              </w:rPr>
            </w:pPr>
            <w:r>
              <w:rPr>
                <w:rStyle w:val="19"/>
                <w:rFonts w:hint="eastAsia" w:ascii="楷体_GB2312" w:eastAsia="楷体_GB2312" w:cs="楷体_GB2312"/>
                <w:sz w:val="28"/>
                <w:szCs w:val="28"/>
                <w:bdr w:val="none" w:color="auto" w:sz="0" w:space="0"/>
                <w:lang w:val="en-US"/>
              </w:rPr>
              <w:t>本年度内无变更内容</w:t>
            </w:r>
          </w:p>
        </w:tc>
      </w:tr>
      <w:tr w14:paraId="16737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4"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6A9966C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w:t>
            </w:r>
          </w:p>
          <w:p w14:paraId="1229C19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展</w:t>
            </w:r>
          </w:p>
          <w:p w14:paraId="3ACB17D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w:t>
            </w:r>
          </w:p>
          <w:p w14:paraId="5F011449">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务</w:t>
            </w:r>
          </w:p>
          <w:p w14:paraId="01EDA03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活</w:t>
            </w:r>
          </w:p>
          <w:p w14:paraId="61B6CAB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动</w:t>
            </w:r>
          </w:p>
          <w:p w14:paraId="4B91642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情</w:t>
            </w:r>
          </w:p>
          <w:p w14:paraId="7174838E">
            <w:pPr>
              <w:jc w:val="center"/>
              <w:rPr>
                <w:u w:val="single"/>
                <w:bdr w:val="none" w:color="auto" w:sz="0" w:space="0"/>
                <w:lang w:val="en-US"/>
              </w:rPr>
            </w:pP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0FAC7A67">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r>
              <w:rPr>
                <w:rStyle w:val="19"/>
                <w:rFonts w:hint="eastAsia" w:ascii="楷体_GB2312" w:eastAsia="楷体_GB2312" w:cs="楷体_GB2312"/>
                <w:sz w:val="28"/>
                <w:szCs w:val="24"/>
                <w:bdr w:val="none" w:color="auto" w:sz="0" w:space="0"/>
                <w:lang w:val="en-US"/>
              </w:rPr>
              <w:t xml:space="preserve">桃江县广播电视转播台担负着全县广大无线信号收视群体的电视转播业务和相关社会服务。桃江县广播电视转播台在2023年对播控机房、转播机房进行了维修维护，进一步改善转播质量，坚持底线思维，健全和完善重要安全播出保障期相关制度；实行领导带班、中层干部、技术人员值班以及专门岗位24小时值班制度，保证广播电视信号传输、覆盖完整和安全，高质量地完成转播、传输任务，使桃江电视台、湖南台、中央台、中央人民广播电台、湖南人民广播电台、桃江人民广播电台的无线覆盖率和稳定运行都有了很大提高，无线覆盖本县98%的地域和周边10多个县市区。 </w:t>
            </w:r>
          </w:p>
          <w:p w14:paraId="04EB1DCC">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p>
        </w:tc>
      </w:tr>
      <w:tr w14:paraId="41383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43E66B65">
            <w:pP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相关资质认可或执业许可证明文件及有效期</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3997990D">
            <w:pPr>
              <w:spacing w:line="320" w:lineRule="exact"/>
              <w:rPr>
                <w:rFonts w:hint="eastAsia" w:ascii="楷体_GB2312" w:eastAsia="楷体_GB2312" w:cs="楷体_GB2312"/>
                <w:sz w:val="28"/>
                <w:szCs w:val="28"/>
                <w:bdr w:val="none" w:color="auto" w:sz="0" w:space="0"/>
                <w:lang w:val="en-US"/>
              </w:rPr>
            </w:pPr>
            <w:r>
              <w:rPr>
                <w:rStyle w:val="19"/>
                <w:rFonts w:hint="eastAsia" w:ascii="楷体_GB2312" w:eastAsia="楷体_GB2312" w:cs="楷体_GB2312"/>
                <w:sz w:val="28"/>
                <w:szCs w:val="24"/>
                <w:bdr w:val="none" w:color="auto" w:sz="0" w:space="0"/>
                <w:lang w:val="en-US"/>
              </w:rPr>
              <w:t>无</w:t>
            </w:r>
          </w:p>
        </w:tc>
      </w:tr>
      <w:tr w14:paraId="5761A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2EB577CE">
            <w:pPr>
              <w:spacing w:line="0" w:lineRule="atLeast"/>
            </w:pPr>
            <w:r>
              <w:rPr>
                <w:rFonts w:hint="eastAsia" w:ascii="Times New Roman" w:eastAsia="楷体_GB2312" w:cs="楷体_GB2312"/>
                <w:b/>
                <w:bCs/>
                <w:sz w:val="32"/>
                <w:szCs w:val="24"/>
                <w:bdr w:val="none" w:color="auto" w:sz="0" w:space="0"/>
              </w:rPr>
              <w:t>绩</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效</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和受奖惩及诉讼投诉情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4" w:space="0"/>
              <w:right w:val="single" w:color="auto" w:sz="12" w:space="0"/>
            </w:tcBorders>
            <w:shd w:val="clear"/>
            <w:vAlign w:val="top"/>
          </w:tcPr>
          <w:p w14:paraId="0A955BE3">
            <w:pPr>
              <w:jc w:val="left"/>
            </w:pPr>
            <w:r>
              <w:rPr>
                <w:rStyle w:val="19"/>
                <w:rFonts w:hint="eastAsia" w:ascii="楷体_GB2312" w:eastAsia="楷体_GB2312" w:cs="楷体_GB2312"/>
                <w:sz w:val="28"/>
                <w:szCs w:val="28"/>
                <w:bdr w:val="none" w:color="auto" w:sz="0" w:space="0"/>
                <w:lang w:val="en-US"/>
              </w:rPr>
              <w:t>无</w:t>
            </w:r>
          </w:p>
        </w:tc>
      </w:tr>
      <w:tr w14:paraId="284AE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03F641F0">
            <w:pPr>
              <w:spacing w:line="0" w:lineRule="atLeast"/>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接受捐赠</w:t>
            </w:r>
          </w:p>
          <w:p w14:paraId="5A3A5493">
            <w:pPr>
              <w:spacing w:line="0" w:lineRule="atLeast"/>
            </w:pPr>
            <w:r>
              <w:rPr>
                <w:rFonts w:hint="eastAsia" w:ascii="Times New Roman" w:eastAsia="楷体_GB2312" w:cs="楷体_GB2312"/>
                <w:b/>
                <w:bCs/>
                <w:sz w:val="32"/>
                <w:szCs w:val="24"/>
                <w:bdr w:val="none" w:color="auto" w:sz="0" w:space="0"/>
              </w:rPr>
              <w:t>资助及使用</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54BA3306">
            <w:pPr>
              <w:jc w:val="left"/>
            </w:pPr>
            <w:r>
              <w:rPr>
                <w:rStyle w:val="19"/>
                <w:rFonts w:hint="eastAsia" w:ascii="楷体_GB2312" w:eastAsia="楷体_GB2312" w:cs="楷体_GB2312"/>
                <w:sz w:val="28"/>
                <w:szCs w:val="28"/>
                <w:bdr w:val="none" w:color="auto" w:sz="0" w:space="0"/>
                <w:lang w:val="en-US"/>
              </w:rPr>
              <w:t>无</w:t>
            </w:r>
          </w:p>
        </w:tc>
      </w:tr>
    </w:tbl>
    <w:p w14:paraId="41774685">
      <w:pPr>
        <w:jc w:val="left"/>
        <w:rPr>
          <w:rFonts w:hint="eastAsia" w:ascii="楷体_GB2312" w:eastAsia="楷体_GB2312" w:cs="楷体_GB2312"/>
          <w:b/>
          <w:bCs/>
          <w:sz w:val="28"/>
          <w:szCs w:val="28"/>
          <w:lang w:val="en-US"/>
        </w:rPr>
      </w:pPr>
    </w:p>
    <w:sectPr>
      <w:pgSz w:w="11906" w:h="16838"/>
      <w:pgMar w:top="1440" w:right="1135" w:bottom="1440" w:left="1135" w:header="851" w:footer="992" w:gutter="0"/>
      <w:paperSrc/>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fixed"/>
    <w:sig w:usb0="00000001" w:usb1="080E0000" w:usb2="00000000" w:usb3="00000000" w:csb0="00040000" w:csb1="00000000"/>
  </w:font>
  <w:font w:name="Cambria Math">
    <w:panose1 w:val="02040503050406030204"/>
    <w:charset w:val="01"/>
    <w:family w:val="auto"/>
    <w:pitch w:val="variable"/>
    <w:sig w:usb0="E00002FF" w:usb1="420024FF" w:usb2="00000000" w:usb3="00000000" w:csb0="2000019F" w:csb1="00000000"/>
  </w:font>
  <w:font w:name="楷体_GB2312">
    <w:panose1 w:val="02010609030101010101"/>
    <w:charset w:val="86"/>
    <w:family w:val="auto"/>
    <w:pitch w:val="fixed"/>
    <w:sig w:usb0="00000001" w:usb1="080E0000" w:usb2="00000000" w:usb3="00000000" w:csb0="00040000" w:csb1="00000000"/>
  </w:font>
  <w:font w:name="@宋体">
    <w:panose1 w:val="02010600030101010101"/>
    <w:charset w:val="86"/>
    <w:family w:val="auto"/>
    <w:pitch w:val="variable"/>
    <w:sig w:usb0="00000003" w:usb1="288F0000" w:usb2="00000006" w:usb3="00000000" w:csb0="00040001" w:csb1="00000000"/>
  </w:font>
  <w:font w:name="@黑体">
    <w:panose1 w:val="02010609060101010101"/>
    <w:charset w:val="86"/>
    <w:family w:val="auto"/>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0"/>
  <w:displayVerticalDrawingGridEvery w:val="2"/>
  <w:characterSpacingControl w:val="compressPunctuation"/>
  <w:footnotePr>
    <w:footnote w:id="0"/>
    <w:footnote w:id="1"/>
  </w:footnotePr>
  <w:compat>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IyN2U2NjRhN2NiMzUxYTA1NjlkZWExMDEwNWQifQ=="/>
  </w:docVars>
  <w:rsids>
    <w:rsidRoot w:val="00000000"/>
    <w:rsid w:val="12057B1E"/>
    <w:rsid w:val="38B2348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semiHidden/>
    <w:unhideWhenUsed/>
    <w:uiPriority w:val="99"/>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styleId="2">
    <w:name w:val="heading 1"/>
    <w:basedOn w:val="1"/>
    <w:next w:val="1"/>
    <w:qFormat/>
    <w:uiPriority w:val="9"/>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9"/>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9"/>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9"/>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9"/>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9"/>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uiPriority w:val="99"/>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footer"/>
    <w:basedOn w:val="1"/>
    <w:link w:val="15"/>
    <w:semiHidden/>
    <w:unhideWhenUsed/>
    <w:uiPriority w:val="99"/>
    <w:pPr>
      <w:keepNext w:val="0"/>
      <w:keepLines w:val="0"/>
      <w:widowControl w:val="0"/>
      <w:suppressLineNumbers w:val="0"/>
      <w:tabs>
        <w:tab w:val="center" w:pos="4153"/>
        <w:tab w:val="right" w:pos="8306"/>
      </w:tabs>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9">
    <w:name w:val="header"/>
    <w:basedOn w:val="1"/>
    <w:link w:val="14"/>
    <w:semiHidden/>
    <w:unhideWhenUsed/>
    <w:uiPriority w:val="99"/>
    <w:pPr>
      <w:keepNext w:val="0"/>
      <w:keepLines w:val="0"/>
      <w:widowControl w:val="0"/>
      <w:suppressLineNumbers w:val="0"/>
      <w:pBdr>
        <w:top w:val="none" w:color="auto" w:sz="0" w:space="0"/>
        <w:left w:val="none" w:color="auto" w:sz="0" w:space="0"/>
        <w:bottom w:val="single" w:color="auto" w:sz="6" w:space="1"/>
        <w:right w:val="none" w:color="auto" w:sz="0" w:space="0"/>
      </w:pBdr>
      <w:tabs>
        <w:tab w:val="center" w:pos="4153"/>
        <w:tab w:val="right" w:pos="8306"/>
      </w:tabs>
      <w:snapToGrid w:val="0"/>
      <w:spacing w:before="0" w:beforeAutospacing="0" w:after="0" w:afterAutospacing="0"/>
      <w:ind w:left="0" w:right="0"/>
      <w:jc w:val="center"/>
    </w:pPr>
    <w:rPr>
      <w:rFonts w:hint="default" w:ascii="Times New Roman" w:hAnsi="Times New Roman" w:eastAsia="宋体" w:cs="Times New Roman"/>
      <w:kern w:val="2"/>
      <w:sz w:val="18"/>
      <w:szCs w:val="18"/>
      <w:lang w:val="en-US" w:eastAsia="zh-CN" w:bidi="ar"/>
    </w:rPr>
  </w:style>
  <w:style w:type="paragraph" w:styleId="10">
    <w:name w:val="HTML Preformatted"/>
    <w:basedOn w:val="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uiPriority w:val="99"/>
    <w:pPr>
      <w:widowControl/>
      <w:spacing w:before="0" w:beforeAutospacing="1" w:after="0" w:afterAutospacing="1"/>
      <w:ind w:left="0" w:right="0"/>
      <w:jc w:val="left"/>
    </w:pPr>
    <w:rPr>
      <w:rFonts w:ascii="宋体" w:hAnsi="宋体" w:eastAsia="宋体" w:cs="宋体"/>
      <w:kern w:val="0"/>
      <w:sz w:val="24"/>
      <w:lang w:val="en-US" w:eastAsia="zh-CN" w:bidi="ar"/>
    </w:rPr>
  </w:style>
  <w:style w:type="character" w:customStyle="1" w:styleId="14">
    <w:name w:val="页眉 Char"/>
    <w:basedOn w:val="13"/>
    <w:link w:val="9"/>
    <w:locked/>
    <w:uiPriority w:val="0"/>
    <w:rPr>
      <w:rFonts w:hint="default" w:ascii="Times New Roman" w:hAnsi="Times New Roman" w:eastAsia="宋体" w:cs="Times New Roman"/>
      <w:sz w:val="18"/>
      <w:szCs w:val="18"/>
    </w:rPr>
  </w:style>
  <w:style w:type="character" w:customStyle="1" w:styleId="15">
    <w:name w:val="页脚 Char"/>
    <w:basedOn w:val="13"/>
    <w:link w:val="8"/>
    <w:locked/>
    <w:uiPriority w:val="0"/>
    <w:rPr>
      <w:rFonts w:hint="default" w:ascii="Times New Roman" w:hAnsi="Times New Roman" w:eastAsia="宋体" w:cs="Times New Roman"/>
      <w:sz w:val="18"/>
      <w:szCs w:val="18"/>
    </w:rPr>
  </w:style>
  <w:style w:type="character" w:customStyle="1" w:styleId="16">
    <w:name w:val="font21"/>
    <w:basedOn w:val="13"/>
    <w:uiPriority w:val="0"/>
    <w:rPr>
      <w:rFonts w:hint="default" w:ascii="Times New Roman" w:hAnsi="Times New Roman" w:eastAsia="楷体_GB2312" w:cs="Times New Roman"/>
      <w:sz w:val="30"/>
      <w:szCs w:val="24"/>
    </w:rPr>
  </w:style>
  <w:style w:type="character" w:customStyle="1" w:styleId="17">
    <w:name w:val="font51"/>
    <w:basedOn w:val="13"/>
    <w:uiPriority w:val="0"/>
    <w:rPr>
      <w:rFonts w:hint="eastAsia" w:ascii="黑体" w:hAnsi="宋体" w:eastAsia="黑体" w:cs="黑体"/>
      <w:sz w:val="36"/>
      <w:szCs w:val="24"/>
    </w:rPr>
  </w:style>
  <w:style w:type="character" w:customStyle="1" w:styleId="18">
    <w:name w:val="font61"/>
    <w:basedOn w:val="13"/>
    <w:uiPriority w:val="0"/>
    <w:rPr>
      <w:rFonts w:hint="default" w:ascii="Times New Roman" w:hAnsi="Times New Roman" w:eastAsia="楷体_GB2312" w:cs="Times New Roman"/>
      <w:sz w:val="32"/>
      <w:szCs w:val="24"/>
    </w:rPr>
  </w:style>
  <w:style w:type="character" w:customStyle="1" w:styleId="19">
    <w:name w:val="font71"/>
    <w:basedOn w:val="13"/>
    <w:uiPriority w:val="0"/>
    <w:rPr>
      <w:rFonts w:hint="default" w:ascii="Times New Roman" w:hAnsi="Times New Roman" w:eastAsia="楷体_GB2312" w:cs="Times New Roman"/>
      <w:sz w:val="28"/>
      <w:szCs w:val="24"/>
    </w:rPr>
  </w:style>
  <w:style w:type="character" w:customStyle="1" w:styleId="20">
    <w:name w:val="hps"/>
    <w:basedOn w:val="13"/>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WwW.YlmF.CoM</Company>
  <Pages>4</Pages>
  <Words>579</Words>
  <Characters>632</Characters>
  <Lines>4</Lines>
  <Paragraphs>1</Paragraphs>
  <TotalTime>45455.6875000016</TotalTime>
  <ScaleCrop>false</ScaleCrop>
  <LinksUpToDate>false</LinksUpToDate>
  <CharactersWithSpaces>668</CharactersWithSpaces>
  <Application>WPS Office_12.1.0.17133_F1E327BC-269C-435d-A152-05C5408002CA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1899-12-29T16:00:00Z</dcterms:created>
  <dc:creator>雨林木风</dc:creator>
  <cp:lastModifiedBy>Administrator</cp:lastModifiedBy>
  <dcterms:modified xsi:type="dcterms:W3CDTF">2024-06-12T09:10:47Z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97E676B39AEB42598D0773E60F1067CE_13</vt:lpwstr>
  </property>
</Properties>
</file>