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8EA66F8">
      <w:pPr>
        <w:wordWrap w:val="0"/>
        <w:jc w:val="right"/>
        <w:rPr>
          <w:rFonts w:hint="eastAsia" w:ascii="楷体_GB2312" w:eastAsia="楷体_GB2312" w:cs="楷体_GB2312"/>
          <w:b/>
          <w:bCs w:val="0"/>
          <w:sz w:val="30"/>
          <w:szCs w:val="24"/>
          <w:lang w:val="en-US"/>
        </w:rPr>
      </w:pPr>
      <w:r>
        <w:rPr>
          <w:rFonts w:hint="eastAsia" w:ascii="楷体_GB2312" w:eastAsia="楷体_GB2312" w:cs="楷体_GB2312"/>
          <w:b/>
          <w:bCs w:val="0"/>
          <w:sz w:val="30"/>
          <w:szCs w:val="24"/>
          <w:lang w:eastAsia="zh-CN"/>
        </w:rPr>
        <w:t>统一社会信用代码</w:t>
      </w:r>
      <w:r>
        <w:rPr>
          <w:rFonts w:hint="eastAsia" w:ascii="楷体_GB2312" w:eastAsia="楷体_GB2312" w:cs="楷体_GB2312"/>
          <w:b/>
          <w:bCs w:val="0"/>
          <w:sz w:val="30"/>
          <w:szCs w:val="24"/>
          <w:lang w:val="en-US"/>
        </w:rPr>
        <w:t xml:space="preserve">   </w:t>
      </w:r>
    </w:p>
    <w:p w14:paraId="36193612">
      <w:pPr>
        <w:wordWrap w:val="0"/>
        <w:jc w:val="right"/>
        <w:rPr>
          <w:rFonts w:eastAsia="楷体_GB2312"/>
          <w:b/>
          <w:bCs/>
          <w:sz w:val="30"/>
          <w:szCs w:val="24"/>
          <w:lang w:val="en-US"/>
        </w:rPr>
      </w:pPr>
      <w:r>
        <w:rPr>
          <w:rFonts w:eastAsia="楷体_GB2312"/>
          <w:b/>
          <w:bCs/>
          <w:sz w:val="30"/>
          <w:szCs w:val="24"/>
          <w:lang w:val="en-US"/>
        </w:rPr>
        <w:t xml:space="preserve">   </w:t>
      </w:r>
      <w:r>
        <w:rPr>
          <w:rStyle w:val="18"/>
          <w:b/>
          <w:bCs/>
          <w:sz w:val="30"/>
          <w:szCs w:val="30"/>
          <w:lang w:val="en-US"/>
        </w:rPr>
        <w:t>12430922447019234Y</w:t>
      </w:r>
      <w:r>
        <w:rPr>
          <w:rFonts w:eastAsia="楷体_GB2312"/>
          <w:b/>
          <w:bCs/>
          <w:sz w:val="30"/>
          <w:szCs w:val="24"/>
          <w:lang w:val="en-US"/>
        </w:rPr>
        <w:t xml:space="preserve">   </w:t>
      </w:r>
    </w:p>
    <w:p w14:paraId="1294C33A">
      <w:pPr>
        <w:jc w:val="right"/>
        <w:rPr>
          <w:lang w:val="en-US"/>
        </w:rPr>
      </w:pPr>
    </w:p>
    <w:p w14:paraId="499331FD">
      <w:pPr>
        <w:jc w:val="right"/>
        <w:rPr>
          <w:lang w:val="en-US"/>
        </w:rPr>
      </w:pPr>
    </w:p>
    <w:p w14:paraId="71D9F8F3">
      <w:pPr>
        <w:jc w:val="right"/>
        <w:rPr>
          <w:lang w:val="en-US"/>
        </w:rPr>
      </w:pPr>
    </w:p>
    <w:p w14:paraId="42560D08">
      <w:pPr>
        <w:jc w:val="right"/>
        <w:rPr>
          <w:lang w:val="en-US"/>
        </w:rPr>
      </w:pPr>
    </w:p>
    <w:p w14:paraId="5F18CE06">
      <w:pPr>
        <w:jc w:val="right"/>
        <w:rPr>
          <w:lang w:val="en-US"/>
        </w:rPr>
      </w:pPr>
    </w:p>
    <w:p w14:paraId="5EA61EED">
      <w:pPr>
        <w:jc w:val="center"/>
        <w:rPr>
          <w:rFonts w:eastAsia="黑体"/>
          <w:b/>
          <w:bCs/>
          <w:spacing w:val="40"/>
          <w:sz w:val="52"/>
          <w:szCs w:val="24"/>
          <w:lang w:val="en-US"/>
        </w:rPr>
      </w:pPr>
      <w:r>
        <w:rPr>
          <w:rFonts w:hint="eastAsia" w:ascii="Times New Roman" w:hAnsi="宋体" w:eastAsia="黑体" w:cs="黑体"/>
          <w:b/>
          <w:bCs/>
          <w:spacing w:val="40"/>
          <w:sz w:val="52"/>
          <w:szCs w:val="24"/>
          <w:lang w:eastAsia="zh-CN"/>
        </w:rPr>
        <w:t>事业单位法人年度报告书</w:t>
      </w:r>
    </w:p>
    <w:p w14:paraId="14FF04FE">
      <w:pPr>
        <w:jc w:val="center"/>
        <w:rPr>
          <w:rFonts w:eastAsia="黑体"/>
          <w:b/>
          <w:bCs/>
          <w:spacing w:val="30"/>
          <w:lang w:val="en-US"/>
        </w:rPr>
      </w:pPr>
    </w:p>
    <w:p w14:paraId="49D9C750">
      <w:pPr>
        <w:jc w:val="center"/>
        <w:rPr>
          <w:rFonts w:eastAsia="楷体_GB2312"/>
          <w:b/>
          <w:bCs/>
          <w:spacing w:val="30"/>
          <w:sz w:val="36"/>
          <w:szCs w:val="24"/>
          <w:lang w:val="en-US"/>
        </w:rPr>
      </w:pPr>
      <w:r>
        <w:rPr>
          <w:rFonts w:hint="eastAsia" w:ascii="Times New Roman" w:eastAsia="楷体_GB2312" w:cs="楷体_GB2312"/>
          <w:b/>
          <w:bCs/>
          <w:spacing w:val="30"/>
          <w:sz w:val="36"/>
          <w:szCs w:val="24"/>
          <w:lang w:eastAsia="zh-CN"/>
        </w:rPr>
        <w:t>（</w:t>
      </w:r>
      <w:r>
        <w:rPr>
          <w:rFonts w:eastAsia="楷体_GB2312"/>
          <w:b/>
          <w:bCs/>
          <w:spacing w:val="30"/>
          <w:sz w:val="36"/>
          <w:szCs w:val="24"/>
          <w:lang w:val="en-US"/>
        </w:rPr>
        <w:t xml:space="preserve">  </w:t>
      </w:r>
      <w:r>
        <w:rPr>
          <w:rStyle w:val="18"/>
          <w:b/>
          <w:bCs/>
          <w:sz w:val="30"/>
          <w:szCs w:val="30"/>
          <w:lang w:val="en-US"/>
        </w:rPr>
        <w:t>2023</w:t>
      </w:r>
      <w:r>
        <w:rPr>
          <w:rFonts w:eastAsia="楷体_GB2312"/>
          <w:b/>
          <w:bCs/>
          <w:spacing w:val="30"/>
          <w:sz w:val="36"/>
          <w:szCs w:val="24"/>
          <w:lang w:val="en-US"/>
        </w:rPr>
        <w:t xml:space="preserve">  </w:t>
      </w:r>
      <w:r>
        <w:rPr>
          <w:rFonts w:hint="eastAsia" w:ascii="Times New Roman" w:eastAsia="楷体_GB2312" w:cs="楷体_GB2312"/>
          <w:b/>
          <w:bCs/>
          <w:spacing w:val="30"/>
          <w:sz w:val="36"/>
          <w:szCs w:val="24"/>
          <w:lang w:eastAsia="zh-CN"/>
        </w:rPr>
        <w:t>年度）</w:t>
      </w:r>
    </w:p>
    <w:p w14:paraId="074D21AD">
      <w:pPr>
        <w:jc w:val="center"/>
        <w:rPr>
          <w:sz w:val="36"/>
          <w:szCs w:val="24"/>
          <w:lang w:val="en-US"/>
        </w:rPr>
      </w:pPr>
    </w:p>
    <w:p w14:paraId="1B001DAC">
      <w:pPr>
        <w:jc w:val="center"/>
        <w:rPr>
          <w:sz w:val="36"/>
          <w:szCs w:val="24"/>
          <w:lang w:val="en-US"/>
        </w:rPr>
      </w:pPr>
    </w:p>
    <w:p w14:paraId="5E04D4A1">
      <w:pPr>
        <w:jc w:val="center"/>
        <w:rPr>
          <w:sz w:val="36"/>
          <w:szCs w:val="24"/>
          <w:lang w:val="en-US"/>
        </w:rPr>
      </w:pPr>
    </w:p>
    <w:p w14:paraId="5086A54E">
      <w:pPr>
        <w:jc w:val="center"/>
        <w:rPr>
          <w:sz w:val="36"/>
          <w:szCs w:val="24"/>
          <w:lang w:val="en-US"/>
        </w:rPr>
      </w:pPr>
    </w:p>
    <w:p w14:paraId="60887C7E">
      <w:pPr>
        <w:jc w:val="center"/>
        <w:rPr>
          <w:sz w:val="36"/>
          <w:szCs w:val="24"/>
          <w:lang w:val="en-US"/>
        </w:rPr>
      </w:pPr>
    </w:p>
    <w:p w14:paraId="1FBA3680">
      <w:pPr>
        <w:jc w:val="center"/>
        <w:rPr>
          <w:sz w:val="36"/>
          <w:szCs w:val="24"/>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405"/>
        <w:gridCol w:w="5294"/>
      </w:tblGrid>
      <w:tr w14:paraId="17856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405" w:type="dxa"/>
            <w:shd w:val="clear"/>
            <w:vAlign w:val="bottom"/>
          </w:tcPr>
          <w:p w14:paraId="36DAFCC7">
            <w:pPr>
              <w:jc w:val="distribute"/>
            </w:pPr>
            <w:r>
              <w:rPr>
                <w:rStyle w:val="15"/>
                <w:b/>
                <w:bCs/>
                <w:sz w:val="36"/>
                <w:szCs w:val="24"/>
                <w:bdr w:val="none" w:color="auto" w:sz="0" w:space="0"/>
              </w:rPr>
              <w:t>单 位 名 称</w:t>
            </w:r>
          </w:p>
        </w:tc>
        <w:tc>
          <w:tcPr>
            <w:tcW w:w="5294" w:type="dxa"/>
            <w:tcBorders>
              <w:top w:val="nil"/>
              <w:left w:val="nil"/>
              <w:bottom w:val="single" w:color="auto" w:sz="12" w:space="0"/>
              <w:right w:val="nil"/>
            </w:tcBorders>
            <w:shd w:val="clear"/>
            <w:vAlign w:val="bottom"/>
          </w:tcPr>
          <w:p w14:paraId="3924BCB7">
            <w:pPr>
              <w:jc w:val="center"/>
              <w:rPr>
                <w:rFonts w:hint="eastAsia" w:ascii="楷体_GB2312" w:eastAsia="楷体_GB2312" w:cs="楷体_GB2312"/>
                <w:sz w:val="32"/>
                <w:szCs w:val="24"/>
                <w:bdr w:val="none" w:color="auto" w:sz="0" w:space="0"/>
                <w:lang w:val="en-US"/>
              </w:rPr>
            </w:pPr>
            <w:r>
              <w:rPr>
                <w:rStyle w:val="19"/>
                <w:rFonts w:hint="eastAsia" w:ascii="楷体_GB2312" w:eastAsia="楷体_GB2312" w:cs="楷体_GB2312"/>
                <w:sz w:val="32"/>
                <w:szCs w:val="24"/>
                <w:bdr w:val="none" w:color="auto" w:sz="0" w:space="0"/>
                <w:lang w:val="en-US"/>
              </w:rPr>
              <w:t>桃江县光荣院</w:t>
            </w:r>
          </w:p>
        </w:tc>
      </w:tr>
    </w:tbl>
    <w:p w14:paraId="350AAAD7">
      <w:pPr>
        <w:rPr>
          <w:rFonts w:hint="eastAsia" w:ascii="黑体" w:hAnsi="宋体" w:eastAsia="黑体" w:cs="黑体"/>
          <w:b/>
          <w:bCs/>
          <w:sz w:val="24"/>
          <w:szCs w:val="24"/>
          <w:u w:val="single"/>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365"/>
        <w:gridCol w:w="5254"/>
      </w:tblGrid>
      <w:tr w14:paraId="1210B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365" w:type="dxa"/>
            <w:shd w:val="clear"/>
            <w:vAlign w:val="bottom"/>
          </w:tcPr>
          <w:p w14:paraId="0E6E5693">
            <w:pPr>
              <w:jc w:val="distribute"/>
            </w:pPr>
            <w:r>
              <w:rPr>
                <w:rStyle w:val="15"/>
                <w:b/>
                <w:bCs/>
                <w:sz w:val="36"/>
                <w:szCs w:val="24"/>
                <w:bdr w:val="none" w:color="auto" w:sz="0" w:space="0"/>
              </w:rPr>
              <w:t>法</w:t>
            </w:r>
            <w:r>
              <w:rPr>
                <w:rStyle w:val="15"/>
                <w:b/>
                <w:bCs/>
                <w:spacing w:val="30"/>
                <w:sz w:val="36"/>
                <w:szCs w:val="24"/>
                <w:bdr w:val="none" w:color="auto" w:sz="0" w:space="0"/>
              </w:rPr>
              <w:t>定代表</w:t>
            </w:r>
            <w:r>
              <w:rPr>
                <w:rStyle w:val="15"/>
                <w:b/>
                <w:bCs/>
                <w:sz w:val="36"/>
                <w:szCs w:val="24"/>
                <w:bdr w:val="none" w:color="auto" w:sz="0" w:space="0"/>
              </w:rPr>
              <w:t>人</w:t>
            </w:r>
          </w:p>
        </w:tc>
        <w:tc>
          <w:tcPr>
            <w:tcW w:w="5254" w:type="dxa"/>
            <w:tcBorders>
              <w:top w:val="nil"/>
              <w:left w:val="nil"/>
              <w:bottom w:val="single" w:color="auto" w:sz="12" w:space="0"/>
              <w:right w:val="nil"/>
            </w:tcBorders>
            <w:shd w:val="clear"/>
            <w:vAlign w:val="bottom"/>
          </w:tcPr>
          <w:p w14:paraId="5E4EE41B">
            <w:pPr>
              <w:keepNext w:val="0"/>
              <w:keepLines w:val="0"/>
              <w:widowControl/>
              <w:suppressLineNumbers w:val="0"/>
              <w:jc w:val="left"/>
              <w:rPr>
                <w:kern w:val="0"/>
                <w:sz w:val="20"/>
                <w:szCs w:val="20"/>
                <w:bdr w:val="none" w:color="auto" w:sz="0" w:space="0"/>
                <w:lang w:val="en-US"/>
              </w:rPr>
            </w:pPr>
          </w:p>
        </w:tc>
      </w:tr>
    </w:tbl>
    <w:p w14:paraId="63372665">
      <w:pPr>
        <w:ind w:left="0" w:firstLine="723" w:firstLineChars="300"/>
        <w:rPr>
          <w:rFonts w:hint="eastAsia" w:ascii="黑体" w:hAnsi="宋体" w:eastAsia="黑体" w:cs="黑体"/>
          <w:b/>
          <w:bCs/>
          <w:sz w:val="24"/>
          <w:szCs w:val="24"/>
          <w:u w:val="single"/>
          <w:lang w:val="en-US"/>
        </w:rPr>
      </w:pPr>
    </w:p>
    <w:p w14:paraId="2EE4CCB8">
      <w:pPr>
        <w:jc w:val="center"/>
        <w:rPr>
          <w:rFonts w:hint="eastAsia" w:ascii="黑体" w:hAnsi="宋体" w:eastAsia="黑体" w:cs="黑体"/>
          <w:b/>
          <w:bCs/>
          <w:sz w:val="30"/>
          <w:szCs w:val="24"/>
          <w:u w:val="single"/>
          <w:lang w:val="en-US"/>
        </w:rPr>
      </w:pPr>
    </w:p>
    <w:p w14:paraId="0B19B6B8">
      <w:pPr>
        <w:jc w:val="center"/>
        <w:rPr>
          <w:rFonts w:hint="eastAsia" w:ascii="黑体" w:hAnsi="宋体" w:eastAsia="黑体" w:cs="黑体"/>
          <w:b/>
          <w:bCs/>
          <w:sz w:val="30"/>
          <w:szCs w:val="24"/>
          <w:u w:val="single"/>
          <w:lang w:val="en-US"/>
        </w:rPr>
      </w:pPr>
    </w:p>
    <w:p w14:paraId="492D79BC">
      <w:pPr>
        <w:jc w:val="center"/>
        <w:rPr>
          <w:u w:val="single"/>
          <w:lang w:val="en-US"/>
        </w:rPr>
      </w:pPr>
    </w:p>
    <w:p w14:paraId="2892AEC4">
      <w:pPr>
        <w:jc w:val="center"/>
        <w:rPr>
          <w:rFonts w:eastAsia="楷体_GB2312"/>
          <w:b/>
          <w:bCs/>
          <w:sz w:val="32"/>
          <w:szCs w:val="24"/>
          <w:lang w:val="en-US"/>
        </w:rPr>
      </w:pPr>
      <w:r>
        <w:rPr>
          <w:rFonts w:hint="eastAsia" w:ascii="Times New Roman" w:eastAsia="楷体_GB2312" w:cs="楷体_GB2312"/>
          <w:b/>
          <w:bCs/>
          <w:sz w:val="32"/>
          <w:szCs w:val="24"/>
          <w:lang w:eastAsia="zh-CN"/>
        </w:rPr>
        <w:t>国家事业单位登记管理局制</w:t>
      </w:r>
    </w:p>
    <w:p w14:paraId="204F949F">
      <w:pPr>
        <w:jc w:val="center"/>
        <w:rPr>
          <w:rFonts w:eastAsia="楷体_GB2312"/>
          <w:b/>
          <w:bCs/>
          <w:sz w:val="32"/>
          <w:szCs w:val="24"/>
          <w:lang w:val="en-US"/>
        </w:rPr>
      </w:pP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108" w:type="dxa"/>
          <w:bottom w:w="0" w:type="dxa"/>
          <w:right w:w="108" w:type="dxa"/>
        </w:tblCellMar>
      </w:tblPr>
      <w:tblGrid>
        <w:gridCol w:w="1560"/>
        <w:gridCol w:w="2031"/>
        <w:gridCol w:w="1796"/>
        <w:gridCol w:w="1702"/>
        <w:gridCol w:w="2452"/>
      </w:tblGrid>
      <w:tr w14:paraId="7FAF1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108" w:type="dxa"/>
            <w:bottom w:w="0" w:type="dxa"/>
            <w:right w:w="108" w:type="dxa"/>
          </w:tblCellMar>
        </w:tblPrEx>
        <w:trPr>
          <w:cantSplit/>
          <w:trHeight w:val="821" w:hRule="atLeast"/>
        </w:trPr>
        <w:tc>
          <w:tcPr>
            <w:tcW w:w="1560" w:type="dxa"/>
            <w:vMerge w:val="restart"/>
            <w:tcBorders>
              <w:top w:val="single" w:color="auto" w:sz="12" w:space="0"/>
              <w:left w:val="single" w:color="auto" w:sz="12" w:space="0"/>
              <w:bottom w:val="single" w:color="auto" w:sz="4" w:space="0"/>
              <w:right w:val="single" w:color="auto" w:sz="4" w:space="0"/>
            </w:tcBorders>
            <w:shd w:val="clear"/>
            <w:vAlign w:val="center"/>
          </w:tcPr>
          <w:p w14:paraId="417097F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《事业</w:t>
            </w:r>
          </w:p>
          <w:p w14:paraId="6898F37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w:t>
            </w:r>
          </w:p>
          <w:p w14:paraId="2B942C4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法人</w:t>
            </w:r>
          </w:p>
          <w:p w14:paraId="23D8F6D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证书》</w:t>
            </w:r>
          </w:p>
          <w:p w14:paraId="13E51F2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登载</w:t>
            </w:r>
          </w:p>
          <w:p w14:paraId="1D2F9D1E">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事项</w:t>
            </w:r>
          </w:p>
        </w:tc>
        <w:tc>
          <w:tcPr>
            <w:tcW w:w="2031" w:type="dxa"/>
            <w:tcBorders>
              <w:top w:val="single" w:color="auto" w:sz="12" w:space="0"/>
              <w:left w:val="single" w:color="auto" w:sz="4" w:space="0"/>
              <w:bottom w:val="single" w:color="auto" w:sz="4" w:space="0"/>
              <w:right w:val="single" w:color="auto" w:sz="4" w:space="0"/>
            </w:tcBorders>
            <w:shd w:val="clear"/>
            <w:vAlign w:val="center"/>
          </w:tcPr>
          <w:p w14:paraId="7038313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单位名称</w:t>
            </w:r>
          </w:p>
        </w:tc>
        <w:tc>
          <w:tcPr>
            <w:tcW w:w="5949" w:type="dxa"/>
            <w:gridSpan w:val="3"/>
            <w:tcBorders>
              <w:top w:val="single" w:color="auto" w:sz="12" w:space="0"/>
              <w:left w:val="single" w:color="auto" w:sz="4" w:space="0"/>
              <w:bottom w:val="single" w:color="auto" w:sz="4" w:space="0"/>
              <w:right w:val="single" w:color="auto" w:sz="12" w:space="0"/>
            </w:tcBorders>
            <w:shd w:val="clear"/>
            <w:vAlign w:val="center"/>
          </w:tcPr>
          <w:p w14:paraId="07214A6C">
            <w:pPr>
              <w:spacing w:line="320" w:lineRule="exact"/>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桃江县光荣院</w:t>
            </w:r>
          </w:p>
        </w:tc>
      </w:tr>
      <w:tr w14:paraId="4469E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7"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7E8AA56">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4C9A596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宗旨和</w:t>
            </w:r>
          </w:p>
          <w:p w14:paraId="766C297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业务范围</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0A72BE49">
            <w:pPr>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集中供养孤老和生活不能自理抚恤优待对象，并对其进行特殊保障。</w:t>
            </w:r>
          </w:p>
        </w:tc>
      </w:tr>
      <w:tr w14:paraId="7F162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5F4765B5">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CEDE5B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住</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所</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0F6E7516">
            <w:pPr>
              <w:jc w:val="left"/>
            </w:pPr>
            <w:r>
              <w:rPr>
                <w:rStyle w:val="16"/>
                <w:rFonts w:hint="eastAsia" w:ascii="楷体_GB2312" w:eastAsia="楷体_GB2312" w:cs="楷体_GB2312"/>
                <w:sz w:val="28"/>
                <w:szCs w:val="28"/>
                <w:bdr w:val="none" w:color="auto" w:sz="0" w:space="0"/>
                <w:lang w:val="en-US"/>
              </w:rPr>
              <w:t>桃江县桃花江镇桃谷山村观桃组</w:t>
            </w:r>
          </w:p>
        </w:tc>
      </w:tr>
      <w:tr w14:paraId="61E28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4528B17F">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1BF5870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法定代表人</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25E89AE4">
            <w:pPr>
              <w:jc w:val="left"/>
            </w:pPr>
            <w:r>
              <w:rPr>
                <w:rStyle w:val="16"/>
                <w:rFonts w:hint="eastAsia" w:ascii="楷体_GB2312" w:eastAsia="楷体_GB2312" w:cs="楷体_GB2312"/>
                <w:sz w:val="28"/>
                <w:szCs w:val="28"/>
                <w:bdr w:val="none" w:color="auto" w:sz="0" w:space="0"/>
                <w:lang w:val="en-US"/>
              </w:rPr>
              <w:t>钟旭峰</w:t>
            </w:r>
          </w:p>
        </w:tc>
      </w:tr>
      <w:tr w14:paraId="406EB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6CE1CE7">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313BC57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开办资金</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1BA97889">
            <w:pPr>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567.8</w:t>
            </w:r>
            <w:r>
              <w:rPr>
                <w:rStyle w:val="16"/>
                <w:rFonts w:hint="eastAsia" w:ascii="楷体_GB2312" w:eastAsia="楷体_GB2312" w:cs="楷体_GB2312"/>
                <w:sz w:val="28"/>
                <w:szCs w:val="28"/>
                <w:bdr w:val="none" w:color="auto" w:sz="0" w:space="0"/>
              </w:rPr>
              <w:t>（万元）</w:t>
            </w:r>
          </w:p>
        </w:tc>
      </w:tr>
      <w:tr w14:paraId="3478A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360CD0FE">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4228430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经费来源</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07730FE9">
            <w:pPr>
              <w:jc w:val="left"/>
              <w:rPr>
                <w:sz w:val="32"/>
                <w:szCs w:val="32"/>
                <w:bdr w:val="none" w:color="auto" w:sz="0" w:space="0"/>
                <w:lang w:val="en-US"/>
              </w:rPr>
            </w:pPr>
            <w:r>
              <w:rPr>
                <w:rStyle w:val="16"/>
                <w:rFonts w:hint="eastAsia" w:ascii="楷体_GB2312" w:eastAsia="楷体_GB2312" w:cs="楷体_GB2312"/>
                <w:sz w:val="28"/>
                <w:szCs w:val="28"/>
                <w:bdr w:val="none" w:color="auto" w:sz="0" w:space="0"/>
                <w:lang w:val="en-US"/>
              </w:rPr>
              <w:t>财政补助（全额拨款）</w:t>
            </w:r>
          </w:p>
        </w:tc>
      </w:tr>
      <w:tr w14:paraId="72D2B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02CE0C0">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1DB695A0">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举办单位</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56EDEDD5">
            <w:pPr>
              <w:jc w:val="left"/>
            </w:pPr>
            <w:r>
              <w:rPr>
                <w:rStyle w:val="16"/>
                <w:rFonts w:hint="eastAsia" w:ascii="楷体_GB2312" w:eastAsia="楷体_GB2312" w:cs="楷体_GB2312"/>
                <w:sz w:val="28"/>
                <w:szCs w:val="28"/>
                <w:bdr w:val="none" w:color="auto" w:sz="0" w:space="0"/>
                <w:lang w:val="en-US"/>
              </w:rPr>
              <w:t>桃江县退役军人事务局</w:t>
            </w:r>
          </w:p>
        </w:tc>
      </w:tr>
      <w:tr w14:paraId="39A1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restart"/>
            <w:tcBorders>
              <w:top w:val="single" w:color="auto" w:sz="4" w:space="0"/>
              <w:left w:val="single" w:color="auto" w:sz="12" w:space="0"/>
              <w:bottom w:val="single" w:color="auto" w:sz="4" w:space="0"/>
              <w:right w:val="single" w:color="auto" w:sz="4" w:space="0"/>
            </w:tcBorders>
            <w:shd w:val="clear"/>
            <w:vAlign w:val="center"/>
          </w:tcPr>
          <w:p w14:paraId="2595E183">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资产</w:t>
            </w:r>
          </w:p>
          <w:p w14:paraId="4073D75D">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损益</w:t>
            </w:r>
          </w:p>
          <w:p w14:paraId="0573A3E7">
            <w:pPr>
              <w:keepNext w:val="0"/>
              <w:keepLines w:val="0"/>
              <w:widowControl/>
              <w:suppressLineNumbers w:val="0"/>
              <w:jc w:val="center"/>
              <w:rPr>
                <w:rFonts w:eastAsia="楷体_GB2312"/>
                <w:sz w:val="32"/>
                <w:szCs w:val="24"/>
                <w:bdr w:val="none" w:color="auto" w:sz="0" w:space="0"/>
                <w:lang w:val="en-US"/>
              </w:rPr>
            </w:pPr>
            <w:r>
              <w:rPr>
                <w:rFonts w:hint="eastAsia" w:ascii="Times New Roman" w:eastAsia="楷体_GB2312" w:cs="楷体_GB2312"/>
                <w:b/>
                <w:bCs w:val="0"/>
                <w:sz w:val="32"/>
                <w:szCs w:val="24"/>
                <w:bdr w:val="none" w:color="auto" w:sz="0" w:space="0"/>
              </w:rPr>
              <w:t>情况</w:t>
            </w:r>
          </w:p>
        </w:tc>
        <w:tc>
          <w:tcPr>
            <w:tcW w:w="7980" w:type="dxa"/>
            <w:gridSpan w:val="4"/>
            <w:tcBorders>
              <w:top w:val="single" w:color="auto" w:sz="4" w:space="0"/>
              <w:left w:val="single" w:color="auto" w:sz="4" w:space="0"/>
              <w:bottom w:val="single" w:color="auto" w:sz="4" w:space="0"/>
              <w:right w:val="single" w:color="auto" w:sz="12" w:space="0"/>
            </w:tcBorders>
            <w:shd w:val="clear"/>
            <w:vAlign w:val="center"/>
          </w:tcPr>
          <w:p w14:paraId="200F7D26">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净资产合计（所有者权益合计）</w:t>
            </w:r>
          </w:p>
        </w:tc>
      </w:tr>
      <w:tr w14:paraId="11517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43D81D1A">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0A48909A">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年初数（万元）</w:t>
            </w:r>
          </w:p>
        </w:tc>
        <w:tc>
          <w:tcPr>
            <w:tcW w:w="4153" w:type="dxa"/>
            <w:gridSpan w:val="2"/>
            <w:tcBorders>
              <w:top w:val="single" w:color="auto" w:sz="4" w:space="0"/>
              <w:left w:val="single" w:color="auto" w:sz="4" w:space="0"/>
              <w:bottom w:val="single" w:color="auto" w:sz="4" w:space="0"/>
              <w:right w:val="single" w:color="auto" w:sz="12" w:space="0"/>
            </w:tcBorders>
            <w:shd w:val="clear"/>
            <w:vAlign w:val="center"/>
          </w:tcPr>
          <w:p w14:paraId="305A2A5D">
            <w:pPr>
              <w:jc w:val="center"/>
              <w:rPr>
                <w:sz w:val="32"/>
                <w:szCs w:val="24"/>
                <w:bdr w:val="none" w:color="auto" w:sz="0" w:space="0"/>
                <w:lang w:val="en-US"/>
              </w:rPr>
            </w:pPr>
            <w:r>
              <w:rPr>
                <w:rStyle w:val="19"/>
                <w:rFonts w:hint="eastAsia" w:ascii="Times New Roman" w:eastAsia="楷体_GB2312" w:cs="楷体_GB2312"/>
                <w:sz w:val="32"/>
                <w:szCs w:val="24"/>
                <w:bdr w:val="none" w:color="auto" w:sz="0" w:space="0"/>
              </w:rPr>
              <w:t>年末数（万元）</w:t>
            </w:r>
          </w:p>
        </w:tc>
      </w:tr>
      <w:tr w14:paraId="6C426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20EA7D9D">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3E376E27">
            <w:pPr>
              <w:jc w:val="center"/>
              <w:rPr>
                <w:sz w:val="32"/>
                <w:szCs w:val="24"/>
                <w:bdr w:val="none" w:color="auto" w:sz="0" w:space="0"/>
                <w:lang w:val="en-US"/>
              </w:rPr>
            </w:pPr>
            <w:r>
              <w:rPr>
                <w:rStyle w:val="19"/>
                <w:sz w:val="32"/>
                <w:szCs w:val="24"/>
                <w:bdr w:val="none" w:color="auto" w:sz="0" w:space="0"/>
                <w:lang w:val="en-US"/>
              </w:rPr>
              <w:t>568.058</w:t>
            </w:r>
          </w:p>
        </w:tc>
        <w:tc>
          <w:tcPr>
            <w:tcW w:w="4153" w:type="dxa"/>
            <w:gridSpan w:val="2"/>
            <w:tcBorders>
              <w:top w:val="single" w:color="auto" w:sz="4" w:space="0"/>
              <w:left w:val="single" w:color="auto" w:sz="4" w:space="0"/>
              <w:bottom w:val="single" w:color="auto" w:sz="4" w:space="0"/>
              <w:right w:val="single" w:color="auto" w:sz="12" w:space="0"/>
            </w:tcBorders>
            <w:shd w:val="clear"/>
            <w:vAlign w:val="top"/>
          </w:tcPr>
          <w:p w14:paraId="16D7D81A">
            <w:pPr>
              <w:jc w:val="center"/>
            </w:pPr>
            <w:r>
              <w:rPr>
                <w:rStyle w:val="16"/>
                <w:sz w:val="32"/>
                <w:szCs w:val="32"/>
                <w:bdr w:val="none" w:color="auto" w:sz="0" w:space="0"/>
                <w:lang w:val="en-US"/>
              </w:rPr>
              <w:t>547.596</w:t>
            </w:r>
          </w:p>
        </w:tc>
      </w:tr>
      <w:tr w14:paraId="64B40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24B1AB22">
            <w:pPr>
              <w:jc w:val="center"/>
              <w:rPr>
                <w:rFonts w:hint="eastAsia" w:ascii="楷体_GB2312" w:eastAsia="楷体_GB2312" w:cs="楷体_GB2312"/>
                <w:b/>
                <w:bCs/>
                <w:sz w:val="32"/>
                <w:szCs w:val="24"/>
                <w:bdr w:val="none" w:color="auto" w:sz="0" w:space="0"/>
                <w:lang w:val="en-US"/>
              </w:rPr>
            </w:pPr>
            <w:r>
              <w:rPr>
                <w:rFonts w:hint="eastAsia" w:ascii="楷体_GB2312" w:eastAsia="楷体_GB2312" w:cs="楷体_GB2312"/>
                <w:b/>
                <w:bCs/>
                <w:sz w:val="32"/>
                <w:szCs w:val="24"/>
                <w:bdr w:val="none" w:color="auto" w:sz="0" w:space="0"/>
              </w:rPr>
              <w:t>网上名称</w:t>
            </w: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7C13B9BD">
            <w:pPr>
              <w:spacing w:line="0" w:lineRule="atLeast"/>
              <w:jc w:val="left"/>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lang w:val="en-US"/>
              </w:rPr>
              <w:t>公益</w:t>
            </w:r>
          </w:p>
        </w:tc>
        <w:tc>
          <w:tcPr>
            <w:tcW w:w="1702" w:type="dxa"/>
            <w:tcBorders>
              <w:top w:val="single" w:color="auto" w:sz="4" w:space="0"/>
              <w:left w:val="single" w:color="auto" w:sz="4" w:space="0"/>
              <w:bottom w:val="single" w:color="auto" w:sz="4" w:space="0"/>
              <w:right w:val="single" w:color="auto" w:sz="4" w:space="0"/>
            </w:tcBorders>
            <w:shd w:val="clear"/>
            <w:vAlign w:val="center"/>
          </w:tcPr>
          <w:p w14:paraId="529CA28F">
            <w:pPr>
              <w:jc w:val="center"/>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rPr>
              <w:t>从业人数</w:t>
            </w:r>
          </w:p>
        </w:tc>
        <w:tc>
          <w:tcPr>
            <w:tcW w:w="2452" w:type="dxa"/>
            <w:tcBorders>
              <w:top w:val="single" w:color="auto" w:sz="4" w:space="0"/>
              <w:left w:val="single" w:color="auto" w:sz="4" w:space="0"/>
              <w:bottom w:val="single" w:color="auto" w:sz="4" w:space="0"/>
              <w:right w:val="single" w:color="auto" w:sz="12" w:space="0"/>
            </w:tcBorders>
            <w:shd w:val="clear"/>
            <w:vAlign w:val="center"/>
          </w:tcPr>
          <w:p w14:paraId="0AE114DC">
            <w:pPr>
              <w:spacing w:line="0" w:lineRule="atLeast"/>
              <w:jc w:val="left"/>
              <w:rPr>
                <w:rFonts w:hint="eastAsia" w:ascii="楷体_GB2312" w:eastAsia="楷体_GB2312" w:cs="楷体_GB2312"/>
                <w:sz w:val="32"/>
                <w:szCs w:val="24"/>
                <w:bdr w:val="none" w:color="auto" w:sz="0" w:space="0"/>
                <w:lang w:val="en-US"/>
              </w:rPr>
            </w:pPr>
            <w:r>
              <w:rPr>
                <w:rStyle w:val="19"/>
                <w:sz w:val="32"/>
                <w:szCs w:val="24"/>
                <w:bdr w:val="none" w:color="auto" w:sz="0" w:space="0"/>
                <w:lang w:val="en-US"/>
              </w:rPr>
              <w:t>4</w:t>
            </w:r>
          </w:p>
        </w:tc>
      </w:tr>
      <w:tr w14:paraId="76933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1894034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对《条</w:t>
            </w:r>
          </w:p>
          <w:p w14:paraId="5A7B57B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例》和</w:t>
            </w:r>
          </w:p>
          <w:p w14:paraId="2E606E6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实施细</w:t>
            </w:r>
          </w:p>
          <w:p w14:paraId="7BA5E94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则有关</w:t>
            </w:r>
          </w:p>
          <w:p w14:paraId="515A370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变更登</w:t>
            </w:r>
          </w:p>
          <w:p w14:paraId="1BAEBE3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记规定</w:t>
            </w:r>
          </w:p>
          <w:p w14:paraId="02AAF9F9">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的执行</w:t>
            </w:r>
          </w:p>
          <w:p w14:paraId="0A14CAA8">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2BEF9FB4">
            <w:pPr>
              <w:spacing w:line="320" w:lineRule="exac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2023年，我院认真贯彻执行《事业单位登记管理条例》和实施细则，遵守有关政策法律法规。按照校准登记的业务范围开展光荣院各项工作并按要求及时进行变更。</w:t>
            </w:r>
          </w:p>
        </w:tc>
      </w:tr>
      <w:tr w14:paraId="236EE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4"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19151F83">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w:t>
            </w:r>
          </w:p>
          <w:p w14:paraId="4417D6C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展</w:t>
            </w:r>
          </w:p>
          <w:p w14:paraId="6B2E0F5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w:t>
            </w:r>
          </w:p>
          <w:p w14:paraId="3C0A1E0C">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务</w:t>
            </w:r>
          </w:p>
          <w:p w14:paraId="317B810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活</w:t>
            </w:r>
          </w:p>
          <w:p w14:paraId="661DBF9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动</w:t>
            </w:r>
          </w:p>
          <w:p w14:paraId="2182B80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情</w:t>
            </w:r>
          </w:p>
          <w:p w14:paraId="7EEF3F36">
            <w:pPr>
              <w:jc w:val="center"/>
              <w:rPr>
                <w:u w:val="single"/>
                <w:bdr w:val="none" w:color="auto" w:sz="0" w:space="0"/>
                <w:lang w:val="en-US"/>
              </w:rPr>
            </w:pP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268E9A0E">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r>
              <w:rPr>
                <w:rStyle w:val="16"/>
                <w:rFonts w:hint="eastAsia" w:ascii="楷体_GB2312" w:eastAsia="楷体_GB2312" w:cs="楷体_GB2312"/>
                <w:sz w:val="28"/>
                <w:szCs w:val="24"/>
                <w:bdr w:val="none" w:color="auto" w:sz="0" w:space="0"/>
                <w:lang w:val="en-US"/>
              </w:rPr>
              <w:t xml:space="preserve">2023年在县退役军人事务局领导下，全院工作人员共同努力围绕办院宗旨和业务范围开展活动情况如下： 一、党建工作：光荣院党建工作在局党组领导下。进一步强化党支部“五化”建设；“三会一课”制度化，常态化。支部会，主题党日活动，上党课，在职党员进社区，主题教育组织生活会，民主评议党员按县委组织部局党组部署都稳步扎实推进整改，各项工作落实到位，增强了党员向心力、凝聚力，使“两学一做”学习教育更加落到实处。 二、院务工作： 一是按退役军人事务部颁发的《光荣院管理办法》进一步健全了各项管理规章制度。细化了护理人员，炊事员，卫生员工作规范，强化服务意识，优化服务质量，使光荣院服务退役老兵服务管理工作有章可循。二是继续下乡到各乡镇调研；宣传以习主席为首的党中央对退役军人的重视，宣传退役军人事务局的工作职责，宣传优抚退役老兵光荣院入住政策，调查模底，在充分尊重退役老兵的意愿下，把符合政策条件的退役老兵接收入院。三是院内服务一如即往体现人性化关爱；春节，端午节，清明节，八一节，中秋节，重阳节等节日和老兵一起举杯联欢感受到家的氛围。四是保安全，保障老人安居乐业常抓不懈，安全工作是光荣院工作重中之重。每月院务会都强调安全工作，对消防设施灭火器定时检查常态化,对水、电、线路管道、厕所下水道等安全隐患及时梳理排查，确保各项设施设备处于正常安全状态。五是院里修建了绿化种植和车篷，种植了茶花、茶梅球、红继木球、红叶石楠和草皮等，美化了整个院里的绿化环境和美观。六是加强炊食管理保障食品安全卫生；对从事炊事工作人员定期健康检查,对食堂实行菜、饭48小时留样，确保供养人员健康安全。七是确保退役老兵有病及时得到治疗；我院退役老兵大都有心脏，高血压以及各种老年疾病。且经常出现急病,随时都会有生命危险。遇到有老人急病，第一时间组织派车送医院确保退役老兵有病及时得到治疗。八是让退役老兵全社会得到尊重；县委、政府、人大、政协，县武装部五大家以及我们退役军人事务局,春节慰问,八一慰问,重阳节看望,使老兵感受到党和政府的关爱。使老人心灵得到了慰籍，身心得到了鼓舞。 切实保障光荣院各项工作有序开展生命安全和身体健康！ </w:t>
            </w:r>
          </w:p>
          <w:p w14:paraId="597A68DA">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p>
        </w:tc>
      </w:tr>
      <w:tr w14:paraId="01ACB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75CC2AAB">
            <w:pP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相关资质认可或执业许可证明文件及有效期</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49885BCA">
            <w:pPr>
              <w:spacing w:line="320" w:lineRule="exac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4"/>
                <w:bdr w:val="none" w:color="auto" w:sz="0" w:space="0"/>
                <w:lang w:val="en-US"/>
              </w:rPr>
              <w:t>自2019年12月02日至2024年12月02日</w:t>
            </w:r>
          </w:p>
        </w:tc>
      </w:tr>
      <w:tr w14:paraId="74998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58AB9D14">
            <w:pPr>
              <w:spacing w:line="0" w:lineRule="atLeast"/>
            </w:pPr>
            <w:r>
              <w:rPr>
                <w:rFonts w:hint="eastAsia" w:ascii="Times New Roman" w:eastAsia="楷体_GB2312" w:cs="楷体_GB2312"/>
                <w:b/>
                <w:bCs/>
                <w:sz w:val="32"/>
                <w:szCs w:val="24"/>
                <w:bdr w:val="none" w:color="auto" w:sz="0" w:space="0"/>
              </w:rPr>
              <w:t>绩</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效</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和受奖惩及诉讼投诉情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4" w:space="0"/>
              <w:right w:val="single" w:color="auto" w:sz="12" w:space="0"/>
            </w:tcBorders>
            <w:shd w:val="clear"/>
            <w:vAlign w:val="top"/>
          </w:tcPr>
          <w:p w14:paraId="01432954">
            <w:pPr>
              <w:jc w:val="left"/>
            </w:pPr>
            <w:r>
              <w:rPr>
                <w:rStyle w:val="16"/>
                <w:rFonts w:hint="eastAsia" w:ascii="楷体_GB2312" w:eastAsia="楷体_GB2312" w:cs="楷体_GB2312"/>
                <w:sz w:val="28"/>
                <w:szCs w:val="28"/>
                <w:bdr w:val="none" w:color="auto" w:sz="0" w:space="0"/>
                <w:lang w:val="en-US"/>
              </w:rPr>
              <w:t>无</w:t>
            </w:r>
          </w:p>
        </w:tc>
      </w:tr>
      <w:tr w14:paraId="37883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15A01668">
            <w:pPr>
              <w:spacing w:line="0" w:lineRule="atLeast"/>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接受捐赠</w:t>
            </w:r>
          </w:p>
          <w:p w14:paraId="77ACBD2C">
            <w:pPr>
              <w:spacing w:line="0" w:lineRule="atLeast"/>
            </w:pPr>
            <w:r>
              <w:rPr>
                <w:rFonts w:hint="eastAsia" w:ascii="Times New Roman" w:eastAsia="楷体_GB2312" w:cs="楷体_GB2312"/>
                <w:b/>
                <w:bCs/>
                <w:sz w:val="32"/>
                <w:szCs w:val="24"/>
                <w:bdr w:val="none" w:color="auto" w:sz="0" w:space="0"/>
              </w:rPr>
              <w:t>资助及使用</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0871DAB6">
            <w:pPr>
              <w:jc w:val="left"/>
            </w:pPr>
            <w:r>
              <w:rPr>
                <w:rStyle w:val="16"/>
                <w:rFonts w:hint="eastAsia" w:ascii="楷体_GB2312" w:eastAsia="楷体_GB2312" w:cs="楷体_GB2312"/>
                <w:sz w:val="28"/>
                <w:szCs w:val="28"/>
                <w:bdr w:val="none" w:color="auto" w:sz="0" w:space="0"/>
                <w:lang w:val="en-US"/>
              </w:rPr>
              <w:t>无</w:t>
            </w:r>
          </w:p>
        </w:tc>
      </w:tr>
    </w:tbl>
    <w:p w14:paraId="215218EE">
      <w:pPr>
        <w:jc w:val="left"/>
        <w:rPr>
          <w:rFonts w:hint="eastAsia" w:ascii="楷体_GB2312" w:eastAsia="楷体_GB2312" w:cs="楷体_GB2312"/>
          <w:b/>
          <w:bCs/>
          <w:sz w:val="28"/>
          <w:szCs w:val="28"/>
          <w:lang w:val="en-US"/>
        </w:rPr>
      </w:pPr>
    </w:p>
    <w:sectPr>
      <w:pgSz w:w="11906" w:h="16838"/>
      <w:pgMar w:top="1440" w:right="1135" w:bottom="1440" w:left="1135" w:header="851" w:footer="992" w:gutter="0"/>
      <w:paperSrc/>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黑体">
    <w:panose1 w:val="02010609060101010101"/>
    <w:charset w:val="86"/>
    <w:family w:val="auto"/>
    <w:pitch w:val="fixed"/>
    <w:sig w:usb0="800002BF" w:usb1="38CF7CFA" w:usb2="00000016" w:usb3="00000000" w:csb0="00040001" w:csb1="00000000"/>
  </w:font>
  <w:font w:name="@宋体">
    <w:panose1 w:val="02010600030101010101"/>
    <w:charset w:val="86"/>
    <w:family w:val="auto"/>
    <w:pitch w:val="variable"/>
    <w:sig w:usb0="00000003" w:usb1="288F0000" w:usb2="00000006" w:usb3="00000000" w:csb0="00040001" w:csb1="00000000"/>
  </w:font>
  <w:font w:name="Cambria Math">
    <w:panose1 w:val="02040503050406030204"/>
    <w:charset w:val="01"/>
    <w:family w:val="auto"/>
    <w:pitch w:val="variable"/>
    <w:sig w:usb0="E00002FF" w:usb1="420024FF" w:usb2="00000000" w:usb3="00000000" w:csb0="2000019F" w:csb1="00000000"/>
  </w:font>
  <w:font w:name="楷体_GB2312">
    <w:panose1 w:val="02010609030101010101"/>
    <w:charset w:val="86"/>
    <w:family w:val="auto"/>
    <w:pitch w:val="fixed"/>
    <w:sig w:usb0="00000001" w:usb1="080E0000" w:usb2="00000000" w:usb3="00000000" w:csb0="00040000" w:csb1="00000000"/>
  </w:font>
  <w:font w:name="@楷体_GB2312">
    <w:panose1 w:val="02010609030101010101"/>
    <w:charset w:val="86"/>
    <w:family w:val="auto"/>
    <w:pitch w:val="fixed"/>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0"/>
  <w:displayVerticalDrawingGridEvery w:val="2"/>
  <w:characterSpacingControl w:val="compressPunctuation"/>
  <w:footnotePr>
    <w:footnote w:id="0"/>
    <w:footnote w:id="1"/>
  </w:footnotePr>
  <w:compat>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IyN2U2NjRhN2NiMzUxYTA1NjlkZWExMDEwNWQifQ=="/>
  </w:docVars>
  <w:rsids>
    <w:rsidRoot w:val="00000000"/>
    <w:rsid w:val="18C345C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semiHidden/>
    <w:unhideWhenUsed/>
    <w:uiPriority w:val="99"/>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styleId="2">
    <w:name w:val="heading 1"/>
    <w:basedOn w:val="1"/>
    <w:next w:val="1"/>
    <w:qFormat/>
    <w:uiPriority w:val="9"/>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9"/>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9"/>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9"/>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9"/>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9"/>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uiPriority w:val="99"/>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footer"/>
    <w:basedOn w:val="1"/>
    <w:link w:val="14"/>
    <w:semiHidden/>
    <w:unhideWhenUsed/>
    <w:uiPriority w:val="99"/>
    <w:pPr>
      <w:keepNext w:val="0"/>
      <w:keepLines w:val="0"/>
      <w:widowControl w:val="0"/>
      <w:suppressLineNumbers w:val="0"/>
      <w:tabs>
        <w:tab w:val="center" w:pos="4153"/>
        <w:tab w:val="right" w:pos="8306"/>
      </w:tabs>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9">
    <w:name w:val="header"/>
    <w:basedOn w:val="1"/>
    <w:link w:val="17"/>
    <w:semiHidden/>
    <w:unhideWhenUsed/>
    <w:uiPriority w:val="99"/>
    <w:pPr>
      <w:keepNext w:val="0"/>
      <w:keepLines w:val="0"/>
      <w:widowControl w:val="0"/>
      <w:suppressLineNumbers w:val="0"/>
      <w:pBdr>
        <w:top w:val="none" w:color="auto" w:sz="0" w:space="0"/>
        <w:left w:val="none" w:color="auto" w:sz="0" w:space="0"/>
        <w:bottom w:val="single" w:color="auto" w:sz="6" w:space="1"/>
        <w:right w:val="none" w:color="auto" w:sz="0" w:space="0"/>
      </w:pBdr>
      <w:tabs>
        <w:tab w:val="center" w:pos="4153"/>
        <w:tab w:val="right" w:pos="8306"/>
      </w:tabs>
      <w:snapToGrid w:val="0"/>
      <w:spacing w:before="0" w:beforeAutospacing="0" w:after="0" w:afterAutospacing="0"/>
      <w:ind w:left="0" w:right="0"/>
      <w:jc w:val="center"/>
    </w:pPr>
    <w:rPr>
      <w:rFonts w:hint="default" w:ascii="Times New Roman" w:hAnsi="Times New Roman" w:eastAsia="宋体" w:cs="Times New Roman"/>
      <w:kern w:val="2"/>
      <w:sz w:val="18"/>
      <w:szCs w:val="18"/>
      <w:lang w:val="en-US" w:eastAsia="zh-CN" w:bidi="ar"/>
    </w:rPr>
  </w:style>
  <w:style w:type="paragraph" w:styleId="10">
    <w:name w:val="HTML Preformatted"/>
    <w:basedOn w:val="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uiPriority w:val="99"/>
    <w:pPr>
      <w:widowControl/>
      <w:spacing w:before="0" w:beforeAutospacing="1" w:after="0" w:afterAutospacing="1"/>
      <w:ind w:left="0" w:right="0"/>
      <w:jc w:val="left"/>
    </w:pPr>
    <w:rPr>
      <w:rFonts w:ascii="宋体" w:hAnsi="宋体" w:eastAsia="宋体" w:cs="宋体"/>
      <w:kern w:val="0"/>
      <w:sz w:val="24"/>
      <w:lang w:val="en-US" w:eastAsia="zh-CN" w:bidi="ar"/>
    </w:rPr>
  </w:style>
  <w:style w:type="character" w:customStyle="1" w:styleId="14">
    <w:name w:val="页脚 Char"/>
    <w:basedOn w:val="13"/>
    <w:link w:val="8"/>
    <w:locked/>
    <w:uiPriority w:val="0"/>
    <w:rPr>
      <w:rFonts w:hint="default" w:ascii="Times New Roman" w:hAnsi="Times New Roman" w:eastAsia="宋体" w:cs="Times New Roman"/>
      <w:sz w:val="18"/>
      <w:szCs w:val="18"/>
    </w:rPr>
  </w:style>
  <w:style w:type="character" w:customStyle="1" w:styleId="15">
    <w:name w:val="font51"/>
    <w:basedOn w:val="13"/>
    <w:uiPriority w:val="0"/>
    <w:rPr>
      <w:rFonts w:hint="eastAsia" w:ascii="黑体" w:hAnsi="宋体" w:eastAsia="黑体" w:cs="黑体"/>
      <w:sz w:val="36"/>
      <w:szCs w:val="24"/>
    </w:rPr>
  </w:style>
  <w:style w:type="character" w:customStyle="1" w:styleId="16">
    <w:name w:val="font71"/>
    <w:basedOn w:val="13"/>
    <w:uiPriority w:val="0"/>
    <w:rPr>
      <w:rFonts w:hint="default" w:ascii="Times New Roman" w:hAnsi="Times New Roman" w:eastAsia="楷体_GB2312" w:cs="Times New Roman"/>
      <w:sz w:val="28"/>
      <w:szCs w:val="24"/>
    </w:rPr>
  </w:style>
  <w:style w:type="character" w:customStyle="1" w:styleId="17">
    <w:name w:val="页眉 Char"/>
    <w:basedOn w:val="13"/>
    <w:link w:val="9"/>
    <w:locked/>
    <w:uiPriority w:val="0"/>
    <w:rPr>
      <w:rFonts w:hint="default" w:ascii="Times New Roman" w:hAnsi="Times New Roman" w:eastAsia="宋体" w:cs="Times New Roman"/>
      <w:sz w:val="18"/>
      <w:szCs w:val="18"/>
    </w:rPr>
  </w:style>
  <w:style w:type="character" w:customStyle="1" w:styleId="18">
    <w:name w:val="font21"/>
    <w:basedOn w:val="13"/>
    <w:uiPriority w:val="0"/>
    <w:rPr>
      <w:rFonts w:hint="default" w:ascii="Times New Roman" w:hAnsi="Times New Roman" w:eastAsia="楷体_GB2312" w:cs="Times New Roman"/>
      <w:sz w:val="30"/>
      <w:szCs w:val="24"/>
    </w:rPr>
  </w:style>
  <w:style w:type="character" w:customStyle="1" w:styleId="19">
    <w:name w:val="font61"/>
    <w:basedOn w:val="13"/>
    <w:uiPriority w:val="0"/>
    <w:rPr>
      <w:rFonts w:hint="default" w:ascii="Times New Roman" w:hAnsi="Times New Roman" w:eastAsia="楷体_GB2312" w:cs="Times New Roman"/>
      <w:sz w:val="32"/>
      <w:szCs w:val="24"/>
    </w:rPr>
  </w:style>
  <w:style w:type="character" w:customStyle="1" w:styleId="20">
    <w:name w:val="hps"/>
    <w:basedOn w:val="13"/>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WwW.YlmF.CoM</Company>
  <Pages>5</Pages>
  <Words>1294</Words>
  <Characters>1362</Characters>
  <Lines>4</Lines>
  <Paragraphs>1</Paragraphs>
  <TotalTime>45456.4375000016</TotalTime>
  <ScaleCrop>false</ScaleCrop>
  <LinksUpToDate>false</LinksUpToDate>
  <CharactersWithSpaces>1402</CharactersWithSpaces>
  <Application>WPS Office_12.1.0.17133_F1E327BC-269C-435d-A152-05C5408002CA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1899-12-29T16:00:00Z</dcterms:created>
  <dc:creator>雨林木风</dc:creator>
  <cp:lastModifiedBy>Administrator</cp:lastModifiedBy>
  <dcterms:modified xsi:type="dcterms:W3CDTF">2024-06-13T02:43:05Z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959DCF59D2474F29A70782CE245D607C_13</vt:lpwstr>
  </property>
</Properties>
</file>