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4E3DBF9B">
      <w:pPr>
        <w:wordWrap w:val="0"/>
        <w:jc w:val="right"/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</w:pPr>
      <w:r>
        <w:rPr>
          <w:rFonts w:hint="eastAsia" w:ascii="楷体_GB2312" w:eastAsia="楷体_GB2312" w:cs="楷体_GB2312"/>
          <w:b/>
          <w:bCs w:val="0"/>
          <w:sz w:val="30"/>
          <w:szCs w:val="24"/>
          <w:lang w:eastAsia="zh-CN"/>
        </w:rPr>
        <w:t>统一社会信用代码</w:t>
      </w:r>
      <w:r>
        <w:rPr>
          <w:rFonts w:hint="eastAsia" w:ascii="楷体_GB2312" w:eastAsia="楷体_GB2312" w:cs="楷体_GB2312"/>
          <w:b/>
          <w:bCs w:val="0"/>
          <w:sz w:val="30"/>
          <w:szCs w:val="24"/>
          <w:lang w:val="en-US"/>
        </w:rPr>
        <w:t xml:space="preserve">   </w:t>
      </w:r>
    </w:p>
    <w:p w14:paraId="662F7535">
      <w:pPr>
        <w:wordWrap w:val="0"/>
        <w:jc w:val="right"/>
        <w:rPr>
          <w:rFonts w:eastAsia="楷体_GB2312"/>
          <w:b/>
          <w:bCs/>
          <w:sz w:val="30"/>
          <w:szCs w:val="24"/>
          <w:lang w:val="en-US"/>
        </w:rPr>
      </w:pP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  <w:r>
        <w:rPr>
          <w:rStyle w:val="14"/>
          <w:b/>
          <w:bCs/>
          <w:sz w:val="30"/>
          <w:szCs w:val="30"/>
          <w:lang w:val="en-US"/>
        </w:rPr>
        <w:t>12430922MB1Q55058C</w:t>
      </w:r>
      <w:r>
        <w:rPr>
          <w:rFonts w:eastAsia="楷体_GB2312"/>
          <w:b/>
          <w:bCs/>
          <w:sz w:val="30"/>
          <w:szCs w:val="24"/>
          <w:lang w:val="en-US"/>
        </w:rPr>
        <w:t xml:space="preserve">   </w:t>
      </w:r>
    </w:p>
    <w:p w14:paraId="03AEF6BD">
      <w:pPr>
        <w:jc w:val="right"/>
        <w:rPr>
          <w:lang w:val="en-US"/>
        </w:rPr>
      </w:pPr>
    </w:p>
    <w:p w14:paraId="00CB492A">
      <w:pPr>
        <w:jc w:val="right"/>
        <w:rPr>
          <w:lang w:val="en-US"/>
        </w:rPr>
      </w:pPr>
    </w:p>
    <w:p w14:paraId="04792644">
      <w:pPr>
        <w:jc w:val="right"/>
        <w:rPr>
          <w:lang w:val="en-US"/>
        </w:rPr>
      </w:pPr>
    </w:p>
    <w:p w14:paraId="18C03A6C">
      <w:pPr>
        <w:jc w:val="right"/>
        <w:rPr>
          <w:lang w:val="en-US"/>
        </w:rPr>
      </w:pPr>
    </w:p>
    <w:p w14:paraId="0EB1928F">
      <w:pPr>
        <w:jc w:val="right"/>
        <w:rPr>
          <w:lang w:val="en-US"/>
        </w:rPr>
      </w:pPr>
    </w:p>
    <w:p w14:paraId="3C6390C7">
      <w:pPr>
        <w:jc w:val="center"/>
        <w:rPr>
          <w:rFonts w:eastAsia="黑体"/>
          <w:b/>
          <w:bCs/>
          <w:spacing w:val="40"/>
          <w:sz w:val="52"/>
          <w:szCs w:val="24"/>
          <w:lang w:val="en-US"/>
        </w:rPr>
      </w:pPr>
      <w:r>
        <w:rPr>
          <w:rFonts w:hint="eastAsia" w:ascii="Times New Roman" w:hAnsi="宋体" w:eastAsia="黑体" w:cs="黑体"/>
          <w:b/>
          <w:bCs/>
          <w:spacing w:val="40"/>
          <w:sz w:val="52"/>
          <w:szCs w:val="24"/>
          <w:lang w:eastAsia="zh-CN"/>
        </w:rPr>
        <w:t>事业单位法人年度报告书</w:t>
      </w:r>
    </w:p>
    <w:p w14:paraId="2B8D4718">
      <w:pPr>
        <w:jc w:val="center"/>
        <w:rPr>
          <w:rFonts w:eastAsia="黑体"/>
          <w:b/>
          <w:bCs/>
          <w:spacing w:val="30"/>
          <w:lang w:val="en-US"/>
        </w:rPr>
      </w:pPr>
    </w:p>
    <w:p w14:paraId="6CC5F817">
      <w:pPr>
        <w:jc w:val="center"/>
        <w:rPr>
          <w:rFonts w:eastAsia="楷体_GB2312"/>
          <w:b/>
          <w:bCs/>
          <w:spacing w:val="30"/>
          <w:sz w:val="36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（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Style w:val="14"/>
          <w:b/>
          <w:bCs/>
          <w:sz w:val="30"/>
          <w:szCs w:val="30"/>
          <w:lang w:val="en-US"/>
        </w:rPr>
        <w:t>2023</w:t>
      </w:r>
      <w:r>
        <w:rPr>
          <w:rFonts w:eastAsia="楷体_GB2312"/>
          <w:b/>
          <w:bCs/>
          <w:spacing w:val="30"/>
          <w:sz w:val="36"/>
          <w:szCs w:val="24"/>
          <w:lang w:val="en-US"/>
        </w:rPr>
        <w:t xml:space="preserve">  </w:t>
      </w:r>
      <w:r>
        <w:rPr>
          <w:rFonts w:hint="eastAsia" w:ascii="Times New Roman" w:eastAsia="楷体_GB2312" w:cs="楷体_GB2312"/>
          <w:b/>
          <w:bCs/>
          <w:spacing w:val="30"/>
          <w:sz w:val="36"/>
          <w:szCs w:val="24"/>
          <w:lang w:eastAsia="zh-CN"/>
        </w:rPr>
        <w:t>年度）</w:t>
      </w:r>
    </w:p>
    <w:p w14:paraId="277F2F5E">
      <w:pPr>
        <w:jc w:val="center"/>
        <w:rPr>
          <w:sz w:val="36"/>
          <w:szCs w:val="24"/>
          <w:lang w:val="en-US"/>
        </w:rPr>
      </w:pPr>
    </w:p>
    <w:p w14:paraId="13EFD55E">
      <w:pPr>
        <w:jc w:val="center"/>
        <w:rPr>
          <w:sz w:val="36"/>
          <w:szCs w:val="24"/>
          <w:lang w:val="en-US"/>
        </w:rPr>
      </w:pPr>
    </w:p>
    <w:p w14:paraId="78248F95">
      <w:pPr>
        <w:jc w:val="center"/>
        <w:rPr>
          <w:sz w:val="36"/>
          <w:szCs w:val="24"/>
          <w:lang w:val="en-US"/>
        </w:rPr>
      </w:pPr>
    </w:p>
    <w:p w14:paraId="4A802EFA">
      <w:pPr>
        <w:jc w:val="center"/>
        <w:rPr>
          <w:sz w:val="36"/>
          <w:szCs w:val="24"/>
          <w:lang w:val="en-US"/>
        </w:rPr>
      </w:pPr>
    </w:p>
    <w:p w14:paraId="07D6AC07">
      <w:pPr>
        <w:jc w:val="center"/>
        <w:rPr>
          <w:sz w:val="36"/>
          <w:szCs w:val="24"/>
          <w:lang w:val="en-US"/>
        </w:rPr>
      </w:pPr>
    </w:p>
    <w:p w14:paraId="62B22042">
      <w:pPr>
        <w:jc w:val="center"/>
        <w:rPr>
          <w:sz w:val="36"/>
          <w:szCs w:val="24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05"/>
        <w:gridCol w:w="5294"/>
      </w:tblGrid>
      <w:tr w14:paraId="0995A2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405" w:type="dxa"/>
            <w:shd w:val="clear"/>
            <w:vAlign w:val="bottom"/>
          </w:tcPr>
          <w:p w14:paraId="7B6E2D1C">
            <w:pPr>
              <w:jc w:val="distribute"/>
            </w:pP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单 位 名 称</w:t>
            </w:r>
          </w:p>
        </w:tc>
        <w:tc>
          <w:tcPr>
            <w:tcW w:w="529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718F043B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  <w:t>桃江县林长制事务中心</w:t>
            </w:r>
          </w:p>
        </w:tc>
      </w:tr>
    </w:tbl>
    <w:p w14:paraId="71026226">
      <w:pPr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tbl>
      <w:tblPr>
        <w:tblStyle w:val="12"/>
        <w:tblW w:w="0" w:type="auto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65"/>
        <w:gridCol w:w="5254"/>
      </w:tblGrid>
      <w:tr w14:paraId="38E03B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  <w:jc w:val="center"/>
        </w:trPr>
        <w:tc>
          <w:tcPr>
            <w:tcW w:w="2365" w:type="dxa"/>
            <w:shd w:val="clear"/>
            <w:vAlign w:val="bottom"/>
          </w:tcPr>
          <w:p w14:paraId="2E4A1130">
            <w:pPr>
              <w:jc w:val="distribute"/>
            </w:pP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法</w:t>
            </w:r>
            <w:r>
              <w:rPr>
                <w:rStyle w:val="19"/>
                <w:b/>
                <w:bCs/>
                <w:spacing w:val="30"/>
                <w:sz w:val="36"/>
                <w:szCs w:val="24"/>
                <w:bdr w:val="none" w:color="auto" w:sz="0" w:space="0"/>
              </w:rPr>
              <w:t>定代表</w:t>
            </w:r>
            <w:r>
              <w:rPr>
                <w:rStyle w:val="19"/>
                <w:b/>
                <w:bCs/>
                <w:sz w:val="36"/>
                <w:szCs w:val="24"/>
                <w:bdr w:val="none" w:color="auto" w:sz="0" w:space="0"/>
              </w:rPr>
              <w:t>人</w:t>
            </w:r>
          </w:p>
        </w:tc>
        <w:tc>
          <w:tcPr>
            <w:tcW w:w="5254" w:type="dxa"/>
            <w:tcBorders>
              <w:top w:val="nil"/>
              <w:left w:val="nil"/>
              <w:bottom w:val="single" w:color="auto" w:sz="12" w:space="0"/>
              <w:right w:val="nil"/>
            </w:tcBorders>
            <w:shd w:val="clear"/>
            <w:vAlign w:val="bottom"/>
          </w:tcPr>
          <w:p w14:paraId="598A2047">
            <w:pPr>
              <w:keepNext w:val="0"/>
              <w:keepLines w:val="0"/>
              <w:widowControl/>
              <w:suppressLineNumbers w:val="0"/>
              <w:jc w:val="left"/>
              <w:rPr>
                <w:kern w:val="0"/>
                <w:sz w:val="20"/>
                <w:szCs w:val="20"/>
                <w:bdr w:val="none" w:color="auto" w:sz="0" w:space="0"/>
                <w:lang w:val="en-US"/>
              </w:rPr>
            </w:pPr>
          </w:p>
        </w:tc>
      </w:tr>
    </w:tbl>
    <w:p w14:paraId="5B90EF37">
      <w:pPr>
        <w:ind w:left="0" w:firstLine="723" w:firstLineChars="300"/>
        <w:rPr>
          <w:rFonts w:hint="eastAsia" w:ascii="黑体" w:hAnsi="宋体" w:eastAsia="黑体" w:cs="黑体"/>
          <w:b/>
          <w:bCs/>
          <w:sz w:val="24"/>
          <w:szCs w:val="24"/>
          <w:u w:val="single"/>
          <w:lang w:val="en-US"/>
        </w:rPr>
      </w:pPr>
    </w:p>
    <w:p w14:paraId="4EA4CC5D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54195EA8">
      <w:pPr>
        <w:jc w:val="center"/>
        <w:rPr>
          <w:rFonts w:hint="eastAsia" w:ascii="黑体" w:hAnsi="宋体" w:eastAsia="黑体" w:cs="黑体"/>
          <w:b/>
          <w:bCs/>
          <w:sz w:val="30"/>
          <w:szCs w:val="24"/>
          <w:u w:val="single"/>
          <w:lang w:val="en-US"/>
        </w:rPr>
      </w:pPr>
    </w:p>
    <w:p w14:paraId="0E420B7A">
      <w:pPr>
        <w:jc w:val="center"/>
        <w:rPr>
          <w:u w:val="single"/>
          <w:lang w:val="en-US"/>
        </w:rPr>
      </w:pPr>
    </w:p>
    <w:p w14:paraId="79B74EE4">
      <w:pPr>
        <w:jc w:val="center"/>
        <w:rPr>
          <w:rFonts w:eastAsia="楷体_GB2312"/>
          <w:b/>
          <w:bCs/>
          <w:sz w:val="32"/>
          <w:szCs w:val="24"/>
          <w:lang w:val="en-US"/>
        </w:rPr>
      </w:pPr>
      <w:r>
        <w:rPr>
          <w:rFonts w:hint="eastAsia" w:ascii="Times New Roman" w:eastAsia="楷体_GB2312" w:cs="楷体_GB2312"/>
          <w:b/>
          <w:bCs/>
          <w:sz w:val="32"/>
          <w:szCs w:val="24"/>
          <w:lang w:eastAsia="zh-CN"/>
        </w:rPr>
        <w:t>国家事业单位登记管理局制</w:t>
      </w:r>
    </w:p>
    <w:p w14:paraId="5B5AEF3E">
      <w:pPr>
        <w:jc w:val="center"/>
        <w:rPr>
          <w:rFonts w:eastAsia="楷体_GB2312"/>
          <w:b/>
          <w:bCs/>
          <w:sz w:val="32"/>
          <w:szCs w:val="24"/>
          <w:lang w:val="en-US"/>
        </w:rPr>
      </w:pPr>
    </w:p>
    <w:tbl>
      <w:tblPr>
        <w:tblStyle w:val="12"/>
        <w:tblW w:w="0" w:type="auto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0"/>
        <w:gridCol w:w="2031"/>
        <w:gridCol w:w="1796"/>
        <w:gridCol w:w="1702"/>
        <w:gridCol w:w="2452"/>
      </w:tblGrid>
      <w:tr w14:paraId="17B287F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0A4C0C3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《事业</w:t>
            </w:r>
          </w:p>
          <w:p w14:paraId="3D3D547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</w:t>
            </w:r>
          </w:p>
          <w:p w14:paraId="345B162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法人</w:t>
            </w:r>
          </w:p>
          <w:p w14:paraId="4A6B745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证书》</w:t>
            </w:r>
          </w:p>
          <w:p w14:paraId="3ED29F1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登载</w:t>
            </w:r>
          </w:p>
          <w:p w14:paraId="582AE12B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事项</w:t>
            </w:r>
          </w:p>
        </w:tc>
        <w:tc>
          <w:tcPr>
            <w:tcW w:w="203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F1AD7A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单位名称</w:t>
            </w:r>
          </w:p>
        </w:tc>
        <w:tc>
          <w:tcPr>
            <w:tcW w:w="5949" w:type="dxa"/>
            <w:gridSpan w:val="3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15EA9484">
            <w:pPr>
              <w:spacing w:line="320" w:lineRule="exact"/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桃江县林长制事务中心</w:t>
            </w:r>
          </w:p>
        </w:tc>
      </w:tr>
      <w:tr w14:paraId="0099F1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37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6F1235EE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5FA1CEE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宗旨和</w:t>
            </w:r>
          </w:p>
          <w:p w14:paraId="3DF36E0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业务范围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50BC0522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建立完善的林长制工作体系和森林湿地草原资源保护发展制度体系，确保全县自然生态系统持续向好。落实县级林长、第一副林长、副林长及县级林长会议确定事项，负责拟定林长制管理、考核、宣传等制度和办法；监督、协调各项任务落实，组织实施林长制综合性考核等工作，定期通报林长制工作；承办县级林长、第一副林长和副林长交办的其他工作任务；完成省、市、县下达的各项工作任务和其他日常工作。</w:t>
            </w:r>
          </w:p>
        </w:tc>
      </w:tr>
      <w:tr w14:paraId="3CB957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53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5D8BC42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C6B8D8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住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所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34BAA05E">
            <w:pPr>
              <w:jc w:val="left"/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桃江县桃花江镇桃花东路103号</w:t>
            </w:r>
          </w:p>
        </w:tc>
      </w:tr>
      <w:tr w14:paraId="6E8A123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5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C7D5800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7F4714D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法定代表人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0686FCA7">
            <w:pPr>
              <w:jc w:val="left"/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胡群</w:t>
            </w:r>
          </w:p>
        </w:tc>
      </w:tr>
      <w:tr w14:paraId="02A0C5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6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F7BE324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4A8D0E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开办资金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61DC92EB">
            <w:pPr>
              <w:jc w:val="lef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5</w:t>
            </w:r>
            <w:r>
              <w:rPr>
                <w:rStyle w:val="16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</w:rPr>
              <w:t>（万元）</w:t>
            </w:r>
          </w:p>
        </w:tc>
      </w:tr>
      <w:tr w14:paraId="45FE3C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13CD6FB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F2E9DA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经费来源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7DBCF766">
            <w:pPr>
              <w:jc w:val="left"/>
              <w:rPr>
                <w:sz w:val="32"/>
                <w:szCs w:val="32"/>
                <w:bdr w:val="none" w:color="auto" w:sz="0" w:space="0"/>
                <w:lang w:val="en-US"/>
              </w:rPr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财政补助</w:t>
            </w:r>
          </w:p>
        </w:tc>
      </w:tr>
      <w:tr w14:paraId="63FC5A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4" w:hRule="atLeast"/>
        </w:trPr>
        <w:tc>
          <w:tcPr>
            <w:tcW w:w="1560" w:type="dxa"/>
            <w:vMerge w:val="continue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EAA3FF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BA6D5E9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举办单位</w:t>
            </w:r>
          </w:p>
        </w:tc>
        <w:tc>
          <w:tcPr>
            <w:tcW w:w="59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2C54807A">
            <w:pPr>
              <w:jc w:val="left"/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桃江县林业局</w:t>
            </w:r>
          </w:p>
        </w:tc>
      </w:tr>
      <w:tr w14:paraId="447291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restart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2893E52C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资产</w:t>
            </w:r>
          </w:p>
          <w:p w14:paraId="4B4777E8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b/>
                <w:bCs w:val="0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损益</w:t>
            </w:r>
          </w:p>
          <w:p w14:paraId="5FE3926E">
            <w:pPr>
              <w:keepNext w:val="0"/>
              <w:keepLines w:val="0"/>
              <w:widowControl/>
              <w:suppressLineNumbers w:val="0"/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 w:val="0"/>
                <w:sz w:val="32"/>
                <w:szCs w:val="24"/>
                <w:bdr w:val="none" w:color="auto" w:sz="0" w:space="0"/>
              </w:rPr>
              <w:t>情况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62276C3C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净资产合计（所有者权益合计）</w:t>
            </w:r>
          </w:p>
        </w:tc>
      </w:tr>
      <w:tr w14:paraId="571C12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F1B91E6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20084D8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年初数（万元）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59BDFA41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rFonts w:hint="eastAsia" w:ascii="Times New Roman" w:eastAsia="楷体_GB2312" w:cs="楷体_GB2312"/>
                <w:sz w:val="32"/>
                <w:szCs w:val="24"/>
                <w:bdr w:val="none" w:color="auto" w:sz="0" w:space="0"/>
              </w:rPr>
              <w:t>年末数（万元）</w:t>
            </w:r>
          </w:p>
        </w:tc>
      </w:tr>
      <w:tr w14:paraId="13D177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8" w:hRule="atLeast"/>
        </w:trPr>
        <w:tc>
          <w:tcPr>
            <w:tcW w:w="1560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6766E2E"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0C10B9AE">
            <w:pPr>
              <w:jc w:val="center"/>
              <w:rPr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sz w:val="32"/>
                <w:szCs w:val="24"/>
                <w:bdr w:val="none" w:color="auto" w:sz="0" w:space="0"/>
                <w:lang w:val="en-US"/>
              </w:rPr>
              <w:t>5</w:t>
            </w:r>
          </w:p>
        </w:tc>
        <w:tc>
          <w:tcPr>
            <w:tcW w:w="415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E80B1EF">
            <w:pPr>
              <w:jc w:val="center"/>
            </w:pPr>
            <w:r>
              <w:rPr>
                <w:rStyle w:val="16"/>
                <w:sz w:val="32"/>
                <w:szCs w:val="32"/>
                <w:bdr w:val="none" w:color="auto" w:sz="0" w:space="0"/>
                <w:lang w:val="en-US"/>
              </w:rPr>
              <w:t>5</w:t>
            </w:r>
          </w:p>
        </w:tc>
      </w:tr>
      <w:tr w14:paraId="566004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1032B0B">
            <w:pPr>
              <w:jc w:val="center"/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网上名称</w:t>
            </w:r>
          </w:p>
        </w:tc>
        <w:tc>
          <w:tcPr>
            <w:tcW w:w="382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F6B4F6F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>桃江县林长制事务中心 公益</w:t>
            </w:r>
          </w:p>
        </w:tc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33104EC3">
            <w:pPr>
              <w:jc w:val="center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楷体_GB2312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从业人数</w:t>
            </w:r>
          </w:p>
        </w:tc>
        <w:tc>
          <w:tcPr>
            <w:tcW w:w="2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center"/>
          </w:tcPr>
          <w:p w14:paraId="358377BF">
            <w:pPr>
              <w:spacing w:line="0" w:lineRule="atLeast"/>
              <w:jc w:val="left"/>
              <w:rPr>
                <w:rFonts w:hint="eastAsia" w:ascii="楷体_GB2312" w:eastAsia="楷体_GB2312" w:cs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Style w:val="15"/>
                <w:sz w:val="32"/>
                <w:szCs w:val="24"/>
                <w:bdr w:val="none" w:color="auto" w:sz="0" w:space="0"/>
                <w:lang w:val="en-US"/>
              </w:rPr>
              <w:t>4</w:t>
            </w:r>
          </w:p>
        </w:tc>
      </w:tr>
      <w:tr w14:paraId="208470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9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7A94FB2B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对《条</w:t>
            </w:r>
          </w:p>
          <w:p w14:paraId="08BD854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例》和</w:t>
            </w:r>
          </w:p>
          <w:p w14:paraId="1B63163F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实施细</w:t>
            </w:r>
          </w:p>
          <w:p w14:paraId="27B6F5C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则有关</w:t>
            </w:r>
          </w:p>
          <w:p w14:paraId="0AFC781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变更登</w:t>
            </w:r>
          </w:p>
          <w:p w14:paraId="34834494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记规定</w:t>
            </w:r>
          </w:p>
          <w:p w14:paraId="04BAD161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的执行</w:t>
            </w:r>
          </w:p>
          <w:p w14:paraId="4FE9AE26">
            <w:pPr>
              <w:jc w:val="center"/>
              <w:rPr>
                <w:rFonts w:eastAsia="楷体_GB2312"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0D8AD0FC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严格按照《条例》和实施细则有关规定执行，本年度无变更登记项目。</w:t>
            </w:r>
          </w:p>
        </w:tc>
      </w:tr>
      <w:tr w14:paraId="3D72F4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6E148B5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开</w:t>
            </w:r>
          </w:p>
          <w:p w14:paraId="78021416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展</w:t>
            </w:r>
          </w:p>
          <w:p w14:paraId="0FEE7152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业</w:t>
            </w:r>
          </w:p>
          <w:p w14:paraId="0849602C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务</w:t>
            </w:r>
          </w:p>
          <w:p w14:paraId="59B99648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活</w:t>
            </w:r>
          </w:p>
          <w:p w14:paraId="1D72123A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动</w:t>
            </w:r>
          </w:p>
          <w:p w14:paraId="609AC840">
            <w:pPr>
              <w:jc w:val="center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</w:p>
          <w:p w14:paraId="026DDD77">
            <w:pPr>
              <w:jc w:val="center"/>
              <w:rPr>
                <w:u w:val="single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2483D501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 xml:space="preserve">着力加强体系建设，全面建立健全林长制工作组织、制度和管护体系。坚持县、乡、村三级联动，建立健全林长制工作组织责任体系、工作制度体系和巡林管护体系。全县共设三级林长667名，林业科技员62名，生态护林员271名。以村级行政区划为基础，以每个网格不超过1.5万亩山林为标准，全县划定271个管护网格。 着力夯实基层基础，不断优化机构、队伍和效能建设。2023年8月全面启动乡镇标准化林长办建设，于2023年12月底已全面完成，实现了四有四化（办公有场地，阵地建设规范化；履职有人员，队伍配备专业化；管护有保障，设施配备齐全化；治理有效能，资源管理信息化）的目标。 聚焦资源保护，牢守森林防火、病虫害防治和林地林木资源保护三条底线。县、乡、村各级组建森林防火大队伍302支，配齐必要器材。2023年5月起，面对20年一遇的竹蝗灾害，全县加大投入，防治面积7.2万亩。对森林资源违法图斑根据职责大小由县林长办分级交办，限期办结。2023年共收到并处理森林资源图斑200多个。经乡镇科技员现场核实有违法图斑 33个，县林长办以交办函的形式明确责任单位、整改要求和整改时限，大部分已在年内整改到位。 聚焦增绿复绿，持续开展国土绿化、生态修复和林草资源提质升级。2023年全县组织实施营造林23500亩，全民义务植树120万株，完成森林抚育1万亩，中央油茶示范项目2000亩。全力抓好灰山港、松木塘因石煤、石灰石开采遗留的废弃矿山生态修复，实施国有林场国家战略储备林和林相改造项目，积极支持美丽乡村和乡村振兴示范区建设。 聚焦产业发展，创新竹旅文体康融合发展的生态惠民新机制。国家级楠竹产业示范园区落户桃江，拥有国家级林业产业化龙头企业3家，省级林业产业化龙头企业23家，是湖南竹业产值过百亿第一县。桃江出台了鼓励竹旅文体康融合发展的政策措施，对基地培育，林道建设、产业龙头、科研技改、展览宣传和星级景区景点创建进行以奖代补支持。 </w:t>
            </w:r>
          </w:p>
          <w:p w14:paraId="21C2405C">
            <w:pPr>
              <w:autoSpaceDE w:val="0"/>
              <w:autoSpaceDN w:val="0"/>
              <w:adjustRightInd w:val="0"/>
              <w:snapToGrid w:val="0"/>
              <w:spacing w:line="360" w:lineRule="auto"/>
              <w:rPr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</w:pPr>
          </w:p>
        </w:tc>
      </w:tr>
      <w:tr w14:paraId="6C585D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21" w:hRule="atLeast"/>
        </w:trPr>
        <w:tc>
          <w:tcPr>
            <w:tcW w:w="1560" w:type="dxa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13D0104D">
            <w:pP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相关资质认可或执业许可证明文件及有效期</w:t>
            </w:r>
          </w:p>
        </w:tc>
        <w:tc>
          <w:tcPr>
            <w:tcW w:w="7980" w:type="dxa"/>
            <w:gridSpan w:val="4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12B3C20C">
            <w:pPr>
              <w:spacing w:line="320" w:lineRule="exact"/>
              <w:rPr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4"/>
                <w:bdr w:val="none" w:color="auto" w:sz="0" w:space="0"/>
                <w:lang w:val="en-US"/>
              </w:rPr>
              <w:t>无</w:t>
            </w:r>
          </w:p>
        </w:tc>
      </w:tr>
      <w:tr w14:paraId="3E246A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4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/>
            <w:vAlign w:val="center"/>
          </w:tcPr>
          <w:p w14:paraId="48BEC3F5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绩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效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和受奖惩及诉讼投诉情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  <w:t xml:space="preserve">   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shd w:val="clear"/>
            <w:vAlign w:val="top"/>
          </w:tcPr>
          <w:p w14:paraId="4B7A6A4D">
            <w:pPr>
              <w:jc w:val="left"/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  <w:tr w14:paraId="5EAC17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5" w:hRule="atLeast"/>
        </w:trPr>
        <w:tc>
          <w:tcPr>
            <w:tcW w:w="1560" w:type="dxa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/>
            <w:vAlign w:val="center"/>
          </w:tcPr>
          <w:p w14:paraId="5168F8AF">
            <w:pPr>
              <w:spacing w:line="0" w:lineRule="atLeast"/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  <w:lang w:val="en-US"/>
              </w:rPr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接受捐赠</w:t>
            </w:r>
          </w:p>
          <w:p w14:paraId="733AD26F">
            <w:pPr>
              <w:spacing w:line="0" w:lineRule="atLeast"/>
            </w:pP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资助及使用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情</w:t>
            </w:r>
            <w:r>
              <w:rPr>
                <w:rFonts w:eastAsia="楷体_GB2312"/>
                <w:b/>
                <w:bCs/>
                <w:sz w:val="32"/>
                <w:szCs w:val="24"/>
                <w:bdr w:val="none" w:color="auto" w:sz="0" w:space="0"/>
              </w:rPr>
              <w:t xml:space="preserve"> </w:t>
            </w:r>
            <w:r>
              <w:rPr>
                <w:rFonts w:hint="eastAsia" w:ascii="Times New Roman" w:eastAsia="楷体_GB2312" w:cs="楷体_GB2312"/>
                <w:b/>
                <w:bCs/>
                <w:sz w:val="32"/>
                <w:szCs w:val="24"/>
                <w:bdr w:val="none" w:color="auto" w:sz="0" w:space="0"/>
              </w:rPr>
              <w:t>况</w:t>
            </w:r>
          </w:p>
        </w:tc>
        <w:tc>
          <w:tcPr>
            <w:tcW w:w="798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shd w:val="clear"/>
            <w:vAlign w:val="top"/>
          </w:tcPr>
          <w:p w14:paraId="17BAE073">
            <w:pPr>
              <w:jc w:val="left"/>
            </w:pPr>
            <w:r>
              <w:rPr>
                <w:rStyle w:val="16"/>
                <w:rFonts w:hint="eastAsia" w:ascii="楷体_GB2312" w:eastAsia="楷体_GB2312" w:cs="楷体_GB2312"/>
                <w:sz w:val="28"/>
                <w:szCs w:val="28"/>
                <w:bdr w:val="none" w:color="auto" w:sz="0" w:space="0"/>
                <w:lang w:val="en-US"/>
              </w:rPr>
              <w:t>无</w:t>
            </w:r>
          </w:p>
        </w:tc>
      </w:tr>
    </w:tbl>
    <w:p w14:paraId="55E0F923">
      <w:pPr>
        <w:jc w:val="left"/>
        <w:rPr>
          <w:rFonts w:hint="eastAsia" w:ascii="楷体_GB2312" w:eastAsia="楷体_GB2312" w:cs="楷体_GB2312"/>
          <w:b/>
          <w:bCs/>
          <w:sz w:val="28"/>
          <w:szCs w:val="28"/>
          <w:lang w:val="en-US"/>
        </w:rPr>
      </w:pPr>
    </w:p>
    <w:sectPr>
      <w:pgSz w:w="11906" w:h="16838"/>
      <w:pgMar w:top="1440" w:right="1135" w:bottom="1440" w:left="1135" w:header="851" w:footer="992" w:gutter="0"/>
      <w:paperSrc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@宋体">
    <w:panose1 w:val="02010600030101010101"/>
    <w:charset w:val="86"/>
    <w:family w:val="auto"/>
    <w:pitch w:val="variable"/>
    <w:sig w:usb0="00000003" w:usb1="288F0000" w:usb2="00000006" w:usb3="00000000" w:csb0="00040001" w:csb1="00000000"/>
  </w:font>
  <w:font w:name="@黑体">
    <w:panose1 w:val="02010609060101010101"/>
    <w:charset w:val="86"/>
    <w:family w:val="auto"/>
    <w:pitch w:val="fixed"/>
    <w:sig w:usb0="800002BF" w:usb1="38CF7CFA" w:usb2="00000016" w:usb3="00000000" w:csb0="00040001" w:csb1="00000000"/>
  </w:font>
  <w:font w:name="Cambria Math">
    <w:panose1 w:val="02040503050406030204"/>
    <w:charset w:val="01"/>
    <w:family w:val="auto"/>
    <w:pitch w:val="variable"/>
    <w:sig w:usb0="E00002FF" w:usb1="420024FF" w:usb2="00000000" w:usb3="00000000" w:csb0="2000019F" w:csb1="00000000"/>
  </w:font>
  <w:font w:name="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  <w:font w:name="@楷体_GB2312">
    <w:panose1 w:val="02010609030101010101"/>
    <w:charset w:val="86"/>
    <w:family w:val="auto"/>
    <w:pitch w:val="fixed"/>
    <w:sig w:usb0="00000001" w:usb1="080E0000" w:usb2="00000000" w:usb3="00000000" w:csb0="0004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7"/>
  <w:displayHorizontalDrawingGridEvery w:val="0"/>
  <w:displayVerticalDrawingGridEvery w:val="2"/>
  <w:characterSpacingControl w:val="compressPunctuation"/>
  <w:footnotePr>
    <w:footnote w:id="0"/>
    <w:footnote w:id="1"/>
  </w:footnotePr>
  <w:compat>
    <w:balanceSingleByteDoubleByteWidth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dlNjIyN2U2NjRhN2NiMzUxYTA1NjlkZWExMDEwNWQifQ=="/>
  </w:docVars>
  <w:rsids>
    <w:rsidRoot w:val="00000000"/>
    <w:rsid w:val="53045A1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iPriority="99" w:name="Normal"/>
    <w:lsdException w:qFormat="1" w:unhideWhenUsed="0" w:uiPriority="9" w:semiHidden="0" w:name="heading 1"/>
    <w:lsdException w:qFormat="1" w:unhideWhenUsed="0" w:uiPriority="9" w:semiHidden="0" w:name="heading 2"/>
    <w:lsdException w:qFormat="1" w:unhideWhenUsed="0" w:uiPriority="9" w:semiHidden="0" w:name="heading 3"/>
    <w:lsdException w:qFormat="1" w:unhideWhenUsed="0" w:uiPriority="9" w:semiHidden="0" w:name="heading 4"/>
    <w:lsdException w:qFormat="1" w:unhideWhenUsed="0" w:uiPriority="9" w:semiHidden="0" w:name="heading 5"/>
    <w:lsdException w:qFormat="1" w:unhideWhenUsed="0" w:uiPriority="9" w:semiHidden="0" w:name="heading 6"/>
    <w:lsdException w:qFormat="1" w:unhideWhenUsed="0" w:uiPriority="9" w:semiHidden="0" w:name="heading 7"/>
    <w:lsdException w:qFormat="1" w:unhideWhenUsed="0" w:uiPriority="9" w:semiHidden="0" w:name="heading 8"/>
    <w:lsdException w:qFormat="1" w:unhideWhenUsed="0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39" w:semiHidden="0" w:name="toc 1"/>
    <w:lsdException w:unhideWhenUsed="0" w:uiPriority="39" w:semiHidden="0" w:name="toc 2"/>
    <w:lsdException w:unhideWhenUsed="0" w:uiPriority="39" w:semiHidden="0" w:name="toc 3"/>
    <w:lsdException w:unhideWhenUsed="0" w:uiPriority="39" w:semiHidden="0" w:name="toc 4"/>
    <w:lsdException w:unhideWhenUsed="0" w:uiPriority="39" w:semiHidden="0" w:name="toc 5"/>
    <w:lsdException w:unhideWhenUsed="0" w:uiPriority="39" w:semiHidden="0" w:name="toc 6"/>
    <w:lsdException w:unhideWhenUsed="0" w:uiPriority="39" w:semiHidden="0" w:name="toc 7"/>
    <w:lsdException w:unhideWhenUsed="0" w:uiPriority="39" w:semiHidden="0" w:name="toc 8"/>
    <w:lsdException w:unhideWhenUsed="0" w:uiPriority="39" w:semiHidden="0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nhideWhenUsed="0" w:uiPriority="35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99" w:name="Table Grid"/>
    <w:lsdException w:uiPriority="99" w:name="Table Theme"/>
    <w:lsdException w:uiPriority="99" w:name="Light Shading"/>
    <w:lsdException w:uiPriority="99" w:name="Light List"/>
    <w:lsdException w:uiPriority="99" w:name="Light Grid"/>
    <w:lsdException w:uiPriority="99" w:name="Medium Shading 1"/>
    <w:lsdException w:uiPriority="99" w:name="Medium Shading 2"/>
    <w:lsdException w:uiPriority="99" w:name="Medium List 1"/>
    <w:lsdException w:uiPriority="99" w:name="Medium List 2"/>
    <w:lsdException w:uiPriority="99" w:name="Medium Grid 1"/>
    <w:lsdException w:uiPriority="99" w:name="Medium Grid 2"/>
    <w:lsdException w:uiPriority="99" w:name="Medium Grid 3"/>
    <w:lsdException w:uiPriority="99" w:name="Dark List"/>
    <w:lsdException w:uiPriority="99" w:name="Colorful Shading"/>
    <w:lsdException w:uiPriority="99" w:name="Colorful List"/>
    <w:lsdException w:uiPriority="99" w:name="Colorful Grid"/>
    <w:lsdException w:uiPriority="99" w:name="Light Shading Accent 1"/>
    <w:lsdException w:uiPriority="99" w:name="Light List Accent 1"/>
    <w:lsdException w:uiPriority="99" w:name="Light Grid Accent 1"/>
    <w:lsdException w:uiPriority="99" w:name="Medium Shading 1 Accent 1"/>
    <w:lsdException w:uiPriority="99" w:name="Medium Shading 2 Accent 1"/>
    <w:lsdException w:uiPriority="99" w:name="Medium List 1 Accent 1"/>
    <w:lsdException w:uiPriority="99" w:name="Medium List 2 Accent 1"/>
    <w:lsdException w:uiPriority="99" w:name="Medium Grid 1 Accent 1"/>
    <w:lsdException w:uiPriority="99" w:name="Medium Grid 2 Accent 1"/>
    <w:lsdException w:uiPriority="99" w:name="Medium Grid 3 Accent 1"/>
    <w:lsdException w:uiPriority="99" w:name="Dark List Accent 1"/>
    <w:lsdException w:uiPriority="99" w:name="Colorful Shading Accent 1"/>
    <w:lsdException w:uiPriority="99" w:name="Colorful List Accent 1"/>
    <w:lsdException w:uiPriority="99" w:name="Colorful Grid Accent 1"/>
    <w:lsdException w:uiPriority="99" w:name="Light Shading Accent 2"/>
    <w:lsdException w:uiPriority="99" w:name="Light List Accent 2"/>
    <w:lsdException w:uiPriority="99" w:name="Light Grid Accent 2"/>
    <w:lsdException w:uiPriority="99" w:name="Medium Shading 1 Accent 2"/>
    <w:lsdException w:uiPriority="99" w:name="Medium Shading 2 Accent 2"/>
    <w:lsdException w:uiPriority="99" w:name="Medium List 1 Accent 2"/>
    <w:lsdException w:uiPriority="99" w:name="Medium List 2 Accent 2"/>
    <w:lsdException w:uiPriority="99" w:name="Medium Grid 1 Accent 2"/>
    <w:lsdException w:uiPriority="99" w:name="Medium Grid 2 Accent 2"/>
    <w:lsdException w:uiPriority="99" w:name="Medium Grid 3 Accent 2"/>
    <w:lsdException w:uiPriority="99" w:name="Dark List Accent 2"/>
    <w:lsdException w:uiPriority="99" w:name="Colorful Shading Accent 2"/>
    <w:lsdException w:uiPriority="99" w:name="Colorful List Accent 2"/>
    <w:lsdException w:uiPriority="99" w:name="Colorful Grid Accent 2"/>
    <w:lsdException w:uiPriority="99" w:name="Light Shading Accent 3"/>
    <w:lsdException w:uiPriority="99" w:name="Light List Accent 3"/>
    <w:lsdException w:uiPriority="99" w:name="Light Grid Accent 3"/>
    <w:lsdException w:uiPriority="99" w:name="Medium Shading 1 Accent 3"/>
    <w:lsdException w:uiPriority="99" w:name="Medium Shading 2 Accent 3"/>
    <w:lsdException w:uiPriority="99" w:name="Medium List 1 Accent 3"/>
    <w:lsdException w:uiPriority="99" w:name="Medium List 2 Accent 3"/>
    <w:lsdException w:uiPriority="99" w:name="Medium Grid 1 Accent 3"/>
    <w:lsdException w:uiPriority="99" w:name="Medium Grid 2 Accent 3"/>
    <w:lsdException w:uiPriority="99" w:name="Medium Grid 3 Accent 3"/>
    <w:lsdException w:uiPriority="99" w:name="Dark List Accent 3"/>
    <w:lsdException w:uiPriority="99" w:name="Colorful Shading Accent 3"/>
    <w:lsdException w:uiPriority="99" w:name="Colorful List Accent 3"/>
    <w:lsdException w:uiPriority="99" w:name="Colorful Grid Accent 3"/>
    <w:lsdException w:uiPriority="99" w:name="Light Shading Accent 4"/>
    <w:lsdException w:uiPriority="99" w:name="Light List Accent 4"/>
    <w:lsdException w:uiPriority="99" w:name="Light Grid Accent 4"/>
    <w:lsdException w:uiPriority="99" w:name="Medium Shading 1 Accent 4"/>
    <w:lsdException w:uiPriority="99" w:name="Medium Shading 2 Accent 4"/>
    <w:lsdException w:uiPriority="99" w:name="Medium List 1 Accent 4"/>
    <w:lsdException w:uiPriority="99" w:name="Medium List 2 Accent 4"/>
    <w:lsdException w:uiPriority="99" w:name="Medium Grid 1 Accent 4"/>
    <w:lsdException w:uiPriority="99" w:name="Medium Grid 2 Accent 4"/>
    <w:lsdException w:uiPriority="99" w:name="Medium Grid 3 Accent 4"/>
    <w:lsdException w:uiPriority="99" w:name="Dark List Accent 4"/>
    <w:lsdException w:uiPriority="99" w:name="Colorful Shading Accent 4"/>
    <w:lsdException w:uiPriority="99" w:name="Colorful List Accent 4"/>
    <w:lsdException w:uiPriority="99" w:name="Colorful Grid Accent 4"/>
    <w:lsdException w:uiPriority="99" w:name="Light Shading Accent 5"/>
    <w:lsdException w:uiPriority="99" w:name="Light List Accent 5"/>
    <w:lsdException w:uiPriority="99" w:name="Light Grid Accent 5"/>
    <w:lsdException w:uiPriority="99" w:name="Medium Shading 1 Accent 5"/>
    <w:lsdException w:uiPriority="99" w:name="Medium Shading 2 Accent 5"/>
    <w:lsdException w:uiPriority="99" w:name="Medium List 1 Accent 5"/>
    <w:lsdException w:uiPriority="99" w:name="Medium List 2 Accent 5"/>
    <w:lsdException w:uiPriority="99" w:name="Medium Grid 1 Accent 5"/>
    <w:lsdException w:uiPriority="99" w:name="Medium Grid 2 Accent 5"/>
    <w:lsdException w:uiPriority="99" w:name="Medium Grid 3 Accent 5"/>
    <w:lsdException w:uiPriority="99" w:name="Dark List Accent 5"/>
    <w:lsdException w:uiPriority="99" w:name="Colorful Shading Accent 5"/>
    <w:lsdException w:uiPriority="99" w:name="Colorful List Accent 5"/>
    <w:lsdException w:uiPriority="99" w:name="Colorful Grid Accent 5"/>
    <w:lsdException w:uiPriority="99" w:name="Light Shading Accent 6"/>
    <w:lsdException w:uiPriority="99" w:name="Light List Accent 6"/>
    <w:lsdException w:uiPriority="99" w:name="Light Grid Accent 6"/>
    <w:lsdException w:uiPriority="99" w:name="Medium Shading 1 Accent 6"/>
    <w:lsdException w:uiPriority="99" w:name="Medium Shading 2 Accent 6"/>
    <w:lsdException w:uiPriority="99" w:name="Medium List 1 Accent 6"/>
    <w:lsdException w:uiPriority="99" w:name="Medium List 2 Accent 6"/>
    <w:lsdException w:uiPriority="99" w:name="Medium Grid 1 Accent 6"/>
    <w:lsdException w:uiPriority="99" w:name="Medium Grid 2 Accent 6"/>
    <w:lsdException w:uiPriority="99" w:name="Medium Grid 3 Accent 6"/>
    <w:lsdException w:uiPriority="99" w:name="Dark List Accent 6"/>
    <w:lsdException w:uiPriority="99" w:name="Colorful Shading Accent 6"/>
    <w:lsdException w:uiPriority="99" w:name="Colorful List Accent 6"/>
    <w:lsdException w:uiPriority="99" w:name="Colorful Grid Accent 6"/>
  </w:latentStyles>
  <w:style w:type="paragraph" w:default="1" w:styleId="1">
    <w:name w:val="Normal"/>
    <w:semiHidden/>
    <w:unhideWhenUsed/>
    <w:uiPriority w:val="99"/>
    <w:pPr>
      <w:keepNext w:val="0"/>
      <w:keepLines w:val="0"/>
      <w:widowControl w:val="0"/>
      <w:suppressLineNumbers w:val="0"/>
      <w:spacing w:before="0" w:beforeAutospacing="0" w:after="0" w:afterAutospacing="0"/>
      <w:ind w:left="0" w:right="0"/>
      <w:jc w:val="both"/>
    </w:pPr>
    <w:rPr>
      <w:rFonts w:hint="default" w:ascii="Times New Roman" w:hAnsi="Times New Roman" w:eastAsia="宋体" w:cs="Times New Roman"/>
      <w:kern w:val="2"/>
      <w:sz w:val="21"/>
      <w:szCs w:val="24"/>
      <w:lang w:val="en-US" w:eastAsia="zh-CN" w:bidi="ar"/>
    </w:rPr>
  </w:style>
  <w:style w:type="paragraph" w:styleId="2">
    <w:name w:val="heading 1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0"/>
      <w:szCs w:val="20"/>
      <w:lang w:val="en-US" w:eastAsia="zh-CN" w:bidi="ar"/>
    </w:rPr>
  </w:style>
  <w:style w:type="paragraph" w:styleId="7">
    <w:name w:val="heading 6"/>
    <w:basedOn w:val="1"/>
    <w:next w:val="1"/>
    <w:qFormat/>
    <w:uiPriority w:val="9"/>
    <w:pPr>
      <w:widowControl/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15"/>
      <w:szCs w:val="15"/>
      <w:lang w:val="en-US" w:eastAsia="zh-CN" w:bidi="ar"/>
    </w:rPr>
  </w:style>
  <w:style w:type="character" w:default="1" w:styleId="13">
    <w:name w:val="Default Paragraph Font"/>
    <w:semiHidden/>
    <w:unhideWhenUsed/>
    <w:uiPriority w:val="99"/>
  </w:style>
  <w:style w:type="table" w:default="1" w:styleId="12">
    <w:name w:val="Normal Table"/>
    <w:semiHidden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footer"/>
    <w:basedOn w:val="1"/>
    <w:link w:val="18"/>
    <w:semiHidden/>
    <w:unhideWhenUsed/>
    <w:uiPriority w:val="99"/>
    <w:pPr>
      <w:keepNext w:val="0"/>
      <w:keepLines w:val="0"/>
      <w:widowControl w:val="0"/>
      <w:suppressLineNumbers w:val="0"/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left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9">
    <w:name w:val="header"/>
    <w:basedOn w:val="1"/>
    <w:link w:val="17"/>
    <w:semiHidden/>
    <w:unhideWhenUsed/>
    <w:uiPriority w:val="99"/>
    <w:pPr>
      <w:keepNext w:val="0"/>
      <w:keepLines w:val="0"/>
      <w:widowControl w:val="0"/>
      <w:suppressLineNumbers w:val="0"/>
      <w:pBdr>
        <w:top w:val="none" w:color="auto" w:sz="0" w:space="0"/>
        <w:left w:val="none" w:color="auto" w:sz="0" w:space="0"/>
        <w:bottom w:val="single" w:color="auto" w:sz="6" w:space="1"/>
        <w:right w:val="none" w:color="auto" w:sz="0" w:space="0"/>
      </w:pBdr>
      <w:tabs>
        <w:tab w:val="center" w:pos="4153"/>
        <w:tab w:val="right" w:pos="8306"/>
      </w:tabs>
      <w:snapToGrid w:val="0"/>
      <w:spacing w:before="0" w:beforeAutospacing="0" w:after="0" w:afterAutospacing="0"/>
      <w:ind w:left="0" w:right="0"/>
      <w:jc w:val="center"/>
    </w:pPr>
    <w:rPr>
      <w:rFonts w:hint="default" w:ascii="Times New Roman" w:hAnsi="Times New Roman" w:eastAsia="宋体" w:cs="Times New Roman"/>
      <w:kern w:val="2"/>
      <w:sz w:val="18"/>
      <w:szCs w:val="18"/>
      <w:lang w:val="en-US" w:eastAsia="zh-CN" w:bidi="ar"/>
    </w:rPr>
  </w:style>
  <w:style w:type="paragraph" w:styleId="10">
    <w:name w:val="HTML Preformatted"/>
    <w:basedOn w:val="1"/>
    <w:semiHidden/>
    <w:unhideWhenUsed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semiHidden/>
    <w:unhideWhenUsed/>
    <w:uiPriority w:val="99"/>
    <w:pPr>
      <w:widowControl/>
      <w:spacing w:before="0" w:beforeAutospacing="1" w:after="0" w:afterAutospacing="1"/>
      <w:ind w:left="0" w:right="0"/>
      <w:jc w:val="left"/>
    </w:pPr>
    <w:rPr>
      <w:rFonts w:ascii="宋体" w:hAnsi="宋体" w:eastAsia="宋体" w:cs="宋体"/>
      <w:kern w:val="0"/>
      <w:sz w:val="24"/>
      <w:lang w:val="en-US" w:eastAsia="zh-CN" w:bidi="ar"/>
    </w:rPr>
  </w:style>
  <w:style w:type="character" w:customStyle="1" w:styleId="14">
    <w:name w:val="font21"/>
    <w:basedOn w:val="13"/>
    <w:uiPriority w:val="0"/>
    <w:rPr>
      <w:rFonts w:hint="default" w:ascii="Times New Roman" w:hAnsi="Times New Roman" w:eastAsia="楷体_GB2312" w:cs="Times New Roman"/>
      <w:sz w:val="30"/>
      <w:szCs w:val="24"/>
    </w:rPr>
  </w:style>
  <w:style w:type="character" w:customStyle="1" w:styleId="15">
    <w:name w:val="font61"/>
    <w:basedOn w:val="13"/>
    <w:uiPriority w:val="0"/>
    <w:rPr>
      <w:rFonts w:hint="default" w:ascii="Times New Roman" w:hAnsi="Times New Roman" w:eastAsia="楷体_GB2312" w:cs="Times New Roman"/>
      <w:sz w:val="32"/>
      <w:szCs w:val="24"/>
    </w:rPr>
  </w:style>
  <w:style w:type="character" w:customStyle="1" w:styleId="16">
    <w:name w:val="font71"/>
    <w:basedOn w:val="13"/>
    <w:uiPriority w:val="0"/>
    <w:rPr>
      <w:rFonts w:hint="default" w:ascii="Times New Roman" w:hAnsi="Times New Roman" w:eastAsia="楷体_GB2312" w:cs="Times New Roman"/>
      <w:sz w:val="28"/>
      <w:szCs w:val="24"/>
    </w:rPr>
  </w:style>
  <w:style w:type="character" w:customStyle="1" w:styleId="17">
    <w:name w:val="页眉 Char"/>
    <w:basedOn w:val="13"/>
    <w:link w:val="9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8">
    <w:name w:val="页脚 Char"/>
    <w:basedOn w:val="13"/>
    <w:link w:val="8"/>
    <w:locked/>
    <w:uiPriority w:val="0"/>
    <w:rPr>
      <w:rFonts w:hint="default" w:ascii="Times New Roman" w:hAnsi="Times New Roman" w:eastAsia="宋体" w:cs="Times New Roman"/>
      <w:sz w:val="18"/>
      <w:szCs w:val="18"/>
    </w:rPr>
  </w:style>
  <w:style w:type="character" w:customStyle="1" w:styleId="19">
    <w:name w:val="font51"/>
    <w:basedOn w:val="13"/>
    <w:uiPriority w:val="0"/>
    <w:rPr>
      <w:rFonts w:hint="eastAsia" w:ascii="黑体" w:hAnsi="宋体" w:eastAsia="黑体" w:cs="黑体"/>
      <w:sz w:val="36"/>
      <w:szCs w:val="24"/>
    </w:rPr>
  </w:style>
  <w:style w:type="character" w:customStyle="1" w:styleId="20">
    <w:name w:val="hps"/>
    <w:basedOn w:val="13"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Company>WwW.YlmF.CoM</Company>
  <Pages>6</Pages>
  <Words>1271</Words>
  <Characters>1351</Characters>
  <Lines>4</Lines>
  <Paragraphs>1</Paragraphs>
  <TotalTime>45456.4062500016</TotalTime>
  <ScaleCrop>false</ScaleCrop>
  <LinksUpToDate>false</LinksUpToDate>
  <CharactersWithSpaces>1393</CharactersWithSpaces>
  <Application>WPS Office_12.1.0.17133_F1E327BC-269C-435d-A152-05C5408002CA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1899-12-29T16:00:00Z</dcterms:created>
  <dc:creator>雨林木风</dc:creator>
  <cp:lastModifiedBy>Administrator</cp:lastModifiedBy>
  <dcterms:modified xsi:type="dcterms:W3CDTF">2024-06-13T01:58:10Z</dcterms:modified>
  <cp:revision>68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FF81B032D6634087BD685318D09655CC_13</vt:lpwstr>
  </property>
</Properties>
</file>