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78114AC3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6A2A26BB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8"/>
          <w:b/>
          <w:bCs/>
          <w:sz w:val="30"/>
          <w:szCs w:val="30"/>
          <w:lang w:val="en-US"/>
        </w:rPr>
        <w:t>12430922570258708P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4F0B987C">
      <w:pPr>
        <w:jc w:val="right"/>
        <w:rPr>
          <w:lang w:val="en-US"/>
        </w:rPr>
      </w:pPr>
    </w:p>
    <w:p w14:paraId="2E4AE0AE">
      <w:pPr>
        <w:jc w:val="right"/>
        <w:rPr>
          <w:lang w:val="en-US"/>
        </w:rPr>
      </w:pPr>
    </w:p>
    <w:p w14:paraId="148CD1C4">
      <w:pPr>
        <w:jc w:val="right"/>
        <w:rPr>
          <w:lang w:val="en-US"/>
        </w:rPr>
      </w:pPr>
    </w:p>
    <w:p w14:paraId="67FF96FE">
      <w:pPr>
        <w:jc w:val="right"/>
        <w:rPr>
          <w:lang w:val="en-US"/>
        </w:rPr>
      </w:pPr>
    </w:p>
    <w:p w14:paraId="13DC8260">
      <w:pPr>
        <w:jc w:val="right"/>
        <w:rPr>
          <w:lang w:val="en-US"/>
        </w:rPr>
      </w:pPr>
    </w:p>
    <w:p w14:paraId="306DBC33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281757D8">
      <w:pPr>
        <w:jc w:val="center"/>
        <w:rPr>
          <w:rFonts w:eastAsia="黑体"/>
          <w:b/>
          <w:bCs/>
          <w:spacing w:val="30"/>
          <w:lang w:val="en-US"/>
        </w:rPr>
      </w:pPr>
    </w:p>
    <w:p w14:paraId="38EDB472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8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150AF08E">
      <w:pPr>
        <w:jc w:val="center"/>
        <w:rPr>
          <w:sz w:val="36"/>
          <w:szCs w:val="24"/>
          <w:lang w:val="en-US"/>
        </w:rPr>
      </w:pPr>
    </w:p>
    <w:p w14:paraId="6AD72039">
      <w:pPr>
        <w:jc w:val="center"/>
        <w:rPr>
          <w:sz w:val="36"/>
          <w:szCs w:val="24"/>
          <w:lang w:val="en-US"/>
        </w:rPr>
      </w:pPr>
    </w:p>
    <w:p w14:paraId="196EDD19">
      <w:pPr>
        <w:jc w:val="center"/>
        <w:rPr>
          <w:sz w:val="36"/>
          <w:szCs w:val="24"/>
          <w:lang w:val="en-US"/>
        </w:rPr>
      </w:pPr>
    </w:p>
    <w:p w14:paraId="1CB9AFB8">
      <w:pPr>
        <w:jc w:val="center"/>
        <w:rPr>
          <w:sz w:val="36"/>
          <w:szCs w:val="24"/>
          <w:lang w:val="en-US"/>
        </w:rPr>
      </w:pPr>
    </w:p>
    <w:p w14:paraId="25525D9C">
      <w:pPr>
        <w:jc w:val="center"/>
        <w:rPr>
          <w:sz w:val="36"/>
          <w:szCs w:val="24"/>
          <w:lang w:val="en-US"/>
        </w:rPr>
      </w:pPr>
    </w:p>
    <w:p w14:paraId="237C8768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7C8747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64F8807A">
            <w:pPr>
              <w:jc w:val="distribute"/>
            </w:pP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7233FDA9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桃江县农产品质量安全检测站</w:t>
            </w:r>
          </w:p>
        </w:tc>
      </w:tr>
    </w:tbl>
    <w:p w14:paraId="32753A1F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5CC65F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075E03D7">
            <w:pPr>
              <w:jc w:val="distribute"/>
            </w:pP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9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3EBBD429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08D23439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1A8C28A9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0397787E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41DE95D0">
      <w:pPr>
        <w:jc w:val="center"/>
        <w:rPr>
          <w:u w:val="single"/>
          <w:lang w:val="en-US"/>
        </w:rPr>
      </w:pPr>
    </w:p>
    <w:p w14:paraId="62504BBB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052352AD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13372E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712997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419DF00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5C2ACAB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2F8B8E3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68038F9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6DE071C7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213A12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185C9A7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桃江县农产品质量安全检测站</w:t>
            </w:r>
          </w:p>
        </w:tc>
      </w:tr>
      <w:tr w14:paraId="41D7D9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2FEE4E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75B115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13EB09C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81E190C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为农产品质量安全提供检测服务。负责全县农产品质量安全检测 农产品质量安全监督 其他相关服务</w:t>
            </w:r>
          </w:p>
        </w:tc>
      </w:tr>
      <w:tr w14:paraId="4CB6AB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44ABD0E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FE363A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0803D051">
            <w:pPr>
              <w:jc w:val="left"/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桃江县桃花江镇桃花东路</w:t>
            </w:r>
          </w:p>
        </w:tc>
      </w:tr>
      <w:tr w14:paraId="3F0121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B1F0F6B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4E266A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498134A">
            <w:pPr>
              <w:jc w:val="left"/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罗小军</w:t>
            </w:r>
          </w:p>
        </w:tc>
      </w:tr>
      <w:tr w14:paraId="5715B2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9D827F4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C7BBB0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CDE78E9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1</w:t>
            </w: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5B4BF4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B52CD24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33937B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3C6165A9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财政补助（全额拨款）</w:t>
            </w:r>
          </w:p>
        </w:tc>
      </w:tr>
      <w:tr w14:paraId="1B8F4A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FB12D3F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B81295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15A250A5">
            <w:pPr>
              <w:jc w:val="left"/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桃江县农业农村局</w:t>
            </w:r>
          </w:p>
        </w:tc>
      </w:tr>
      <w:tr w14:paraId="1F624C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5933A38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6C0814C0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40FA4C06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C53ACE2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60ECCD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7D04BC4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6DCC555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B1E5382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1B1E25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A4D58BF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17505BF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sz w:val="32"/>
                <w:szCs w:val="24"/>
                <w:bdr w:val="none" w:color="auto" w:sz="0" w:space="0"/>
                <w:lang w:val="en-US"/>
              </w:rPr>
              <w:t>1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CCDA1A1">
            <w:pPr>
              <w:jc w:val="center"/>
            </w:pPr>
            <w:r>
              <w:rPr>
                <w:rStyle w:val="14"/>
                <w:sz w:val="32"/>
                <w:szCs w:val="32"/>
                <w:bdr w:val="none" w:color="auto" w:sz="0" w:space="0"/>
                <w:lang w:val="en-US"/>
              </w:rPr>
              <w:t>1</w:t>
            </w:r>
          </w:p>
        </w:tc>
      </w:tr>
      <w:tr w14:paraId="625056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6497576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32C8CC9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桃江县农产品质量安全检测站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3AB57B7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FD77AFD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sz w:val="32"/>
                <w:szCs w:val="24"/>
                <w:bdr w:val="none" w:color="auto" w:sz="0" w:space="0"/>
                <w:lang w:val="en-US"/>
              </w:rPr>
              <w:t>4</w:t>
            </w:r>
          </w:p>
        </w:tc>
      </w:tr>
      <w:tr w14:paraId="083E55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E36AB1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5453222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111A9CC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15366AF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74E3828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2889700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403516D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3B6BB1C8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2226369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严格按照《条例》和细则执行 本年度无变更登记项目，没有违法违规等情况</w:t>
            </w:r>
          </w:p>
        </w:tc>
      </w:tr>
      <w:tr w14:paraId="46E82B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245ED52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778538D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55EF650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5011072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0591E2A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2C4B832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41F73DA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05D21856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7B195C67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1.农残方面：对全县的各大蔬菜基地、水果采摘园、小规模种植户、农贸市场、运逾车，会议期间指定酒店进行了取样，共抽检样品2205批次，农残定性分析2205批次（农商城1批次呈阳性，华美达1批次呈阳性），定量分析402批次（检出农药24批次，其中23 批次未超限量值，1批次无最大限量值），农药残留综合合格率为99.9%。重金属方面：检稻谷200份品（定量分析）。 2.实验室通过了双认证考核 ，获得“农产品质量安全检测机构考核合格证书”和“检验检测机构资质认定证书”。 3.配合市检测中心例行监测抽样168批次。 4培训方面，经考核已取得合格证，5月份派2人次参加湖南省农业农村厅组织的农残培训，1人次双认证现场观摩培训；6月份，派遣1人次参加湖南省农业农村厅组织的重金属培训，7月份派遣2人次参加省厅组织的胶体金速测培训，9月份派遣1人次参加省厅组织的能力验证培训。 我站实际使用的名称与核准登记的名称一致，住所与核准登记的住所一致，按照核准登记的宗旨和业务范围开展业务活动。有关资质认证继续有效；无抽逃、转移开办资金的行为；开办资金无变化。 </w:t>
            </w:r>
          </w:p>
          <w:p w14:paraId="4130378F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03450B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C155B5F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6FF8516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检验检测机构资质认定证书编号：231804090879 证书有效期截至时间：2029年02月23日 农产品质量安全检测机构考核合格证书编号：[2023]农质检核（湘）字第0193号证书有效期截至时间：2029年03月01日</w:t>
            </w:r>
          </w:p>
        </w:tc>
      </w:tr>
      <w:tr w14:paraId="496FCF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BD1A31E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9C05516">
            <w:pPr>
              <w:jc w:val="left"/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28A61C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5B25F65D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00A61204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47FF9573">
            <w:pPr>
              <w:jc w:val="left"/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590011AF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799652F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7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6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  <w:style w:type="character" w:customStyle="1" w:styleId="15">
    <w:name w:val="hps"/>
    <w:basedOn w:val="13"/>
    <w:uiPriority w:val="0"/>
  </w:style>
  <w:style w:type="character" w:customStyle="1" w:styleId="16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7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8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9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20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5</Pages>
  <Words>911</Words>
  <Characters>996</Characters>
  <Lines>4</Lines>
  <Paragraphs>1</Paragraphs>
  <TotalTime>45456.4062500016</TotalTime>
  <ScaleCrop>false</ScaleCrop>
  <LinksUpToDate>false</LinksUpToDate>
  <CharactersWithSpaces>1043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2024-06-13T02:09:58Z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EE84910CF0F64D3596A12DF39EF1CF26_13</vt:lpwstr>
  </property>
</Properties>
</file>