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1B3866F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1C2DA82C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5"/>
          <w:b/>
          <w:bCs/>
          <w:sz w:val="30"/>
          <w:szCs w:val="30"/>
          <w:lang w:val="en-US"/>
        </w:rPr>
        <w:t>12430922MB1A49884H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229E2450">
      <w:pPr>
        <w:jc w:val="right"/>
        <w:rPr>
          <w:lang w:val="en-US"/>
        </w:rPr>
      </w:pPr>
    </w:p>
    <w:p w14:paraId="2B7ED611">
      <w:pPr>
        <w:jc w:val="right"/>
        <w:rPr>
          <w:lang w:val="en-US"/>
        </w:rPr>
      </w:pPr>
    </w:p>
    <w:p w14:paraId="5D4B8E1D">
      <w:pPr>
        <w:jc w:val="right"/>
        <w:rPr>
          <w:lang w:val="en-US"/>
        </w:rPr>
      </w:pPr>
    </w:p>
    <w:p w14:paraId="50B13F73">
      <w:pPr>
        <w:jc w:val="right"/>
        <w:rPr>
          <w:lang w:val="en-US"/>
        </w:rPr>
      </w:pPr>
    </w:p>
    <w:p w14:paraId="03757ADC">
      <w:pPr>
        <w:jc w:val="right"/>
        <w:rPr>
          <w:lang w:val="en-US"/>
        </w:rPr>
      </w:pPr>
    </w:p>
    <w:p w14:paraId="48FA859F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6EC2E413">
      <w:pPr>
        <w:jc w:val="center"/>
        <w:rPr>
          <w:rFonts w:eastAsia="黑体"/>
          <w:b/>
          <w:bCs/>
          <w:spacing w:val="30"/>
          <w:lang w:val="en-US"/>
        </w:rPr>
      </w:pPr>
    </w:p>
    <w:p w14:paraId="1E4FB7CE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5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65AD68AB">
      <w:pPr>
        <w:jc w:val="center"/>
        <w:rPr>
          <w:sz w:val="36"/>
          <w:szCs w:val="24"/>
          <w:lang w:val="en-US"/>
        </w:rPr>
      </w:pPr>
    </w:p>
    <w:p w14:paraId="549F831D">
      <w:pPr>
        <w:jc w:val="center"/>
        <w:rPr>
          <w:sz w:val="36"/>
          <w:szCs w:val="24"/>
          <w:lang w:val="en-US"/>
        </w:rPr>
      </w:pPr>
    </w:p>
    <w:p w14:paraId="641A361F">
      <w:pPr>
        <w:jc w:val="center"/>
        <w:rPr>
          <w:sz w:val="36"/>
          <w:szCs w:val="24"/>
          <w:lang w:val="en-US"/>
        </w:rPr>
      </w:pPr>
    </w:p>
    <w:p w14:paraId="2C9C4226">
      <w:pPr>
        <w:jc w:val="center"/>
        <w:rPr>
          <w:sz w:val="36"/>
          <w:szCs w:val="24"/>
          <w:lang w:val="en-US"/>
        </w:rPr>
      </w:pPr>
    </w:p>
    <w:p w14:paraId="4B8D2B43">
      <w:pPr>
        <w:jc w:val="center"/>
        <w:rPr>
          <w:sz w:val="36"/>
          <w:szCs w:val="24"/>
          <w:lang w:val="en-US"/>
        </w:rPr>
      </w:pPr>
    </w:p>
    <w:p w14:paraId="3FF43E72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1004BD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50EC0AAD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20471E3B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桃江县区域经济发展事务中心</w:t>
            </w:r>
          </w:p>
        </w:tc>
      </w:tr>
    </w:tbl>
    <w:p w14:paraId="7BA72608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4E8546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17B5B60D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7317D403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76EE04DC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75B71435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B54CD53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2C08117C">
      <w:pPr>
        <w:jc w:val="center"/>
        <w:rPr>
          <w:u w:val="single"/>
          <w:lang w:val="en-US"/>
        </w:rPr>
      </w:pPr>
    </w:p>
    <w:p w14:paraId="1C3B132B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1C071226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0A54F8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7F9307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4AAC9CA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7113138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437B28C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2CB9BE9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21B75DE2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9EC801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3F0DECC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桃江县区域经济发展事务中心</w:t>
            </w:r>
          </w:p>
        </w:tc>
      </w:tr>
      <w:tr w14:paraId="557C64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7A0866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772236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52254BC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0349635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负责全县“两型”建设及区域经济发展相关事务服务工作</w:t>
            </w:r>
          </w:p>
        </w:tc>
      </w:tr>
      <w:tr w14:paraId="7725C3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3D682D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216A3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FD34DD2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湖南省益阳市桃江县建设路9号</w:t>
            </w:r>
          </w:p>
        </w:tc>
      </w:tr>
      <w:tr w14:paraId="060691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F4555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A65B0A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1ECA573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夏次龙</w:t>
            </w:r>
          </w:p>
        </w:tc>
      </w:tr>
      <w:tr w14:paraId="5732A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55B49C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43D722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5F267AB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10</w:t>
            </w: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0875FA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7E43F1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8FDB7A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4D3D5F05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6942A0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1F2D8C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16FEBD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055EAF6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桃江县发展和改革局</w:t>
            </w:r>
          </w:p>
        </w:tc>
      </w:tr>
      <w:tr w14:paraId="355907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C5E6ADA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4F24D3D9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5CE58B76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1B918F9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20D75F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3C2EC9F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4C76B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8F38BF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7B4EFE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BCF4BC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4692F0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10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4BA0782">
            <w:pPr>
              <w:jc w:val="center"/>
            </w:pPr>
            <w:r>
              <w:rPr>
                <w:rStyle w:val="20"/>
                <w:sz w:val="32"/>
                <w:szCs w:val="32"/>
                <w:bdr w:val="none" w:color="auto" w:sz="0" w:space="0"/>
                <w:lang w:val="en-US"/>
              </w:rPr>
              <w:t>10</w:t>
            </w:r>
          </w:p>
        </w:tc>
      </w:tr>
      <w:tr w14:paraId="52AD7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1D14E34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64084E8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桃江县区域经济发展事务中心。公益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8CADDD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4A0A5A2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4</w:t>
            </w:r>
          </w:p>
        </w:tc>
      </w:tr>
      <w:tr w14:paraId="1B75FD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D3796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2CEE2FE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2EFFCAC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3A30CA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1E9605A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2D885F5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49B3378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58ED2A0D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E42259F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2020年1月15日完成设立登记，法定代表人为夏次龙。</w:t>
            </w:r>
          </w:p>
        </w:tc>
      </w:tr>
      <w:tr w14:paraId="4686F9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6C8B81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4EC2E45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57DC0A9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60DD5F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6BA8A70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41453D3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5A9AFB6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421C8752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79BE4AC8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完成了全县“两型”建设及区域经济发展相关事务服务工作任务。 </w:t>
            </w:r>
          </w:p>
          <w:p w14:paraId="5458096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79DCCA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6ED8659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1D07296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7FA16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DD4DA5A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06646FF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绩效考核为合格，无诉讼情况。</w:t>
            </w:r>
          </w:p>
        </w:tc>
      </w:tr>
      <w:tr w14:paraId="685B86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42CC5C8F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2D76E156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3C819AE">
            <w:pPr>
              <w:jc w:val="left"/>
            </w:pPr>
            <w:r>
              <w:rPr>
                <w:rStyle w:val="20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2C870CAC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508F5C1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4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5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6">
    <w:name w:val="hps"/>
    <w:basedOn w:val="13"/>
    <w:uiPriority w:val="0"/>
  </w:style>
  <w:style w:type="character" w:customStyle="1" w:styleId="17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20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4</Pages>
  <Words>403</Words>
  <Characters>445</Characters>
  <Lines>4</Lines>
  <Paragraphs>1</Paragraphs>
  <TotalTime>45455.7187500016</TotalTime>
  <ScaleCrop>false</ScaleCrop>
  <LinksUpToDate>false</LinksUpToDate>
  <CharactersWithSpaces>481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2024-06-12T09:19:21Z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5AA943EDA0AF4E03AD5F034C4337FEFD_13</vt:lpwstr>
  </property>
</Properties>
</file>