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2FA13E5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6980C02F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5"/>
          <w:b/>
          <w:bCs/>
          <w:sz w:val="30"/>
          <w:szCs w:val="30"/>
          <w:lang w:val="en-US"/>
        </w:rPr>
        <w:t>12430922064247758U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598DDBBA">
      <w:pPr>
        <w:jc w:val="right"/>
        <w:rPr>
          <w:lang w:val="en-US"/>
        </w:rPr>
      </w:pPr>
    </w:p>
    <w:p w14:paraId="3E336FBD">
      <w:pPr>
        <w:jc w:val="right"/>
        <w:rPr>
          <w:lang w:val="en-US"/>
        </w:rPr>
      </w:pPr>
    </w:p>
    <w:p w14:paraId="0C6D8EC5">
      <w:pPr>
        <w:jc w:val="right"/>
        <w:rPr>
          <w:lang w:val="en-US"/>
        </w:rPr>
      </w:pPr>
    </w:p>
    <w:p w14:paraId="7EB2DAD4">
      <w:pPr>
        <w:jc w:val="right"/>
        <w:rPr>
          <w:lang w:val="en-US"/>
        </w:rPr>
      </w:pPr>
    </w:p>
    <w:p w14:paraId="3CD8BB8C">
      <w:pPr>
        <w:jc w:val="right"/>
        <w:rPr>
          <w:lang w:val="en-US"/>
        </w:rPr>
      </w:pPr>
    </w:p>
    <w:p w14:paraId="41BC581E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0EEE8116">
      <w:pPr>
        <w:jc w:val="center"/>
        <w:rPr>
          <w:rFonts w:eastAsia="黑体"/>
          <w:b/>
          <w:bCs/>
          <w:spacing w:val="30"/>
          <w:lang w:val="en-US"/>
        </w:rPr>
      </w:pPr>
    </w:p>
    <w:p w14:paraId="78D0E08D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5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6E65CFC4">
      <w:pPr>
        <w:jc w:val="center"/>
        <w:rPr>
          <w:sz w:val="36"/>
          <w:szCs w:val="24"/>
          <w:lang w:val="en-US"/>
        </w:rPr>
      </w:pPr>
    </w:p>
    <w:p w14:paraId="267706E1">
      <w:pPr>
        <w:jc w:val="center"/>
        <w:rPr>
          <w:sz w:val="36"/>
          <w:szCs w:val="24"/>
          <w:lang w:val="en-US"/>
        </w:rPr>
      </w:pPr>
    </w:p>
    <w:p w14:paraId="21B7453C">
      <w:pPr>
        <w:jc w:val="center"/>
        <w:rPr>
          <w:sz w:val="36"/>
          <w:szCs w:val="24"/>
          <w:lang w:val="en-US"/>
        </w:rPr>
      </w:pPr>
    </w:p>
    <w:p w14:paraId="2521A245">
      <w:pPr>
        <w:jc w:val="center"/>
        <w:rPr>
          <w:sz w:val="36"/>
          <w:szCs w:val="24"/>
          <w:lang w:val="en-US"/>
        </w:rPr>
      </w:pPr>
    </w:p>
    <w:p w14:paraId="6149F6B8">
      <w:pPr>
        <w:jc w:val="center"/>
        <w:rPr>
          <w:sz w:val="36"/>
          <w:szCs w:val="24"/>
          <w:lang w:val="en-US"/>
        </w:rPr>
      </w:pPr>
    </w:p>
    <w:p w14:paraId="3C8E6C6C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00C7B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67B4E848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2D45A0ED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桃江县燃气管理站</w:t>
            </w:r>
          </w:p>
        </w:tc>
      </w:tr>
    </w:tbl>
    <w:p w14:paraId="04FBC394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31CC56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07799593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4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1BDC5113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121AC1CC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542395FC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F1CDA1C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51DBFB3">
      <w:pPr>
        <w:jc w:val="center"/>
        <w:rPr>
          <w:u w:val="single"/>
          <w:lang w:val="en-US"/>
        </w:rPr>
      </w:pPr>
    </w:p>
    <w:p w14:paraId="392DBB85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6EF5D1A4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07936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E146AE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0D76845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06347E4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3E000E0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79DC23F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534A123E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14BA4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CA318FD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桃江县燃气管理站</w:t>
            </w:r>
          </w:p>
        </w:tc>
      </w:tr>
      <w:tr w14:paraId="1D9AD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E0802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A04124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3D7D851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61C3913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贯彻执行有关燃气管理的法律、法规和行业标准 负责全县范围内液化气、天然气管理工作 协助对燃气事故勘查取证、认定事故原因和责任 负责全县燃气管道施工管理、质量安全监督</w:t>
            </w:r>
          </w:p>
        </w:tc>
      </w:tr>
      <w:tr w14:paraId="365D3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50D82C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225EFE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2E45C60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桃江县桃花江镇芙蓉路与天子山路交汇处</w:t>
            </w:r>
          </w:p>
        </w:tc>
      </w:tr>
      <w:tr w14:paraId="1E65C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2E0DF7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4B6F6F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9543275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高兵</w:t>
            </w:r>
          </w:p>
        </w:tc>
      </w:tr>
      <w:tr w14:paraId="3FA75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B978A3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A3759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4EE7044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10</w:t>
            </w: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7C444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EB1F78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4AEA7C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4B684B0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财政补助（全额拨款）</w:t>
            </w:r>
          </w:p>
        </w:tc>
      </w:tr>
      <w:tr w14:paraId="08CAEE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533E14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F2D332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35E12A3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桃江县住房和城乡建设局</w:t>
            </w:r>
          </w:p>
        </w:tc>
      </w:tr>
      <w:tr w14:paraId="7455B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C2A206A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6A03F9EB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5E37CE60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5D2E174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4B2D6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A8F623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2B2D18F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1A23827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3B570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6E7A17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BB4E585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sz w:val="32"/>
                <w:szCs w:val="24"/>
                <w:bdr w:val="none" w:color="auto" w:sz="0" w:space="0"/>
                <w:lang w:val="en-US"/>
              </w:rPr>
              <w:t>10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1AF051B">
            <w:pPr>
              <w:jc w:val="center"/>
            </w:pPr>
            <w:r>
              <w:rPr>
                <w:rStyle w:val="19"/>
                <w:sz w:val="32"/>
                <w:szCs w:val="32"/>
                <w:bdr w:val="none" w:color="auto" w:sz="0" w:space="0"/>
                <w:lang w:val="en-US"/>
              </w:rPr>
              <w:t>10</w:t>
            </w:r>
          </w:p>
        </w:tc>
      </w:tr>
      <w:tr w14:paraId="2082D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24F0C5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C5D2C52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桃江县燃气管理站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211EF95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51D1C1D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sz w:val="32"/>
                <w:szCs w:val="24"/>
                <w:bdr w:val="none" w:color="auto" w:sz="0" w:space="0"/>
                <w:lang w:val="en-US"/>
              </w:rPr>
              <w:t>5</w:t>
            </w:r>
          </w:p>
        </w:tc>
      </w:tr>
      <w:tr w14:paraId="4AB77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71933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0481AE8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34A3B2A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28453FC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4544ACF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587425B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32D1A99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1559CEB5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D5E9939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严格执行《条例》和实施细则</w:t>
            </w:r>
          </w:p>
        </w:tc>
      </w:tr>
      <w:tr w14:paraId="1F120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443E733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616430E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60CE9B1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2628B18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7303B56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3C7EB4F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5AAE346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5A6E61FE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2DE81366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1.根据国务院、省、市城镇燃气安全专项整治工作要求，制定了《桃江县城镇燃气安全专项整治工作实施方案》。成立由县应急、住建、市监、商务、城管、交通、公安、消防救援大队等8个单位的桃江县城镇燃气安全专项整治工作专班，各单位安排一名股室（站长）或业务骨干集中办公3个月，加强城镇燃气安全专项排查整治工作。 2.组织开展专项隐患整治。截止目前，共排查出安全隐患751处（其中餐饮场所543处），已全部完成整改。完成居民入户安检53224户，其中居民用户52803户，工商用户1430户，装贴燃气安全明白卡1430户，张贴餐饮场所告知书1430张。安装报警器818户，更换安全阀1126个，更换橡胶软管22075户，其中居民用户21654户，非居民用户1430户。 3.进行燃气安全执法检查30次，移交案件线索58起，执法立案处罚6次，罚款7.06万元，收取保证金1.5万元。 4.开展燃气宣传活动30次，发放燃气安全宣传资料5万余份，“致桃江县工商业燃气用户的一封信”5000余封。开展燃气从业人员培训21次，培训315人次。 5.强化全流程信息化管理，逐步实现用户安全公开化。进一步完善燃气行业所有信息监管平台（全国燃气安全专项整治工作系统）的录入工作。截止目前，已录入企业管理人员58人，检查人员158人；企业录入1430家，已排查1430家，排查出安全隐患543个，隐患已全部完成整改，并实时动态更新。 6.为进一步加强规范全县燃气企业安全主体责任，严厉打击挂靠经营。先后出台了《关于进一步压实燃气经营企业安全生产主体主任的通知》和《关于进一步规范燃气经营企业配送网点设立工作的通知》 7.全面取消自提气，瓶装燃企业气配送网点38家已全部改成直营店。统一购买“小黄车”58台，实行统一配送。 8.不断优化营商环境截止目前，对全县特殊困难用户500户实行差别化管理，为企业和居民提供最贴心服务 </w:t>
            </w:r>
          </w:p>
          <w:p w14:paraId="1CA6ACD0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1BBEB1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37DAD9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4538E7D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79923C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11FFED4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C495D90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6D82A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BB4F857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6C6BF1EE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99CC9F2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13DAA88D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02DD15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8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5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6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8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9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5</Pages>
  <Words>1111</Words>
  <Characters>1223</Characters>
  <Lines>4</Lines>
  <Paragraphs>1</Paragraphs>
  <TotalTime>45456.6562500016</TotalTime>
  <ScaleCrop>false</ScaleCrop>
  <LinksUpToDate>false</LinksUpToDate>
  <CharactersWithSpaces>1269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2024-06-13T08:11:18Z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4BA18C16B51F493DA49349205711E717_13</vt:lpwstr>
  </property>
</Properties>
</file>