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1565997A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637D61E4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7"/>
          <w:b/>
          <w:bCs/>
          <w:sz w:val="30"/>
          <w:szCs w:val="30"/>
          <w:lang w:val="en-US"/>
        </w:rPr>
        <w:t>12430922MB0N53955C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5245C5C5">
      <w:pPr>
        <w:jc w:val="right"/>
        <w:rPr>
          <w:lang w:val="en-US"/>
        </w:rPr>
      </w:pPr>
    </w:p>
    <w:p w14:paraId="428FA768">
      <w:pPr>
        <w:jc w:val="right"/>
        <w:rPr>
          <w:lang w:val="en-US"/>
        </w:rPr>
      </w:pPr>
    </w:p>
    <w:p w14:paraId="193F2457">
      <w:pPr>
        <w:jc w:val="right"/>
        <w:rPr>
          <w:lang w:val="en-US"/>
        </w:rPr>
      </w:pPr>
    </w:p>
    <w:p w14:paraId="7B969037">
      <w:pPr>
        <w:jc w:val="right"/>
        <w:rPr>
          <w:lang w:val="en-US"/>
        </w:rPr>
      </w:pPr>
    </w:p>
    <w:p w14:paraId="4406A463">
      <w:pPr>
        <w:jc w:val="right"/>
        <w:rPr>
          <w:lang w:val="en-US"/>
        </w:rPr>
      </w:pPr>
    </w:p>
    <w:p w14:paraId="7F2FF87D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3CD06C33">
      <w:pPr>
        <w:jc w:val="center"/>
        <w:rPr>
          <w:rFonts w:eastAsia="黑体"/>
          <w:b/>
          <w:bCs/>
          <w:spacing w:val="30"/>
          <w:lang w:val="en-US"/>
        </w:rPr>
      </w:pPr>
    </w:p>
    <w:p w14:paraId="0CF6AC3B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7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2E83CF25">
      <w:pPr>
        <w:jc w:val="center"/>
        <w:rPr>
          <w:sz w:val="36"/>
          <w:szCs w:val="24"/>
          <w:lang w:val="en-US"/>
        </w:rPr>
      </w:pPr>
    </w:p>
    <w:p w14:paraId="40DFABA2">
      <w:pPr>
        <w:jc w:val="center"/>
        <w:rPr>
          <w:sz w:val="36"/>
          <w:szCs w:val="24"/>
          <w:lang w:val="en-US"/>
        </w:rPr>
      </w:pPr>
    </w:p>
    <w:p w14:paraId="56FE4010">
      <w:pPr>
        <w:jc w:val="center"/>
        <w:rPr>
          <w:sz w:val="36"/>
          <w:szCs w:val="24"/>
          <w:lang w:val="en-US"/>
        </w:rPr>
      </w:pPr>
    </w:p>
    <w:p w14:paraId="4C157745">
      <w:pPr>
        <w:jc w:val="center"/>
        <w:rPr>
          <w:sz w:val="36"/>
          <w:szCs w:val="24"/>
          <w:lang w:val="en-US"/>
        </w:rPr>
      </w:pPr>
    </w:p>
    <w:p w14:paraId="1FB81C1E">
      <w:pPr>
        <w:jc w:val="center"/>
        <w:rPr>
          <w:sz w:val="36"/>
          <w:szCs w:val="24"/>
          <w:lang w:val="en-US"/>
        </w:rPr>
      </w:pPr>
    </w:p>
    <w:p w14:paraId="39D333EA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36AD65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423BC59F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52744885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桃江县全民健身服务中心</w:t>
            </w:r>
          </w:p>
        </w:tc>
      </w:tr>
    </w:tbl>
    <w:p w14:paraId="29A3BE08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02B5DA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059B31BA">
            <w:pPr>
              <w:jc w:val="distribute"/>
            </w:pP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8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8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1FC50E61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246216ED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32D83B51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65B24027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3B3BA1E">
      <w:pPr>
        <w:jc w:val="center"/>
        <w:rPr>
          <w:u w:val="single"/>
          <w:lang w:val="en-US"/>
        </w:rPr>
      </w:pPr>
    </w:p>
    <w:p w14:paraId="0704A8E4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28BD1821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79B0FF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94008E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65719CD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355C3FE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3AD73E3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25A64AD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069C224D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9BD66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038E988E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桃江县全民健身服务中心</w:t>
            </w:r>
          </w:p>
        </w:tc>
      </w:tr>
      <w:tr w14:paraId="439C8F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548E35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93B622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3861B2F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913D5E8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（一）负责在县城区范围内组织推广全民健身项目，开展全民健身的咨询、指导、服务工作，促进全民健身事业的发展 （二）负责中心体育场馆的免费和低收费开放、运动健身项目经营、室内外场馆场地出租、体育运动项目培训、体育产业开发、承接大型演出及展销活动（三）负责中心体育场馆设备设施的管理、维护和更新，以及环境卫生的维护治理，为县城区全民健身项目和业余训练提供优质的场地服务 （四）负责组织策划各类群众体育、竞技体育的交流与赛事活动，协助相关单位做好国民体质监测工作 （五）负责组织和指导全市开展国民体质监测和科学健身指导，建立国民体质数据库，完善国民体质监测工作的服务体系 （六）负责组织社会体育指导员、体育项目裁判员、教练员的培训工作 （七）承办县委、县政府及县文旅广体局交办的其他工作。</w:t>
            </w:r>
          </w:p>
        </w:tc>
      </w:tr>
      <w:tr w14:paraId="0E117A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A116C9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686A1F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08D40F4C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桃江县桃花江镇资江北路109号</w:t>
            </w:r>
          </w:p>
        </w:tc>
      </w:tr>
      <w:tr w14:paraId="7A5498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A39EF5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0FEB5E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B4946C3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高琪</w:t>
            </w:r>
          </w:p>
        </w:tc>
      </w:tr>
      <w:tr w14:paraId="21F5FA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160EFC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CF9694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DB94B29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1058.14</w:t>
            </w: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00F462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BCBF631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5DC739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6A5AFA3F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695432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053C1C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36B7CC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419DF95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桃江县文化旅游广电体育局</w:t>
            </w:r>
          </w:p>
        </w:tc>
      </w:tr>
      <w:tr w14:paraId="7761AE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DFE09AD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6AE00C93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1303966D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082DEBE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2D68C8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780DA18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E69E457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8E4E5E1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7BDBB1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A09305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F77FCD6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821.6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FC4B248">
            <w:pPr>
              <w:jc w:val="center"/>
            </w:pPr>
            <w:r>
              <w:rPr>
                <w:rStyle w:val="15"/>
                <w:sz w:val="32"/>
                <w:szCs w:val="32"/>
                <w:bdr w:val="none" w:color="auto" w:sz="0" w:space="0"/>
                <w:lang w:val="en-US"/>
              </w:rPr>
              <w:t>727.93</w:t>
            </w:r>
          </w:p>
        </w:tc>
      </w:tr>
      <w:tr w14:paraId="3C7781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D545074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5E1BBD4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桃江县全民健身服务中心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2DB86B0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022584C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9"/>
                <w:sz w:val="32"/>
                <w:szCs w:val="24"/>
                <w:bdr w:val="none" w:color="auto" w:sz="0" w:space="0"/>
                <w:lang w:val="en-US"/>
              </w:rPr>
              <w:t>8</w:t>
            </w:r>
          </w:p>
        </w:tc>
      </w:tr>
      <w:tr w14:paraId="790F4F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11F193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5A9343A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3AC02B5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4F8EAFA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34145FD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53A493C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2944741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1B7CF3D6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B7A82C4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0A7726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35995BC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56E3287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4998714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2FCB87D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7EBBEBB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01E4E5D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1FAE7A0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56EAA4F5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628F6652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（一）积极组织体育赛事，激发全民参与热情 今年以来，我中心组织承办省级赛事1次、市级赛事2次、县级赛事45次，活动参与人数达12.7万人。今年以来，气排球、羽毛球、乒乓球、篮球、广场舞等群众喜闻乐见的全民健身赛事活动火热开展，月月有比赛、处处能健身、人人能参与，群众体育赛事将群众健身热情推向高潮，全民健身蔚然成风，群众性赛事蓬勃发展。 1、已完成桃江县第七届全民健身运动会工作，运动会共设置14个竞赛项目，来自全县125个单位、6000多人参与。2、已完成益阳市第二十三届大众运动会9个竞赛项目（登山、乒乓球、气排球、羽毛球、广场舞、足球、健康跑、健身气功、门球），来自全县20个单位、3000多人参与。3、已完成公益性体育比赛6个竞赛项目（公益性广场舞比赛、气排球比赛、乒乓球比赛、羽毛球比赛、气排球精英邀请赛、太极拳比赛），9000多人参与。4、已完成湖南省第四届社区运动会益阳市桃江县海选赛5个竞赛项目8次比赛（社区趣味运动比赛1次、乒乓球比赛1次、羽毛球比赛2次、广场舞比赛3次、排舞比赛1次），11000多人参与。 （二）强化技能公益培训，提高全民健身水平 今年以来，我中心组织开展9次公益性体育技能培训、4次公益性讲座、1次公益性三级社会体育指导员培训，参与人数达14000人。通过举办广场舞等社会体育指导员培训班，加快社会体育指导员队伍建设，充分发挥社会体育指导员在全民健身活动中的骨干作用，调动广大群众参与全民健身的积极性，让体育锻炼经常化、个人健身生活化。推动健身技能培训、健身知识讲座等公共体育服务进社区、进广场，不断提高科学健身指导水平，真正让全民健身观念深入人心、落到实处，让群众想健身、能健身、会健身。 1、已开展9次公益性体育技能培训（公益性广场舞技能培训3次、气排球技能培训、篮球技能培训、乒乓球技能培训、羽毛球技能培训、太极拳技能培训、首届青少年公益性体育技能培训），12000多人参与体育技能培训。2、已开展4次公益性讲座（公益性排舞知识讲座、体育知识讲座、防溺水知识讲座2次），2000多人参与公益性讲座。3、已开展1次公益性三级社会体育指导员培训广场舞项目培训班，共发展82名三级社会体育指导员，充分发挥社会体育指导员在全民健身事业发展过程中的积极作用。4、为广大群众、单位、团体提供免费的训练场地、教练、裁判服务，开展广场舞、健身气功等技能培训及健康知识讲座、展览等活动。今年以来，与20个学校及体育协会签订合作协议，免费为40个企事业单位、体育协会（俱乐部）提供训练场地及裁判服务。 （三）举办全民健身活动，营造全民健身氛围 今年8月，我中心组织了贴近群众、方便参与、丰富多彩、注重实效的“全民健身日”系列活动和“体育宣传周”活动，此次活动共计20000余人参与，活动形式注重团队的协同作战，融合了竞技性、游戏性、趣味性、智力性，充分调动了参与者的热情，为群众提供了展示运动才华的平台，不仅展现了运动健儿的竞技风采，还营造了一个健康、积极、向上的城市氛围。 （四）优化场馆服务环境，满足群众健身需求 严格落实体育场馆免低开放要求，场馆每周免费或低收费开放时间不少于35小时，全年免费或低收费开放时间不少于330天。开放项目涵盖了羽毛球、乒乓球、气排球、篮球、跑步、健身、健身气功、广场舞等项目。体育馆免费提供体质测试、健身指导等相关配套服务，2023年完成了3094份国民体质测试数据，国民体质测试合格率98.5%。做好日常消毒、通风、卫生保洁等日常工作，定期对办公区、服务窗口、场馆、廊道走廊等公共区域进行消杀，定期对消防通道、消防栓、灭火器、健身器材进行安全隐患排查，为广大健身群众提供安全、舒适、放心的健身环境。截止12月，体育馆累计接待人数达30万人次。 </w:t>
            </w:r>
          </w:p>
          <w:p w14:paraId="2C755906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631AD9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CF9DD8D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FFD90CB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有效期自2019年11月07日至2024年11月07日。</w:t>
            </w:r>
          </w:p>
        </w:tc>
      </w:tr>
      <w:tr w14:paraId="7C7583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7EA8FB0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5CA3A45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5966A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547FEF35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5DEE5E78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185F1747">
            <w:pPr>
              <w:jc w:val="left"/>
            </w:pPr>
            <w:r>
              <w:rPr>
                <w:rStyle w:val="15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26DD3398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024905D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4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5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16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8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19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7</Pages>
  <Words>2147</Words>
  <Characters>2263</Characters>
  <Lines>4</Lines>
  <Paragraphs>1</Paragraphs>
  <TotalTime>45455.6875000016</TotalTime>
  <ScaleCrop>false</ScaleCrop>
  <LinksUpToDate>false</LinksUpToDate>
  <CharactersWithSpaces>2313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2024-06-12T09:08:27Z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BBE4BE6FFD1B427AAC4F1120BD91F40B_13</vt:lpwstr>
  </property>
</Properties>
</file>