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0CDB16E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3F84F15F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5"/>
          <w:b/>
          <w:bCs/>
          <w:sz w:val="30"/>
          <w:szCs w:val="30"/>
          <w:lang w:val="en-US"/>
        </w:rPr>
        <w:t>12430922060109315U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47C6BC2F">
      <w:pPr>
        <w:jc w:val="right"/>
        <w:rPr>
          <w:lang w:val="en-US"/>
        </w:rPr>
      </w:pPr>
    </w:p>
    <w:p w14:paraId="0EA824BF">
      <w:pPr>
        <w:jc w:val="right"/>
        <w:rPr>
          <w:lang w:val="en-US"/>
        </w:rPr>
      </w:pPr>
    </w:p>
    <w:p w14:paraId="4EABD45C">
      <w:pPr>
        <w:jc w:val="right"/>
        <w:rPr>
          <w:lang w:val="en-US"/>
        </w:rPr>
      </w:pPr>
    </w:p>
    <w:p w14:paraId="42158BAE">
      <w:pPr>
        <w:jc w:val="right"/>
        <w:rPr>
          <w:lang w:val="en-US"/>
        </w:rPr>
      </w:pPr>
    </w:p>
    <w:p w14:paraId="75211A30">
      <w:pPr>
        <w:jc w:val="right"/>
        <w:rPr>
          <w:lang w:val="en-US"/>
        </w:rPr>
      </w:pPr>
    </w:p>
    <w:p w14:paraId="54E2E8C6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4EA90A14">
      <w:pPr>
        <w:jc w:val="center"/>
        <w:rPr>
          <w:rFonts w:eastAsia="黑体"/>
          <w:b/>
          <w:bCs/>
          <w:spacing w:val="30"/>
          <w:lang w:val="en-US"/>
        </w:rPr>
      </w:pPr>
    </w:p>
    <w:p w14:paraId="47C19D5F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5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4D1F4BE3">
      <w:pPr>
        <w:jc w:val="center"/>
        <w:rPr>
          <w:sz w:val="36"/>
          <w:szCs w:val="24"/>
          <w:lang w:val="en-US"/>
        </w:rPr>
      </w:pPr>
    </w:p>
    <w:p w14:paraId="5C6E5C38">
      <w:pPr>
        <w:jc w:val="center"/>
        <w:rPr>
          <w:sz w:val="36"/>
          <w:szCs w:val="24"/>
          <w:lang w:val="en-US"/>
        </w:rPr>
      </w:pPr>
    </w:p>
    <w:p w14:paraId="79EFBC6C">
      <w:pPr>
        <w:jc w:val="center"/>
        <w:rPr>
          <w:sz w:val="36"/>
          <w:szCs w:val="24"/>
          <w:lang w:val="en-US"/>
        </w:rPr>
      </w:pPr>
    </w:p>
    <w:p w14:paraId="55C59C7F">
      <w:pPr>
        <w:jc w:val="center"/>
        <w:rPr>
          <w:sz w:val="36"/>
          <w:szCs w:val="24"/>
          <w:lang w:val="en-US"/>
        </w:rPr>
      </w:pPr>
    </w:p>
    <w:p w14:paraId="0A6B64E2">
      <w:pPr>
        <w:jc w:val="center"/>
        <w:rPr>
          <w:sz w:val="36"/>
          <w:szCs w:val="24"/>
          <w:lang w:val="en-US"/>
        </w:rPr>
      </w:pPr>
    </w:p>
    <w:p w14:paraId="4B9C564A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1C2E00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2F4E09EB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30DD059E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桃江县水利建设项目管理中心</w:t>
            </w:r>
          </w:p>
        </w:tc>
      </w:tr>
    </w:tbl>
    <w:p w14:paraId="7D258799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7373FE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14BF2A4C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8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2B1B719A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0F48F19F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1A921CCC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3212692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3DA572B4">
      <w:pPr>
        <w:jc w:val="center"/>
        <w:rPr>
          <w:u w:val="single"/>
          <w:lang w:val="en-US"/>
        </w:rPr>
      </w:pPr>
    </w:p>
    <w:p w14:paraId="366A8F2A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210C6914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28CB2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AF8CC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6197F13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20F9029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3B4D2FC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3C49542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7B31F02A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266FA9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448AD1C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桃江县水利建设项目管理中心</w:t>
            </w:r>
          </w:p>
        </w:tc>
      </w:tr>
      <w:tr w14:paraId="4CDD5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30C8F7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A69B7F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2FC57AD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38F9636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负责全县水利工程建设管理。</w:t>
            </w:r>
          </w:p>
        </w:tc>
      </w:tr>
      <w:tr w14:paraId="34D43E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C5C54E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FA212F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64D870F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桃江县桃花江镇芙蓉路65号</w:t>
            </w:r>
          </w:p>
        </w:tc>
      </w:tr>
      <w:tr w14:paraId="1AACB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B9174D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67C95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810DF0E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莫伯科</w:t>
            </w:r>
          </w:p>
        </w:tc>
      </w:tr>
      <w:tr w14:paraId="1A8E5F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E8B190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39C887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0DBDA53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5</w:t>
            </w: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1734DE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FE0B94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6B89EB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F455170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财政补助（全额）</w:t>
            </w:r>
          </w:p>
        </w:tc>
      </w:tr>
      <w:tr w14:paraId="6416E3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F9F503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8E5D71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DA4A450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桃江县水利局</w:t>
            </w:r>
          </w:p>
        </w:tc>
      </w:tr>
      <w:tr w14:paraId="740430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6B60347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0590FBEC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300B6183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041AB53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18D98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A1BD09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260326C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E6ABFB7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70C29B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2DB49B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05087FD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6"/>
                <w:sz w:val="32"/>
                <w:szCs w:val="24"/>
                <w:bdr w:val="none" w:color="auto" w:sz="0" w:space="0"/>
                <w:lang w:val="en-US"/>
              </w:rPr>
              <w:t>5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7C23FA8">
            <w:pPr>
              <w:jc w:val="center"/>
            </w:pPr>
            <w:r>
              <w:rPr>
                <w:rStyle w:val="19"/>
                <w:sz w:val="32"/>
                <w:szCs w:val="32"/>
                <w:bdr w:val="none" w:color="auto" w:sz="0" w:space="0"/>
                <w:lang w:val="en-US"/>
              </w:rPr>
              <w:t>5</w:t>
            </w:r>
          </w:p>
        </w:tc>
      </w:tr>
      <w:tr w14:paraId="658C2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AC9844B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FD18C1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桃江县水利建设项目管理中心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122761D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C335752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6"/>
                <w:sz w:val="32"/>
                <w:szCs w:val="24"/>
                <w:bdr w:val="none" w:color="auto" w:sz="0" w:space="0"/>
                <w:lang w:val="en-US"/>
              </w:rPr>
              <w:t>8</w:t>
            </w:r>
          </w:p>
        </w:tc>
      </w:tr>
      <w:tr w14:paraId="6244F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3D900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091EA85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56FB078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1C8FDB0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561D3AF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44B44E8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6818A38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2DD3571E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53D81C1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严格按照《条例》和实施细则有关变更登记规定的执行情况</w:t>
            </w:r>
          </w:p>
        </w:tc>
      </w:tr>
      <w:tr w14:paraId="6C380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7F9125E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1EBB344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2CDEB61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2A6CE86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75C785B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547A9BF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5FEB753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106943CD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1FB8BC2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2023年度建设中心承担的中央、省级主要水利基础设施项目建设投资计划13479万元，从3月开始相继启动12座小型水库除险加固工程、桃江县沾溪流域治理工程（三期）、资水重要河段治理工程（11段）第三期、涝区治理鹿鸣桥引渠工程、涝区治理向荣泵站新建及团山等6座泵站更新改造工程等项目的招投标工作。4月14日12座小型水库除险加固工程全面开工，桃江县沾溪流域治理工程（三期）等项目相继全面开工建设。桃江县沾溪流域治理工程（三期）、12座小型水库除险加固工程于11月20日全面完工，12月底资水重要河段治理工程（11段）第三期、涝区治理鹿鸣桥引渠工程、涝区治理向荣泵站新建及团山等6座泵站更新改造工程主体工程完工，完成项目投资13479万元。 </w:t>
            </w:r>
          </w:p>
          <w:p w14:paraId="4B3200C2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3706CC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8C6329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8DCF86A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470AD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051ACF5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D797DFF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0EECE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408D2EBD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720FA8C0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388C6A56">
            <w:pPr>
              <w:jc w:val="left"/>
            </w:pPr>
            <w:r>
              <w:rPr>
                <w:rStyle w:val="19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4F6B2239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66B942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4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5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6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7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9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4</Pages>
  <Words>645</Words>
  <Characters>701</Characters>
  <Lines>4</Lines>
  <Paragraphs>1</Paragraphs>
  <TotalTime>45456.4062500016</TotalTime>
  <ScaleCrop>false</ScaleCrop>
  <LinksUpToDate>false</LinksUpToDate>
  <CharactersWithSpaces>737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2024-06-13T02:17:40Z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258E0F9ED47A4F448766BADA3F75D7A5_13</vt:lpwstr>
  </property>
</Properties>
</file>