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3B44A51A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14D9F1A2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9"/>
          <w:b/>
          <w:bCs/>
          <w:sz w:val="30"/>
          <w:szCs w:val="30"/>
          <w:lang w:val="en-US"/>
        </w:rPr>
        <w:t>12430922MB1A61541Q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204F4504">
      <w:pPr>
        <w:jc w:val="right"/>
        <w:rPr>
          <w:lang w:val="en-US"/>
        </w:rPr>
      </w:pPr>
    </w:p>
    <w:p w14:paraId="381B6D35">
      <w:pPr>
        <w:jc w:val="right"/>
        <w:rPr>
          <w:lang w:val="en-US"/>
        </w:rPr>
      </w:pPr>
    </w:p>
    <w:p w14:paraId="656C7B99">
      <w:pPr>
        <w:jc w:val="right"/>
        <w:rPr>
          <w:lang w:val="en-US"/>
        </w:rPr>
      </w:pPr>
    </w:p>
    <w:p w14:paraId="0E0D15BA">
      <w:pPr>
        <w:jc w:val="right"/>
        <w:rPr>
          <w:lang w:val="en-US"/>
        </w:rPr>
      </w:pPr>
    </w:p>
    <w:p w14:paraId="112D6D43">
      <w:pPr>
        <w:jc w:val="right"/>
        <w:rPr>
          <w:lang w:val="en-US"/>
        </w:rPr>
      </w:pPr>
    </w:p>
    <w:p w14:paraId="1A2D457C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1924D7A0">
      <w:pPr>
        <w:jc w:val="center"/>
        <w:rPr>
          <w:rFonts w:eastAsia="黑体"/>
          <w:b/>
          <w:bCs/>
          <w:spacing w:val="30"/>
          <w:lang w:val="en-US"/>
        </w:rPr>
      </w:pPr>
    </w:p>
    <w:p w14:paraId="5FEE2597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9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770891A4">
      <w:pPr>
        <w:jc w:val="center"/>
        <w:rPr>
          <w:sz w:val="36"/>
          <w:szCs w:val="24"/>
          <w:lang w:val="en-US"/>
        </w:rPr>
      </w:pPr>
    </w:p>
    <w:p w14:paraId="4F96E16F">
      <w:pPr>
        <w:jc w:val="center"/>
        <w:rPr>
          <w:sz w:val="36"/>
          <w:szCs w:val="24"/>
          <w:lang w:val="en-US"/>
        </w:rPr>
      </w:pPr>
    </w:p>
    <w:p w14:paraId="43C682A0">
      <w:pPr>
        <w:jc w:val="center"/>
        <w:rPr>
          <w:sz w:val="36"/>
          <w:szCs w:val="24"/>
          <w:lang w:val="en-US"/>
        </w:rPr>
      </w:pPr>
    </w:p>
    <w:p w14:paraId="32FE9509">
      <w:pPr>
        <w:jc w:val="center"/>
        <w:rPr>
          <w:sz w:val="36"/>
          <w:szCs w:val="24"/>
          <w:lang w:val="en-US"/>
        </w:rPr>
      </w:pPr>
    </w:p>
    <w:p w14:paraId="1E557B56">
      <w:pPr>
        <w:jc w:val="center"/>
        <w:rPr>
          <w:sz w:val="36"/>
          <w:szCs w:val="24"/>
          <w:lang w:val="en-US"/>
        </w:rPr>
      </w:pPr>
    </w:p>
    <w:p w14:paraId="49FF156E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72EB2D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25591777">
            <w:pPr>
              <w:jc w:val="distribute"/>
            </w:pP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08F99191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桃江县桃花江镇党群和政务服务中心</w:t>
            </w:r>
          </w:p>
        </w:tc>
      </w:tr>
    </w:tbl>
    <w:p w14:paraId="33F11BC8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71E094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1B63D638">
            <w:pPr>
              <w:jc w:val="distribute"/>
            </w:pP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6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212DF169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180E974E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26124F51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1C5157E3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5B7C2955">
      <w:pPr>
        <w:jc w:val="center"/>
        <w:rPr>
          <w:u w:val="single"/>
          <w:lang w:val="en-US"/>
        </w:rPr>
      </w:pPr>
    </w:p>
    <w:p w14:paraId="3C26557A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38A4AA93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2BC137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CB974A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449FC5E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7BA609B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079AC2B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6F2DE8F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308AF60C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C21A49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CC96D1F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桃江县桃花江镇党群和政务服务中心</w:t>
            </w:r>
          </w:p>
        </w:tc>
      </w:tr>
      <w:tr w14:paraId="0ED8E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BF817B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93A28A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5618169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FE4E58A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党务、政务、社会服务场所管理与服务工作； 办事窗口工作人员服务质量与办事效率考核，受理办事群众投诉； 党务、政务、社会服务平台管理与维护； 统筹协调“互联网+政务服务”工作； 指导村（社区）综合服务工作与综合服务平台建设工作； 承办镇党委、政府和上级业务部门交办的其他事项。</w:t>
            </w:r>
          </w:p>
        </w:tc>
      </w:tr>
      <w:tr w14:paraId="535EC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6524CC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E7F7A6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0B73CFD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桃江县桃花江镇资江路88号</w:t>
            </w:r>
          </w:p>
        </w:tc>
      </w:tr>
      <w:tr w14:paraId="5D6C18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DD0106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A3D5A7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62565AB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刘创恩</w:t>
            </w:r>
          </w:p>
        </w:tc>
      </w:tr>
      <w:tr w14:paraId="196D4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3D89C4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9A15CE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3DD9A29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6F56E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C1F69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300380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D2208B2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09DDE6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DD29B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4E2BE2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CD6030E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桃江县桃花江镇人民政府</w:t>
            </w:r>
          </w:p>
        </w:tc>
      </w:tr>
      <w:tr w14:paraId="0E8BD1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71CA6F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3FBD1B2F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6DEA2AF7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A670381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34DCCD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CC5F3A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9B17C16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5B8D4AE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66DD73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7F61A7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49FAAC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sz w:val="32"/>
                <w:szCs w:val="24"/>
                <w:bdr w:val="none" w:color="auto" w:sz="0" w:space="0"/>
                <w:lang w:val="en-US"/>
              </w:rPr>
              <w:t>1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CF59EC0">
            <w:pPr>
              <w:jc w:val="center"/>
            </w:pPr>
            <w:r>
              <w:rPr>
                <w:rStyle w:val="20"/>
                <w:sz w:val="32"/>
                <w:szCs w:val="32"/>
                <w:bdr w:val="none" w:color="auto" w:sz="0" w:space="0"/>
                <w:lang w:val="en-US"/>
              </w:rPr>
              <w:t>1</w:t>
            </w:r>
          </w:p>
        </w:tc>
      </w:tr>
      <w:tr w14:paraId="11D76A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6B9FCD2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D6C199E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桃江县桃花江镇党群和政务服务中心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9F606A3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646F79B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7"/>
                <w:sz w:val="32"/>
                <w:szCs w:val="24"/>
                <w:bdr w:val="none" w:color="auto" w:sz="0" w:space="0"/>
                <w:lang w:val="en-US"/>
              </w:rPr>
              <w:t>6</w:t>
            </w:r>
          </w:p>
        </w:tc>
      </w:tr>
      <w:tr w14:paraId="430874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1F4A59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46B1C5C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0AD8998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2B07E39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0B6BCD7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215676C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376662C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08B935E0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63E9104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16628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7482B1F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6985D5A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44907BC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38919A7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1A41519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235F997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7B94B6E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39057DBA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F930230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桃花江镇党群和政务服务中心成立于2020年12月，2021年1月完成政务大厅提质改造升级，建成“大厅式”便民服务中心，大厅总面积248.29平方米。办公区总共设有12个窗口，其中综合窗口2个，“一件事一次办”窗口1个，帮代办及办不成事窗口1个，人社窗口2个，自然资源窗口1个，财政窗口1个，市监窗口2个，公安窗口2个。大厅设置了办公区、休息区、自助服务区，配备休息座椅、饮水机、轮椅等，设置无障碍通道，满足办公和便民要求。完成所有赋权到镇、村（社区）政务服务事项的梳理、录入、发布。完成好镇村所有业务经办人员的业务专题培训。严格落实制度。制定了桃花江镇党群和政务服务中心工作制度和绩效考核办法，统一了工作服装，要求大厅工作人员严格对照工作制度开展工作。一是完善健全政府信息主动公开制度。二是完善健全政府信息依申请公开制度。三是完善健全政府信息保密审查制度。推动基层公共服务（一门式）全覆盖。我镇已实现基层公共服务（一门式）全覆盖，建设10个示范型、13个标准型、8个基本型村（社区）综合服务平台，切实解决“挂牌过多过滥”等突出问题，规范综合服务平台及配套设施建设，提高基层公共服务信息化水平，实现“一键受理、一站办结”。设置政务公开专区。在政务大厅内设置政务公开专区，配备政务公开咨询电脑、触摸查询一体机，提供政府信息查询等政务公开服务。配备政务公开资料展示架，提供政策解读、政府信息公开条例、办事指南等文件资料。为群众提供优质高效的政务公开与政务服务体验。服务大厅积极开展“湘易办”APP的推广工作。一是沉下身宣传，下沉到各村、社区服务大厅进行推广工作部署；二是沉下心服务，组建一支由各村干部、党建专干等组成的志愿者宣传队走村入户，发放“湘易办”APP宣传资料，面对面、手把手协助群众注册使用。三是志愿者帮助注册。志愿者负责对来政务大厅办事的群众进行指导注册。“湘易办”APP现已注册8182人。设立志愿服务岗，服务暖人心。服务大厅内设立了“志愿服务岗”，志愿者们开展引导服务，为办事群众提供咨询、帮办服务。业务工作开展情况方面。2023年以来，计生窗口办理生育证一胎343件，二胎379件，三胎61件，独生子女遗失证明176份，无子女证明5份；人社窗口办理老年人社保认证2330人；住房租赁补贴申请631份；综合窗口办理农机购置补贴申请119份,残疾人证新办98份，居民电表申报891户；林木采伐许可证1份；自然资源窗口办理农村宅基地批准书61本，乡村建设规划许可证59本，施工许可证4本；财政窗口办理业务3560件；公安窗口办理出生入户601件、市外迁入228件、市内迁入384件、迁往省外364件、省内迁移243件、死亡注销596件、所内移居998件、其他10046件；市监窗口办理食品经营许可证：新办189户，变更39户，延续45户，注销65户；小餐饮经营许可证：新办241户，变更20户，延续6户，注销18户；个体营业执照：设立995户，变更492户，注销420户。做到所有事项受理、办结和满意度均为100%。互联网+政务服务系统2023年累计录入事项120110件。 </w:t>
            </w:r>
          </w:p>
          <w:p w14:paraId="14D6EF4F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49D5F7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92EE8EE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213379D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25B9B3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4FAE911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28DB7F3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64C49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3DC6D702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498734D6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5F460FF6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67CFFC3A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005B2AB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8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5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hps"/>
    <w:basedOn w:val="13"/>
    <w:uiPriority w:val="0"/>
  </w:style>
  <w:style w:type="character" w:customStyle="1" w:styleId="15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6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7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8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9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20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6</Pages>
  <Words>1649</Words>
  <Characters>1778</Characters>
  <Lines>4</Lines>
  <Paragraphs>1</Paragraphs>
  <TotalTime>45455.7187500016</TotalTime>
  <ScaleCrop>false</ScaleCrop>
  <LinksUpToDate>false</LinksUpToDate>
  <CharactersWithSpaces>1819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2024-06-12T09:21:45Z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5D85EE02FFD44D1CBDE72159BE9A898E_13</vt:lpwstr>
  </property>
</Properties>
</file>