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5550AEE">
      <w:pPr>
        <w:wordWrap w:val="0"/>
        <w:jc w:val="right"/>
        <w:rPr>
          <w:rFonts w:hint="eastAsia" w:ascii="楷体_GB2312" w:eastAsia="楷体_GB2312" w:cs="楷体_GB2312"/>
          <w:b/>
          <w:bCs w:val="0"/>
          <w:sz w:val="30"/>
          <w:szCs w:val="24"/>
          <w:lang w:val="en-US"/>
        </w:rPr>
      </w:pPr>
      <w:r>
        <w:rPr>
          <w:rFonts w:hint="eastAsia" w:ascii="楷体_GB2312" w:eastAsia="楷体_GB2312" w:cs="楷体_GB2312"/>
          <w:b/>
          <w:bCs w:val="0"/>
          <w:sz w:val="30"/>
          <w:szCs w:val="24"/>
          <w:lang w:eastAsia="zh-CN"/>
        </w:rPr>
        <w:t>统一社会信用代码</w:t>
      </w:r>
      <w:r>
        <w:rPr>
          <w:rFonts w:hint="eastAsia" w:ascii="楷体_GB2312" w:eastAsia="楷体_GB2312" w:cs="楷体_GB2312"/>
          <w:b/>
          <w:bCs w:val="0"/>
          <w:sz w:val="30"/>
          <w:szCs w:val="24"/>
          <w:lang w:val="en-US"/>
        </w:rPr>
        <w:t xml:space="preserve">   </w:t>
      </w:r>
    </w:p>
    <w:p w14:paraId="0E46AE4F">
      <w:pPr>
        <w:wordWrap w:val="0"/>
        <w:jc w:val="right"/>
        <w:rPr>
          <w:rFonts w:eastAsia="楷体_GB2312"/>
          <w:b/>
          <w:bCs/>
          <w:sz w:val="30"/>
          <w:szCs w:val="24"/>
          <w:lang w:val="en-US"/>
        </w:rPr>
      </w:pPr>
      <w:r>
        <w:rPr>
          <w:rFonts w:eastAsia="楷体_GB2312"/>
          <w:b/>
          <w:bCs/>
          <w:sz w:val="30"/>
          <w:szCs w:val="24"/>
          <w:lang w:val="en-US"/>
        </w:rPr>
        <w:t xml:space="preserve">   </w:t>
      </w:r>
      <w:r>
        <w:rPr>
          <w:rStyle w:val="17"/>
          <w:b/>
          <w:bCs/>
          <w:sz w:val="30"/>
          <w:szCs w:val="30"/>
          <w:lang w:val="en-US"/>
        </w:rPr>
        <w:t>12430922MB1A61533X</w:t>
      </w:r>
      <w:r>
        <w:rPr>
          <w:rFonts w:eastAsia="楷体_GB2312"/>
          <w:b/>
          <w:bCs/>
          <w:sz w:val="30"/>
          <w:szCs w:val="24"/>
          <w:lang w:val="en-US"/>
        </w:rPr>
        <w:t xml:space="preserve">   </w:t>
      </w:r>
    </w:p>
    <w:p w14:paraId="30E2DBCF">
      <w:pPr>
        <w:jc w:val="right"/>
        <w:rPr>
          <w:lang w:val="en-US"/>
        </w:rPr>
      </w:pPr>
    </w:p>
    <w:p w14:paraId="53185118">
      <w:pPr>
        <w:jc w:val="right"/>
        <w:rPr>
          <w:lang w:val="en-US"/>
        </w:rPr>
      </w:pPr>
    </w:p>
    <w:p w14:paraId="5CF411AF">
      <w:pPr>
        <w:jc w:val="right"/>
        <w:rPr>
          <w:lang w:val="en-US"/>
        </w:rPr>
      </w:pPr>
    </w:p>
    <w:p w14:paraId="1A75B0A7">
      <w:pPr>
        <w:jc w:val="right"/>
        <w:rPr>
          <w:lang w:val="en-US"/>
        </w:rPr>
      </w:pPr>
    </w:p>
    <w:p w14:paraId="65F1C7B0">
      <w:pPr>
        <w:jc w:val="right"/>
        <w:rPr>
          <w:lang w:val="en-US"/>
        </w:rPr>
      </w:pPr>
    </w:p>
    <w:p w14:paraId="3515B102">
      <w:pPr>
        <w:jc w:val="center"/>
        <w:rPr>
          <w:rFonts w:eastAsia="黑体"/>
          <w:b/>
          <w:bCs/>
          <w:spacing w:val="40"/>
          <w:sz w:val="52"/>
          <w:szCs w:val="24"/>
          <w:lang w:val="en-US"/>
        </w:rPr>
      </w:pPr>
      <w:r>
        <w:rPr>
          <w:rFonts w:hint="eastAsia" w:ascii="Times New Roman" w:hAnsi="宋体" w:eastAsia="黑体" w:cs="黑体"/>
          <w:b/>
          <w:bCs/>
          <w:spacing w:val="40"/>
          <w:sz w:val="52"/>
          <w:szCs w:val="24"/>
          <w:lang w:eastAsia="zh-CN"/>
        </w:rPr>
        <w:t>事业单位法人年度报告书</w:t>
      </w:r>
    </w:p>
    <w:p w14:paraId="18958257">
      <w:pPr>
        <w:jc w:val="center"/>
        <w:rPr>
          <w:rFonts w:eastAsia="黑体"/>
          <w:b/>
          <w:bCs/>
          <w:spacing w:val="30"/>
          <w:lang w:val="en-US"/>
        </w:rPr>
      </w:pPr>
    </w:p>
    <w:p w14:paraId="6F3074D3">
      <w:pPr>
        <w:jc w:val="center"/>
        <w:rPr>
          <w:rFonts w:eastAsia="楷体_GB2312"/>
          <w:b/>
          <w:bCs/>
          <w:spacing w:val="30"/>
          <w:sz w:val="36"/>
          <w:szCs w:val="24"/>
          <w:lang w:val="en-US"/>
        </w:rPr>
      </w:pPr>
      <w:r>
        <w:rPr>
          <w:rFonts w:hint="eastAsia" w:ascii="Times New Roman" w:eastAsia="楷体_GB2312" w:cs="楷体_GB2312"/>
          <w:b/>
          <w:bCs/>
          <w:spacing w:val="30"/>
          <w:sz w:val="36"/>
          <w:szCs w:val="24"/>
          <w:lang w:eastAsia="zh-CN"/>
        </w:rPr>
        <w:t>（</w:t>
      </w:r>
      <w:r>
        <w:rPr>
          <w:rFonts w:eastAsia="楷体_GB2312"/>
          <w:b/>
          <w:bCs/>
          <w:spacing w:val="30"/>
          <w:sz w:val="36"/>
          <w:szCs w:val="24"/>
          <w:lang w:val="en-US"/>
        </w:rPr>
        <w:t xml:space="preserve">  </w:t>
      </w:r>
      <w:r>
        <w:rPr>
          <w:rStyle w:val="17"/>
          <w:b/>
          <w:bCs/>
          <w:sz w:val="30"/>
          <w:szCs w:val="30"/>
          <w:lang w:val="en-US"/>
        </w:rPr>
        <w:t>2023</w:t>
      </w:r>
      <w:r>
        <w:rPr>
          <w:rFonts w:eastAsia="楷体_GB2312"/>
          <w:b/>
          <w:bCs/>
          <w:spacing w:val="30"/>
          <w:sz w:val="36"/>
          <w:szCs w:val="24"/>
          <w:lang w:val="en-US"/>
        </w:rPr>
        <w:t xml:space="preserve">  </w:t>
      </w:r>
      <w:r>
        <w:rPr>
          <w:rFonts w:hint="eastAsia" w:ascii="Times New Roman" w:eastAsia="楷体_GB2312" w:cs="楷体_GB2312"/>
          <w:b/>
          <w:bCs/>
          <w:spacing w:val="30"/>
          <w:sz w:val="36"/>
          <w:szCs w:val="24"/>
          <w:lang w:eastAsia="zh-CN"/>
        </w:rPr>
        <w:t>年度）</w:t>
      </w:r>
    </w:p>
    <w:p w14:paraId="1AE3D4B2">
      <w:pPr>
        <w:jc w:val="center"/>
        <w:rPr>
          <w:sz w:val="36"/>
          <w:szCs w:val="24"/>
          <w:lang w:val="en-US"/>
        </w:rPr>
      </w:pPr>
    </w:p>
    <w:p w14:paraId="29C4E06D">
      <w:pPr>
        <w:jc w:val="center"/>
        <w:rPr>
          <w:sz w:val="36"/>
          <w:szCs w:val="24"/>
          <w:lang w:val="en-US"/>
        </w:rPr>
      </w:pPr>
    </w:p>
    <w:p w14:paraId="752CA1F9">
      <w:pPr>
        <w:jc w:val="center"/>
        <w:rPr>
          <w:sz w:val="36"/>
          <w:szCs w:val="24"/>
          <w:lang w:val="en-US"/>
        </w:rPr>
      </w:pPr>
    </w:p>
    <w:p w14:paraId="06232054">
      <w:pPr>
        <w:jc w:val="center"/>
        <w:rPr>
          <w:sz w:val="36"/>
          <w:szCs w:val="24"/>
          <w:lang w:val="en-US"/>
        </w:rPr>
      </w:pPr>
    </w:p>
    <w:p w14:paraId="22CA5709">
      <w:pPr>
        <w:jc w:val="center"/>
        <w:rPr>
          <w:sz w:val="36"/>
          <w:szCs w:val="24"/>
          <w:lang w:val="en-US"/>
        </w:rPr>
      </w:pPr>
    </w:p>
    <w:p w14:paraId="6239E102">
      <w:pPr>
        <w:jc w:val="center"/>
        <w:rPr>
          <w:sz w:val="36"/>
          <w:szCs w:val="24"/>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405"/>
        <w:gridCol w:w="5294"/>
      </w:tblGrid>
      <w:tr w14:paraId="3AA07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405" w:type="dxa"/>
            <w:shd w:val="clear"/>
            <w:vAlign w:val="bottom"/>
          </w:tcPr>
          <w:p w14:paraId="525B0527">
            <w:pPr>
              <w:jc w:val="distribute"/>
            </w:pPr>
            <w:r>
              <w:rPr>
                <w:rStyle w:val="18"/>
                <w:b/>
                <w:bCs/>
                <w:sz w:val="36"/>
                <w:szCs w:val="24"/>
                <w:bdr w:val="none" w:color="auto" w:sz="0" w:space="0"/>
              </w:rPr>
              <w:t>单 位 名 称</w:t>
            </w:r>
          </w:p>
        </w:tc>
        <w:tc>
          <w:tcPr>
            <w:tcW w:w="5294" w:type="dxa"/>
            <w:tcBorders>
              <w:top w:val="nil"/>
              <w:left w:val="nil"/>
              <w:bottom w:val="single" w:color="auto" w:sz="12" w:space="0"/>
              <w:right w:val="nil"/>
            </w:tcBorders>
            <w:shd w:val="clear"/>
            <w:vAlign w:val="bottom"/>
          </w:tcPr>
          <w:p w14:paraId="37185F25">
            <w:pPr>
              <w:jc w:val="center"/>
              <w:rPr>
                <w:rFonts w:hint="eastAsia" w:ascii="楷体_GB2312" w:eastAsia="楷体_GB2312" w:cs="楷体_GB2312"/>
                <w:sz w:val="32"/>
                <w:szCs w:val="24"/>
                <w:bdr w:val="none" w:color="auto" w:sz="0" w:space="0"/>
                <w:lang w:val="en-US"/>
              </w:rPr>
            </w:pPr>
            <w:r>
              <w:rPr>
                <w:rStyle w:val="19"/>
                <w:rFonts w:hint="eastAsia" w:ascii="楷体_GB2312" w:eastAsia="楷体_GB2312" w:cs="楷体_GB2312"/>
                <w:sz w:val="32"/>
                <w:szCs w:val="24"/>
                <w:bdr w:val="none" w:color="auto" w:sz="0" w:space="0"/>
                <w:lang w:val="en-US"/>
              </w:rPr>
              <w:t>桃江县桃花江镇综合行政执法大队</w:t>
            </w:r>
          </w:p>
        </w:tc>
      </w:tr>
    </w:tbl>
    <w:p w14:paraId="757E9A69">
      <w:pPr>
        <w:rPr>
          <w:rFonts w:hint="eastAsia" w:ascii="黑体" w:hAnsi="宋体" w:eastAsia="黑体" w:cs="黑体"/>
          <w:b/>
          <w:bCs/>
          <w:sz w:val="24"/>
          <w:szCs w:val="24"/>
          <w:u w:val="single"/>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365"/>
        <w:gridCol w:w="5254"/>
      </w:tblGrid>
      <w:tr w14:paraId="2E506C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365" w:type="dxa"/>
            <w:shd w:val="clear"/>
            <w:vAlign w:val="bottom"/>
          </w:tcPr>
          <w:p w14:paraId="3DE9AFA3">
            <w:pPr>
              <w:jc w:val="distribute"/>
            </w:pPr>
            <w:r>
              <w:rPr>
                <w:rStyle w:val="18"/>
                <w:b/>
                <w:bCs/>
                <w:sz w:val="36"/>
                <w:szCs w:val="24"/>
                <w:bdr w:val="none" w:color="auto" w:sz="0" w:space="0"/>
              </w:rPr>
              <w:t>法</w:t>
            </w:r>
            <w:r>
              <w:rPr>
                <w:rStyle w:val="18"/>
                <w:b/>
                <w:bCs/>
                <w:spacing w:val="30"/>
                <w:sz w:val="36"/>
                <w:szCs w:val="24"/>
                <w:bdr w:val="none" w:color="auto" w:sz="0" w:space="0"/>
              </w:rPr>
              <w:t>定代表</w:t>
            </w:r>
            <w:r>
              <w:rPr>
                <w:rStyle w:val="18"/>
                <w:b/>
                <w:bCs/>
                <w:sz w:val="36"/>
                <w:szCs w:val="24"/>
                <w:bdr w:val="none" w:color="auto" w:sz="0" w:space="0"/>
              </w:rPr>
              <w:t>人</w:t>
            </w:r>
          </w:p>
        </w:tc>
        <w:tc>
          <w:tcPr>
            <w:tcW w:w="5254" w:type="dxa"/>
            <w:tcBorders>
              <w:top w:val="nil"/>
              <w:left w:val="nil"/>
              <w:bottom w:val="single" w:color="auto" w:sz="12" w:space="0"/>
              <w:right w:val="nil"/>
            </w:tcBorders>
            <w:shd w:val="clear"/>
            <w:vAlign w:val="bottom"/>
          </w:tcPr>
          <w:p w14:paraId="04272FBB">
            <w:pPr>
              <w:keepNext w:val="0"/>
              <w:keepLines w:val="0"/>
              <w:widowControl/>
              <w:suppressLineNumbers w:val="0"/>
              <w:jc w:val="left"/>
              <w:rPr>
                <w:kern w:val="0"/>
                <w:sz w:val="20"/>
                <w:szCs w:val="20"/>
                <w:bdr w:val="none" w:color="auto" w:sz="0" w:space="0"/>
                <w:lang w:val="en-US"/>
              </w:rPr>
            </w:pPr>
          </w:p>
        </w:tc>
      </w:tr>
    </w:tbl>
    <w:p w14:paraId="7C74581F">
      <w:pPr>
        <w:ind w:left="0" w:firstLine="723" w:firstLineChars="300"/>
        <w:rPr>
          <w:rFonts w:hint="eastAsia" w:ascii="黑体" w:hAnsi="宋体" w:eastAsia="黑体" w:cs="黑体"/>
          <w:b/>
          <w:bCs/>
          <w:sz w:val="24"/>
          <w:szCs w:val="24"/>
          <w:u w:val="single"/>
          <w:lang w:val="en-US"/>
        </w:rPr>
      </w:pPr>
    </w:p>
    <w:p w14:paraId="563E6EA5">
      <w:pPr>
        <w:jc w:val="center"/>
        <w:rPr>
          <w:rFonts w:hint="eastAsia" w:ascii="黑体" w:hAnsi="宋体" w:eastAsia="黑体" w:cs="黑体"/>
          <w:b/>
          <w:bCs/>
          <w:sz w:val="30"/>
          <w:szCs w:val="24"/>
          <w:u w:val="single"/>
          <w:lang w:val="en-US"/>
        </w:rPr>
      </w:pPr>
    </w:p>
    <w:p w14:paraId="2FA6F15D">
      <w:pPr>
        <w:jc w:val="center"/>
        <w:rPr>
          <w:rFonts w:hint="eastAsia" w:ascii="黑体" w:hAnsi="宋体" w:eastAsia="黑体" w:cs="黑体"/>
          <w:b/>
          <w:bCs/>
          <w:sz w:val="30"/>
          <w:szCs w:val="24"/>
          <w:u w:val="single"/>
          <w:lang w:val="en-US"/>
        </w:rPr>
      </w:pPr>
    </w:p>
    <w:p w14:paraId="41146676">
      <w:pPr>
        <w:jc w:val="center"/>
        <w:rPr>
          <w:u w:val="single"/>
          <w:lang w:val="en-US"/>
        </w:rPr>
      </w:pPr>
    </w:p>
    <w:p w14:paraId="22105024">
      <w:pPr>
        <w:jc w:val="center"/>
        <w:rPr>
          <w:rFonts w:eastAsia="楷体_GB2312"/>
          <w:b/>
          <w:bCs/>
          <w:sz w:val="32"/>
          <w:szCs w:val="24"/>
          <w:lang w:val="en-US"/>
        </w:rPr>
      </w:pPr>
      <w:r>
        <w:rPr>
          <w:rFonts w:hint="eastAsia" w:ascii="Times New Roman" w:eastAsia="楷体_GB2312" w:cs="楷体_GB2312"/>
          <w:b/>
          <w:bCs/>
          <w:sz w:val="32"/>
          <w:szCs w:val="24"/>
          <w:lang w:eastAsia="zh-CN"/>
        </w:rPr>
        <w:t>国家事业单位登记管理局制</w:t>
      </w:r>
    </w:p>
    <w:p w14:paraId="41AA417C">
      <w:pPr>
        <w:jc w:val="center"/>
        <w:rPr>
          <w:rFonts w:eastAsia="楷体_GB2312"/>
          <w:b/>
          <w:bCs/>
          <w:sz w:val="32"/>
          <w:szCs w:val="24"/>
          <w:lang w:val="en-US"/>
        </w:rPr>
      </w:pPr>
    </w:p>
    <w:tbl>
      <w:tblPr>
        <w:tblStyle w:val="1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Layout w:type="fixed"/>
        <w:tblCellMar>
          <w:top w:w="0" w:type="dxa"/>
          <w:left w:w="108" w:type="dxa"/>
          <w:bottom w:w="0" w:type="dxa"/>
          <w:right w:w="108" w:type="dxa"/>
        </w:tblCellMar>
      </w:tblPr>
      <w:tblGrid>
        <w:gridCol w:w="1560"/>
        <w:gridCol w:w="2031"/>
        <w:gridCol w:w="1796"/>
        <w:gridCol w:w="1702"/>
        <w:gridCol w:w="2452"/>
      </w:tblGrid>
      <w:tr w14:paraId="52031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CellMar>
            <w:top w:w="0" w:type="dxa"/>
            <w:left w:w="108" w:type="dxa"/>
            <w:bottom w:w="0" w:type="dxa"/>
            <w:right w:w="108" w:type="dxa"/>
          </w:tblCellMar>
        </w:tblPrEx>
        <w:trPr>
          <w:cantSplit/>
          <w:trHeight w:val="821" w:hRule="atLeast"/>
        </w:trPr>
        <w:tc>
          <w:tcPr>
            <w:tcW w:w="1560" w:type="dxa"/>
            <w:vMerge w:val="restart"/>
            <w:tcBorders>
              <w:top w:val="single" w:color="auto" w:sz="12" w:space="0"/>
              <w:left w:val="single" w:color="auto" w:sz="12" w:space="0"/>
              <w:bottom w:val="single" w:color="auto" w:sz="4" w:space="0"/>
              <w:right w:val="single" w:color="auto" w:sz="4" w:space="0"/>
            </w:tcBorders>
            <w:shd w:val="clear"/>
            <w:vAlign w:val="center"/>
          </w:tcPr>
          <w:p w14:paraId="17D6437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《事业</w:t>
            </w:r>
          </w:p>
          <w:p w14:paraId="12A6532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w:t>
            </w:r>
          </w:p>
          <w:p w14:paraId="42E0522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法人</w:t>
            </w:r>
          </w:p>
          <w:p w14:paraId="3CCE91E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证书》</w:t>
            </w:r>
          </w:p>
          <w:p w14:paraId="2D523B5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登载</w:t>
            </w:r>
          </w:p>
          <w:p w14:paraId="0AFFCD55">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事项</w:t>
            </w:r>
          </w:p>
        </w:tc>
        <w:tc>
          <w:tcPr>
            <w:tcW w:w="2031" w:type="dxa"/>
            <w:tcBorders>
              <w:top w:val="single" w:color="auto" w:sz="12" w:space="0"/>
              <w:left w:val="single" w:color="auto" w:sz="4" w:space="0"/>
              <w:bottom w:val="single" w:color="auto" w:sz="4" w:space="0"/>
              <w:right w:val="single" w:color="auto" w:sz="4" w:space="0"/>
            </w:tcBorders>
            <w:shd w:val="clear"/>
            <w:vAlign w:val="center"/>
          </w:tcPr>
          <w:p w14:paraId="7869375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单位名称</w:t>
            </w:r>
          </w:p>
        </w:tc>
        <w:tc>
          <w:tcPr>
            <w:tcW w:w="5949" w:type="dxa"/>
            <w:gridSpan w:val="3"/>
            <w:tcBorders>
              <w:top w:val="single" w:color="auto" w:sz="12" w:space="0"/>
              <w:left w:val="single" w:color="auto" w:sz="4" w:space="0"/>
              <w:bottom w:val="single" w:color="auto" w:sz="4" w:space="0"/>
              <w:right w:val="single" w:color="auto" w:sz="12" w:space="0"/>
            </w:tcBorders>
            <w:shd w:val="clear"/>
            <w:vAlign w:val="center"/>
          </w:tcPr>
          <w:p w14:paraId="4ED3C90B">
            <w:pPr>
              <w:spacing w:line="320" w:lineRule="exact"/>
              <w:jc w:val="lef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桃江县桃花江镇综合行政执法大队</w:t>
            </w:r>
          </w:p>
        </w:tc>
      </w:tr>
      <w:tr w14:paraId="1FE81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7"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04AC6F8A">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565C1A3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宗旨和</w:t>
            </w:r>
          </w:p>
          <w:p w14:paraId="0B5AC9B0">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业务范围</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3F4A57FD">
            <w:pPr>
              <w:jc w:val="lef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整合民政、人力资源与社会保障、国土、规划、生态环境、村镇建设与管理、水利、农业（含农机、畜牧水产、动物防疫）、文化旅游广电体育、卫生、计划生育、安全生产、林业等方面的行政执法职责、执法力量和资源，按照相关法律规定相对集中行使行政处罚权，以镇政府名义开展执法工作，接受有关县级主管部门的业务指导和监督，健全与县级以上各类执法部门的协调机制，构建分工明确、责任到位、优势互补的执法联动保障体系，加强联合执法、联动执法。主要负责本辖区日常执法活动和重大案件线索巡查。</w:t>
            </w:r>
          </w:p>
        </w:tc>
      </w:tr>
      <w:tr w14:paraId="61B06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3"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2F691725">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1D71D35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住</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所</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3E62C946">
            <w:pPr>
              <w:jc w:val="left"/>
            </w:pPr>
            <w:r>
              <w:rPr>
                <w:rStyle w:val="20"/>
                <w:rFonts w:hint="eastAsia" w:ascii="楷体_GB2312" w:eastAsia="楷体_GB2312" w:cs="楷体_GB2312"/>
                <w:sz w:val="28"/>
                <w:szCs w:val="28"/>
                <w:bdr w:val="none" w:color="auto" w:sz="0" w:space="0"/>
                <w:lang w:val="en-US"/>
              </w:rPr>
              <w:t>桃江县桃花江镇资江北路88号</w:t>
            </w:r>
          </w:p>
        </w:tc>
      </w:tr>
      <w:tr w14:paraId="3736C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5"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406F6B65">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010F9B95">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法定代表人</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4BCF6805">
            <w:pPr>
              <w:jc w:val="left"/>
            </w:pPr>
            <w:r>
              <w:rPr>
                <w:rStyle w:val="20"/>
                <w:rFonts w:hint="eastAsia" w:ascii="楷体_GB2312" w:eastAsia="楷体_GB2312" w:cs="楷体_GB2312"/>
                <w:sz w:val="28"/>
                <w:szCs w:val="28"/>
                <w:bdr w:val="none" w:color="auto" w:sz="0" w:space="0"/>
                <w:lang w:val="en-US"/>
              </w:rPr>
              <w:t>丁振华</w:t>
            </w:r>
          </w:p>
        </w:tc>
      </w:tr>
      <w:tr w14:paraId="43293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761FBEEB">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3A6A32A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开办资金</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7884CBCE">
            <w:pPr>
              <w:jc w:val="lef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1</w:t>
            </w:r>
            <w:r>
              <w:rPr>
                <w:rStyle w:val="20"/>
                <w:rFonts w:hint="eastAsia" w:ascii="楷体_GB2312" w:eastAsia="楷体_GB2312" w:cs="楷体_GB2312"/>
                <w:sz w:val="28"/>
                <w:szCs w:val="28"/>
                <w:bdr w:val="none" w:color="auto" w:sz="0" w:space="0"/>
              </w:rPr>
              <w:t>（万元）</w:t>
            </w:r>
          </w:p>
        </w:tc>
      </w:tr>
      <w:tr w14:paraId="66538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45783C48">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137F3CB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经费来源</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41574C44">
            <w:pPr>
              <w:jc w:val="left"/>
              <w:rPr>
                <w:sz w:val="32"/>
                <w:szCs w:val="32"/>
                <w:bdr w:val="none" w:color="auto" w:sz="0" w:space="0"/>
                <w:lang w:val="en-US"/>
              </w:rPr>
            </w:pPr>
            <w:r>
              <w:rPr>
                <w:rStyle w:val="20"/>
                <w:rFonts w:hint="eastAsia" w:ascii="楷体_GB2312" w:eastAsia="楷体_GB2312" w:cs="楷体_GB2312"/>
                <w:sz w:val="28"/>
                <w:szCs w:val="28"/>
                <w:bdr w:val="none" w:color="auto" w:sz="0" w:space="0"/>
                <w:lang w:val="en-US"/>
              </w:rPr>
              <w:t>财政补助</w:t>
            </w:r>
          </w:p>
        </w:tc>
      </w:tr>
      <w:tr w14:paraId="474F0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12F69978">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3968105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举办单位</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2AE2CB5C">
            <w:pPr>
              <w:jc w:val="left"/>
            </w:pPr>
            <w:r>
              <w:rPr>
                <w:rStyle w:val="20"/>
                <w:rFonts w:hint="eastAsia" w:ascii="楷体_GB2312" w:eastAsia="楷体_GB2312" w:cs="楷体_GB2312"/>
                <w:sz w:val="28"/>
                <w:szCs w:val="28"/>
                <w:bdr w:val="none" w:color="auto" w:sz="0" w:space="0"/>
                <w:lang w:val="en-US"/>
              </w:rPr>
              <w:t>桃江县桃花江镇人民政府</w:t>
            </w:r>
          </w:p>
        </w:tc>
      </w:tr>
      <w:tr w14:paraId="15C73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restart"/>
            <w:tcBorders>
              <w:top w:val="single" w:color="auto" w:sz="4" w:space="0"/>
              <w:left w:val="single" w:color="auto" w:sz="12" w:space="0"/>
              <w:bottom w:val="single" w:color="auto" w:sz="4" w:space="0"/>
              <w:right w:val="single" w:color="auto" w:sz="4" w:space="0"/>
            </w:tcBorders>
            <w:shd w:val="clear"/>
            <w:vAlign w:val="center"/>
          </w:tcPr>
          <w:p w14:paraId="7BE26EF1">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资产</w:t>
            </w:r>
          </w:p>
          <w:p w14:paraId="71736D56">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损益</w:t>
            </w:r>
          </w:p>
          <w:p w14:paraId="347125E6">
            <w:pPr>
              <w:keepNext w:val="0"/>
              <w:keepLines w:val="0"/>
              <w:widowControl/>
              <w:suppressLineNumbers w:val="0"/>
              <w:jc w:val="center"/>
              <w:rPr>
                <w:rFonts w:eastAsia="楷体_GB2312"/>
                <w:sz w:val="32"/>
                <w:szCs w:val="24"/>
                <w:bdr w:val="none" w:color="auto" w:sz="0" w:space="0"/>
                <w:lang w:val="en-US"/>
              </w:rPr>
            </w:pPr>
            <w:r>
              <w:rPr>
                <w:rFonts w:hint="eastAsia" w:ascii="Times New Roman" w:eastAsia="楷体_GB2312" w:cs="楷体_GB2312"/>
                <w:b/>
                <w:bCs w:val="0"/>
                <w:sz w:val="32"/>
                <w:szCs w:val="24"/>
                <w:bdr w:val="none" w:color="auto" w:sz="0" w:space="0"/>
              </w:rPr>
              <w:t>情况</w:t>
            </w:r>
          </w:p>
        </w:tc>
        <w:tc>
          <w:tcPr>
            <w:tcW w:w="7980" w:type="dxa"/>
            <w:gridSpan w:val="4"/>
            <w:tcBorders>
              <w:top w:val="single" w:color="auto" w:sz="4" w:space="0"/>
              <w:left w:val="single" w:color="auto" w:sz="4" w:space="0"/>
              <w:bottom w:val="single" w:color="auto" w:sz="4" w:space="0"/>
              <w:right w:val="single" w:color="auto" w:sz="12" w:space="0"/>
            </w:tcBorders>
            <w:shd w:val="clear"/>
            <w:vAlign w:val="center"/>
          </w:tcPr>
          <w:p w14:paraId="7FBF4ABB">
            <w:pPr>
              <w:jc w:val="center"/>
              <w:rPr>
                <w:sz w:val="32"/>
                <w:szCs w:val="24"/>
                <w:bdr w:val="none" w:color="auto" w:sz="0" w:space="0"/>
                <w:lang w:val="en-US"/>
              </w:rPr>
            </w:pPr>
            <w:r>
              <w:rPr>
                <w:rStyle w:val="19"/>
                <w:rFonts w:hint="eastAsia" w:ascii="Times New Roman" w:eastAsia="楷体_GB2312" w:cs="楷体_GB2312"/>
                <w:sz w:val="32"/>
                <w:szCs w:val="24"/>
                <w:bdr w:val="none" w:color="auto" w:sz="0" w:space="0"/>
              </w:rPr>
              <w:t>净资产合计（所有者权益合计）</w:t>
            </w:r>
          </w:p>
        </w:tc>
      </w:tr>
      <w:tr w14:paraId="7FEF8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12948D9E">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55768ACA">
            <w:pPr>
              <w:jc w:val="center"/>
              <w:rPr>
                <w:sz w:val="32"/>
                <w:szCs w:val="24"/>
                <w:bdr w:val="none" w:color="auto" w:sz="0" w:space="0"/>
                <w:lang w:val="en-US"/>
              </w:rPr>
            </w:pPr>
            <w:r>
              <w:rPr>
                <w:rStyle w:val="19"/>
                <w:rFonts w:hint="eastAsia" w:ascii="Times New Roman" w:eastAsia="楷体_GB2312" w:cs="楷体_GB2312"/>
                <w:sz w:val="32"/>
                <w:szCs w:val="24"/>
                <w:bdr w:val="none" w:color="auto" w:sz="0" w:space="0"/>
              </w:rPr>
              <w:t>年初数（万元）</w:t>
            </w:r>
          </w:p>
        </w:tc>
        <w:tc>
          <w:tcPr>
            <w:tcW w:w="4153" w:type="dxa"/>
            <w:gridSpan w:val="2"/>
            <w:tcBorders>
              <w:top w:val="single" w:color="auto" w:sz="4" w:space="0"/>
              <w:left w:val="single" w:color="auto" w:sz="4" w:space="0"/>
              <w:bottom w:val="single" w:color="auto" w:sz="4" w:space="0"/>
              <w:right w:val="single" w:color="auto" w:sz="12" w:space="0"/>
            </w:tcBorders>
            <w:shd w:val="clear"/>
            <w:vAlign w:val="center"/>
          </w:tcPr>
          <w:p w14:paraId="67F86336">
            <w:pPr>
              <w:jc w:val="center"/>
              <w:rPr>
                <w:sz w:val="32"/>
                <w:szCs w:val="24"/>
                <w:bdr w:val="none" w:color="auto" w:sz="0" w:space="0"/>
                <w:lang w:val="en-US"/>
              </w:rPr>
            </w:pPr>
            <w:r>
              <w:rPr>
                <w:rStyle w:val="19"/>
                <w:rFonts w:hint="eastAsia" w:ascii="Times New Roman" w:eastAsia="楷体_GB2312" w:cs="楷体_GB2312"/>
                <w:sz w:val="32"/>
                <w:szCs w:val="24"/>
                <w:bdr w:val="none" w:color="auto" w:sz="0" w:space="0"/>
              </w:rPr>
              <w:t>年末数（万元）</w:t>
            </w:r>
          </w:p>
        </w:tc>
      </w:tr>
      <w:tr w14:paraId="7B885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7D087FF0">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7FFBC1C2">
            <w:pPr>
              <w:jc w:val="center"/>
              <w:rPr>
                <w:sz w:val="32"/>
                <w:szCs w:val="24"/>
                <w:bdr w:val="none" w:color="auto" w:sz="0" w:space="0"/>
                <w:lang w:val="en-US"/>
              </w:rPr>
            </w:pPr>
            <w:r>
              <w:rPr>
                <w:rStyle w:val="19"/>
                <w:sz w:val="32"/>
                <w:szCs w:val="24"/>
                <w:bdr w:val="none" w:color="auto" w:sz="0" w:space="0"/>
                <w:lang w:val="en-US"/>
              </w:rPr>
              <w:t>1</w:t>
            </w:r>
          </w:p>
        </w:tc>
        <w:tc>
          <w:tcPr>
            <w:tcW w:w="4153" w:type="dxa"/>
            <w:gridSpan w:val="2"/>
            <w:tcBorders>
              <w:top w:val="single" w:color="auto" w:sz="4" w:space="0"/>
              <w:left w:val="single" w:color="auto" w:sz="4" w:space="0"/>
              <w:bottom w:val="single" w:color="auto" w:sz="4" w:space="0"/>
              <w:right w:val="single" w:color="auto" w:sz="12" w:space="0"/>
            </w:tcBorders>
            <w:shd w:val="clear"/>
            <w:vAlign w:val="top"/>
          </w:tcPr>
          <w:p w14:paraId="31CECAD8">
            <w:pPr>
              <w:jc w:val="center"/>
            </w:pPr>
            <w:r>
              <w:rPr>
                <w:rStyle w:val="20"/>
                <w:sz w:val="32"/>
                <w:szCs w:val="32"/>
                <w:bdr w:val="none" w:color="auto" w:sz="0" w:space="0"/>
                <w:lang w:val="en-US"/>
              </w:rPr>
              <w:t>1</w:t>
            </w:r>
          </w:p>
        </w:tc>
      </w:tr>
      <w:tr w14:paraId="70357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27B67028">
            <w:pPr>
              <w:jc w:val="center"/>
              <w:rPr>
                <w:rFonts w:hint="eastAsia" w:ascii="楷体_GB2312" w:eastAsia="楷体_GB2312" w:cs="楷体_GB2312"/>
                <w:b/>
                <w:bCs/>
                <w:sz w:val="32"/>
                <w:szCs w:val="24"/>
                <w:bdr w:val="none" w:color="auto" w:sz="0" w:space="0"/>
                <w:lang w:val="en-US"/>
              </w:rPr>
            </w:pPr>
            <w:r>
              <w:rPr>
                <w:rFonts w:hint="eastAsia" w:ascii="楷体_GB2312" w:eastAsia="楷体_GB2312" w:cs="楷体_GB2312"/>
                <w:b/>
                <w:bCs/>
                <w:sz w:val="32"/>
                <w:szCs w:val="24"/>
                <w:bdr w:val="none" w:color="auto" w:sz="0" w:space="0"/>
              </w:rPr>
              <w:t>网上名称</w:t>
            </w: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1AFABD93">
            <w:pPr>
              <w:spacing w:line="0" w:lineRule="atLeast"/>
              <w:jc w:val="left"/>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lang w:val="en-US"/>
              </w:rPr>
              <w:t>桃江县桃花江镇综合行政执法大队</w:t>
            </w:r>
          </w:p>
        </w:tc>
        <w:tc>
          <w:tcPr>
            <w:tcW w:w="1702" w:type="dxa"/>
            <w:tcBorders>
              <w:top w:val="single" w:color="auto" w:sz="4" w:space="0"/>
              <w:left w:val="single" w:color="auto" w:sz="4" w:space="0"/>
              <w:bottom w:val="single" w:color="auto" w:sz="4" w:space="0"/>
              <w:right w:val="single" w:color="auto" w:sz="4" w:space="0"/>
            </w:tcBorders>
            <w:shd w:val="clear"/>
            <w:vAlign w:val="center"/>
          </w:tcPr>
          <w:p w14:paraId="23D99CD3">
            <w:pPr>
              <w:jc w:val="center"/>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rPr>
              <w:t>从业人数</w:t>
            </w:r>
          </w:p>
        </w:tc>
        <w:tc>
          <w:tcPr>
            <w:tcW w:w="2452" w:type="dxa"/>
            <w:tcBorders>
              <w:top w:val="single" w:color="auto" w:sz="4" w:space="0"/>
              <w:left w:val="single" w:color="auto" w:sz="4" w:space="0"/>
              <w:bottom w:val="single" w:color="auto" w:sz="4" w:space="0"/>
              <w:right w:val="single" w:color="auto" w:sz="12" w:space="0"/>
            </w:tcBorders>
            <w:shd w:val="clear"/>
            <w:vAlign w:val="center"/>
          </w:tcPr>
          <w:p w14:paraId="5A16E16F">
            <w:pPr>
              <w:spacing w:line="0" w:lineRule="atLeast"/>
              <w:jc w:val="left"/>
              <w:rPr>
                <w:rFonts w:hint="eastAsia" w:ascii="楷体_GB2312" w:eastAsia="楷体_GB2312" w:cs="楷体_GB2312"/>
                <w:sz w:val="32"/>
                <w:szCs w:val="24"/>
                <w:bdr w:val="none" w:color="auto" w:sz="0" w:space="0"/>
                <w:lang w:val="en-US"/>
              </w:rPr>
            </w:pPr>
            <w:r>
              <w:rPr>
                <w:rStyle w:val="19"/>
                <w:sz w:val="32"/>
                <w:szCs w:val="24"/>
                <w:bdr w:val="none" w:color="auto" w:sz="0" w:space="0"/>
                <w:lang w:val="en-US"/>
              </w:rPr>
              <w:t>15</w:t>
            </w:r>
          </w:p>
        </w:tc>
      </w:tr>
      <w:tr w14:paraId="24CA1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6CED706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对《条</w:t>
            </w:r>
          </w:p>
          <w:p w14:paraId="0CBCA0C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例》和</w:t>
            </w:r>
          </w:p>
          <w:p w14:paraId="050A7B2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实施细</w:t>
            </w:r>
          </w:p>
          <w:p w14:paraId="37145D23">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则有关</w:t>
            </w:r>
          </w:p>
          <w:p w14:paraId="1C53C310">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变更登</w:t>
            </w:r>
          </w:p>
          <w:p w14:paraId="645250F8">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记规定</w:t>
            </w:r>
          </w:p>
          <w:p w14:paraId="6D5413A8">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的执行</w:t>
            </w:r>
          </w:p>
          <w:p w14:paraId="45122B6B">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29B0146A">
            <w:pPr>
              <w:spacing w:line="320" w:lineRule="exac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无</w:t>
            </w:r>
          </w:p>
        </w:tc>
      </w:tr>
      <w:tr w14:paraId="5EB48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4"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53C516E5">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w:t>
            </w:r>
          </w:p>
          <w:p w14:paraId="23CE55B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展</w:t>
            </w:r>
          </w:p>
          <w:p w14:paraId="55C627D8">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w:t>
            </w:r>
          </w:p>
          <w:p w14:paraId="2F03909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务</w:t>
            </w:r>
          </w:p>
          <w:p w14:paraId="2F2AA6C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活</w:t>
            </w:r>
          </w:p>
          <w:p w14:paraId="5240E9A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动</w:t>
            </w:r>
          </w:p>
          <w:p w14:paraId="69C4102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情</w:t>
            </w:r>
          </w:p>
          <w:p w14:paraId="6D741E11">
            <w:pPr>
              <w:jc w:val="center"/>
              <w:rPr>
                <w:u w:val="single"/>
                <w:bdr w:val="none" w:color="auto" w:sz="0" w:space="0"/>
                <w:lang w:val="en-US"/>
              </w:rPr>
            </w:pP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43A5050B">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r>
              <w:rPr>
                <w:rStyle w:val="20"/>
                <w:rFonts w:hint="eastAsia" w:ascii="楷体_GB2312" w:eastAsia="楷体_GB2312" w:cs="楷体_GB2312"/>
                <w:sz w:val="28"/>
                <w:szCs w:val="24"/>
                <w:bdr w:val="none" w:color="auto" w:sz="0" w:space="0"/>
                <w:lang w:val="en-US"/>
              </w:rPr>
              <w:t xml:space="preserve">2023年，在镇党委政府的坚强领导下，镇综合行政执法大队的工作取得较好发展。今年，在分管领导和支部书记的支持下，我以上带下、认真履行职责、主动攻坚作为，接管的各项工作整体向好发展。大队依法依规开展各项行政执法工作，现将情况汇报如下： 一、在深化学习上下功夫 深入学习习近平新时代中国特色社会主义，领悟党的二十大会议精神，发扬共产党人精神，社会主义法治精神，以学增智，不断增强政治自觉、思想自觉，推动工作取得成效。以党建为引领，组织全体党员干部学习，坚持民主集中制和民主生活会制度，不断提升领导干部的能力素养和决策水平。 二、在强化职责上谋发展 今年办理行政处罚案件近30件，罚款金额20余万元。在自然资源行政执法领域，严格落实上级精神，认真开展违法违规占用土地问题整治工作。调查落实各级自然资源部门下达的卫片监测整改图斑40余处，整治整改到位近30处，恢复耕地1万余平方米。轮班开展巡查，加强监管和执法力度，下发违法停工书40多份，行政处罚罚款近8万。在农业农村行政执法领域，对桃花江镇所辖天然水域实行全面禁捕。工作人员分组对我镇天然水域进行常态化巡查和夜间巡查，立案查处非法捕捞事件10起，行政处罚罚款近4万元。禁止焚烧方面，立案查处2起。加强林地保护工作，对改变林地及毁坏林木情况立案查处，处罚款10余万元。 三、在优化各项事业上给力量 在推进乡村振兴工作方面，派专人对接了4个村的扶贫、医保收缴、迎检等工作；助力文明创建，在人居环境整治过程中，清理顽疾痼障、解决占地乱堆乱建乱放现象。联合镇创建办、应急办及县交通局开展以助力人居环境整治为目的的综合行政执法行动，开展联合整治行动10余次。开展施工环境维护，助力经济项目建设推进，紫金湾、桃谷山中学维护施工环境、拆除搅拌厂联合行动近10余次；参与镇内其他事业改革、防溺水巡查、化解信访压力等贡献力量。 </w:t>
            </w:r>
          </w:p>
          <w:p w14:paraId="63882F17">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p>
        </w:tc>
      </w:tr>
      <w:tr w14:paraId="56C67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73E457B5">
            <w:pP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相关资质认可或执业许可证明文件及有效期</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34575A2B">
            <w:pPr>
              <w:spacing w:line="320" w:lineRule="exac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4"/>
                <w:bdr w:val="none" w:color="auto" w:sz="0" w:space="0"/>
                <w:lang w:val="en-US"/>
              </w:rPr>
              <w:t>无</w:t>
            </w:r>
          </w:p>
        </w:tc>
      </w:tr>
      <w:tr w14:paraId="5243B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1FDD846F">
            <w:pPr>
              <w:spacing w:line="0" w:lineRule="atLeast"/>
            </w:pPr>
            <w:r>
              <w:rPr>
                <w:rFonts w:hint="eastAsia" w:ascii="Times New Roman" w:eastAsia="楷体_GB2312" w:cs="楷体_GB2312"/>
                <w:b/>
                <w:bCs/>
                <w:sz w:val="32"/>
                <w:szCs w:val="24"/>
                <w:bdr w:val="none" w:color="auto" w:sz="0" w:space="0"/>
              </w:rPr>
              <w:t>绩</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效</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和受奖惩及诉讼投诉情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4" w:space="0"/>
              <w:right w:val="single" w:color="auto" w:sz="12" w:space="0"/>
            </w:tcBorders>
            <w:shd w:val="clear"/>
            <w:vAlign w:val="top"/>
          </w:tcPr>
          <w:p w14:paraId="13C3136B">
            <w:pPr>
              <w:jc w:val="left"/>
            </w:pPr>
            <w:r>
              <w:rPr>
                <w:rStyle w:val="20"/>
                <w:rFonts w:hint="eastAsia" w:ascii="楷体_GB2312" w:eastAsia="楷体_GB2312" w:cs="楷体_GB2312"/>
                <w:sz w:val="28"/>
                <w:szCs w:val="28"/>
                <w:bdr w:val="none" w:color="auto" w:sz="0" w:space="0"/>
                <w:lang w:val="en-US"/>
              </w:rPr>
              <w:t>无</w:t>
            </w:r>
          </w:p>
        </w:tc>
      </w:tr>
      <w:tr w14:paraId="56432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6FE575CA">
            <w:pPr>
              <w:spacing w:line="0" w:lineRule="atLeast"/>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接受捐赠</w:t>
            </w:r>
          </w:p>
          <w:p w14:paraId="7B5001F9">
            <w:pPr>
              <w:spacing w:line="0" w:lineRule="atLeast"/>
            </w:pPr>
            <w:r>
              <w:rPr>
                <w:rFonts w:hint="eastAsia" w:ascii="Times New Roman" w:eastAsia="楷体_GB2312" w:cs="楷体_GB2312"/>
                <w:b/>
                <w:bCs/>
                <w:sz w:val="32"/>
                <w:szCs w:val="24"/>
                <w:bdr w:val="none" w:color="auto" w:sz="0" w:space="0"/>
              </w:rPr>
              <w:t>资助及使用</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2A92A99C">
            <w:pPr>
              <w:jc w:val="left"/>
            </w:pPr>
            <w:r>
              <w:rPr>
                <w:rStyle w:val="20"/>
                <w:rFonts w:hint="eastAsia" w:ascii="楷体_GB2312" w:eastAsia="楷体_GB2312" w:cs="楷体_GB2312"/>
                <w:sz w:val="28"/>
                <w:szCs w:val="28"/>
                <w:bdr w:val="none" w:color="auto" w:sz="0" w:space="0"/>
                <w:lang w:val="en-US"/>
              </w:rPr>
              <w:t>无</w:t>
            </w:r>
          </w:p>
        </w:tc>
      </w:tr>
    </w:tbl>
    <w:p w14:paraId="03E37ED3">
      <w:pPr>
        <w:jc w:val="left"/>
        <w:rPr>
          <w:rFonts w:hint="eastAsia" w:ascii="楷体_GB2312" w:eastAsia="楷体_GB2312" w:cs="楷体_GB2312"/>
          <w:b/>
          <w:bCs/>
          <w:sz w:val="28"/>
          <w:szCs w:val="28"/>
          <w:lang w:val="en-US"/>
        </w:rPr>
      </w:pPr>
    </w:p>
    <w:sectPr>
      <w:pgSz w:w="11906" w:h="16838"/>
      <w:pgMar w:top="1440" w:right="1135" w:bottom="1440" w:left="1135" w:header="851" w:footer="992" w:gutter="0"/>
      <w:paperSrc/>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fixed"/>
    <w:sig w:usb0="00000001" w:usb1="080E0000" w:usb2="00000000" w:usb3="00000000" w:csb0="00040000" w:csb1="00000000"/>
  </w:font>
  <w:font w:name="Cambria Math">
    <w:panose1 w:val="02040503050406030204"/>
    <w:charset w:val="01"/>
    <w:family w:val="auto"/>
    <w:pitch w:val="variable"/>
    <w:sig w:usb0="E00002FF" w:usb1="420024FF" w:usb2="00000000" w:usb3="00000000" w:csb0="2000019F" w:csb1="00000000"/>
  </w:font>
  <w:font w:name="楷体_GB2312">
    <w:panose1 w:val="02010609030101010101"/>
    <w:charset w:val="86"/>
    <w:family w:val="auto"/>
    <w:pitch w:val="fixed"/>
    <w:sig w:usb0="00000001" w:usb1="080E0000" w:usb2="00000000" w:usb3="00000000" w:csb0="00040000" w:csb1="00000000"/>
  </w:font>
  <w:font w:name="@黑体">
    <w:panose1 w:val="02010609060101010101"/>
    <w:charset w:val="86"/>
    <w:family w:val="auto"/>
    <w:pitch w:val="fixed"/>
    <w:sig w:usb0="800002BF" w:usb1="38CF7CFA" w:usb2="00000016" w:usb3="00000000" w:csb0="00040001" w:csb1="00000000"/>
  </w:font>
  <w:font w:name="@宋体">
    <w:panose1 w:val="02010600030101010101"/>
    <w:charset w:val="86"/>
    <w:family w:val="auto"/>
    <w:pitch w:val="variable"/>
    <w:sig w:usb0="00000003" w:usb1="288F0000" w:usb2="0000000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7"/>
  <w:displayHorizontalDrawingGridEvery w:val="0"/>
  <w:displayVerticalDrawingGridEvery w:val="2"/>
  <w:characterSpacingControl w:val="compressPunctuation"/>
  <w:footnotePr>
    <w:footnote w:id="0"/>
    <w:footnote w:id="1"/>
  </w:footnotePr>
  <w:compat>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lNjIyN2U2NjRhN2NiMzUxYTA1NjlkZWExMDEwNWQifQ=="/>
  </w:docVars>
  <w:rsids>
    <w:rsidRoot w:val="00000000"/>
    <w:rsid w:val="0606084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iPriority="99"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uiPriority="99" w:name="Medium Grid 2"/>
    <w:lsdException w:uiPriority="99" w:name="Medium Grid 3"/>
    <w:lsdException w:uiPriority="99" w:name="Dark List"/>
    <w:lsdException w:uiPriority="99" w:name="Colorful Shading"/>
    <w:lsdException w:uiPriority="99" w:name="Colorful List"/>
    <w:lsdException w:uiPriority="99" w:name="Colorful Grid"/>
    <w:lsdException w:uiPriority="99" w:name="Light Shading Accent 1"/>
    <w:lsdException w:uiPriority="99" w:name="Light List Accent 1"/>
    <w:lsdException w:uiPriority="99" w:name="Light Grid Accent 1"/>
    <w:lsdException w:uiPriority="99" w:name="Medium Shading 1 Accent 1"/>
    <w:lsdException w:uiPriority="99" w:name="Medium Shading 2 Accent 1"/>
    <w:lsdException w:uiPriority="99" w:name="Medium List 1 Accent 1"/>
    <w:lsdException w:uiPriority="99" w:name="Medium List 2 Accent 1"/>
    <w:lsdException w:uiPriority="99" w:name="Medium Grid 1 Accent 1"/>
    <w:lsdException w:uiPriority="99" w:name="Medium Grid 2 Accent 1"/>
    <w:lsdException w:uiPriority="99" w:name="Medium Grid 3 Accent 1"/>
    <w:lsdException w:uiPriority="99" w:name="Dark List Accent 1"/>
    <w:lsdException w:uiPriority="99" w:name="Colorful Shading Accent 1"/>
    <w:lsdException w:uiPriority="99" w:name="Colorful List Accent 1"/>
    <w:lsdException w:uiPriority="99" w:name="Colorful Grid Accent 1"/>
    <w:lsdException w:uiPriority="99" w:name="Light Shading Accent 2"/>
    <w:lsdException w:uiPriority="99" w:name="Light List Accent 2"/>
    <w:lsdException w:uiPriority="99" w:name="Light Grid Accent 2"/>
    <w:lsdException w:uiPriority="99" w:name="Medium Shading 1 Accent 2"/>
    <w:lsdException w:uiPriority="99" w:name="Medium Shading 2 Accent 2"/>
    <w:lsdException w:uiPriority="99" w:name="Medium List 1 Accent 2"/>
    <w:lsdException w:uiPriority="99" w:name="Medium List 2 Accent 2"/>
    <w:lsdException w:uiPriority="99" w:name="Medium Grid 1 Accent 2"/>
    <w:lsdException w:uiPriority="99" w:name="Medium Grid 2 Accent 2"/>
    <w:lsdException w:uiPriority="99" w:name="Medium Grid 3 Accent 2"/>
    <w:lsdException w:uiPriority="99" w:name="Dark List Accent 2"/>
    <w:lsdException w:uiPriority="99" w:name="Colorful Shading Accent 2"/>
    <w:lsdException w:uiPriority="99" w:name="Colorful List Accent 2"/>
    <w:lsdException w:uiPriority="99" w:name="Colorful Grid Accent 2"/>
    <w:lsdException w:uiPriority="99" w:name="Light Shading Accent 3"/>
    <w:lsdException w:uiPriority="99" w:name="Light List Accent 3"/>
    <w:lsdException w:uiPriority="99" w:name="Light Grid Accent 3"/>
    <w:lsdException w:uiPriority="99" w:name="Medium Shading 1 Accent 3"/>
    <w:lsdException w:uiPriority="99" w:name="Medium Shading 2 Accent 3"/>
    <w:lsdException w:uiPriority="99" w:name="Medium List 1 Accent 3"/>
    <w:lsdException w:uiPriority="99" w:name="Medium List 2 Accent 3"/>
    <w:lsdException w:uiPriority="99" w:name="Medium Grid 1 Accent 3"/>
    <w:lsdException w:uiPriority="99" w:name="Medium Grid 2 Accent 3"/>
    <w:lsdException w:uiPriority="99" w:name="Medium Grid 3 Accent 3"/>
    <w:lsdException w:uiPriority="99" w:name="Dark List Accent 3"/>
    <w:lsdException w:uiPriority="99" w:name="Colorful Shading Accent 3"/>
    <w:lsdException w:uiPriority="99" w:name="Colorful List Accent 3"/>
    <w:lsdException w:uiPriority="99" w:name="Colorful Grid Accent 3"/>
    <w:lsdException w:uiPriority="99" w:name="Light Shading Accent 4"/>
    <w:lsdException w:uiPriority="99" w:name="Light List Accent 4"/>
    <w:lsdException w:uiPriority="99" w:name="Light Grid Accent 4"/>
    <w:lsdException w:uiPriority="99" w:name="Medium Shading 1 Accent 4"/>
    <w:lsdException w:uiPriority="99" w:name="Medium Shading 2 Accent 4"/>
    <w:lsdException w:uiPriority="99" w:name="Medium List 1 Accent 4"/>
    <w:lsdException w:uiPriority="99" w:name="Medium List 2 Accent 4"/>
    <w:lsdException w:uiPriority="99" w:name="Medium Grid 1 Accent 4"/>
    <w:lsdException w:uiPriority="99" w:name="Medium Grid 2 Accent 4"/>
    <w:lsdException w:uiPriority="99" w:name="Medium Grid 3 Accent 4"/>
    <w:lsdException w:uiPriority="99" w:name="Dark List Accent 4"/>
    <w:lsdException w:uiPriority="99" w:name="Colorful Shading Accent 4"/>
    <w:lsdException w:uiPriority="99" w:name="Colorful List Accent 4"/>
    <w:lsdException w:uiPriority="99" w:name="Colorful Grid Accent 4"/>
    <w:lsdException w:uiPriority="99" w:name="Light Shading Accent 5"/>
    <w:lsdException w:uiPriority="99" w:name="Light List Accent 5"/>
    <w:lsdException w:uiPriority="99" w:name="Light Grid Accent 5"/>
    <w:lsdException w:uiPriority="99" w:name="Medium Shading 1 Accent 5"/>
    <w:lsdException w:uiPriority="99" w:name="Medium Shading 2 Accent 5"/>
    <w:lsdException w:uiPriority="99" w:name="Medium List 1 Accent 5"/>
    <w:lsdException w:uiPriority="99" w:name="Medium List 2 Accent 5"/>
    <w:lsdException w:uiPriority="99" w:name="Medium Grid 1 Accent 5"/>
    <w:lsdException w:uiPriority="99" w:name="Medium Grid 2 Accent 5"/>
    <w:lsdException w:uiPriority="99" w:name="Medium Grid 3 Accent 5"/>
    <w:lsdException w:uiPriority="99" w:name="Dark List Accent 5"/>
    <w:lsdException w:uiPriority="99" w:name="Colorful Shading Accent 5"/>
    <w:lsdException w:uiPriority="99" w:name="Colorful List Accent 5"/>
    <w:lsdException w:uiPriority="99" w:name="Colorful Grid Accent 5"/>
    <w:lsdException w:uiPriority="99" w:name="Light Shading Accent 6"/>
    <w:lsdException w:uiPriority="99" w:name="Light List Accent 6"/>
    <w:lsdException w:uiPriority="99" w:name="Light Grid Accent 6"/>
    <w:lsdException w:uiPriority="99" w:name="Medium Shading 1 Accent 6"/>
    <w:lsdException w:uiPriority="99" w:name="Medium Shading 2 Accent 6"/>
    <w:lsdException w:uiPriority="99" w:name="Medium List 1 Accent 6"/>
    <w:lsdException w:uiPriority="99" w:name="Medium List 2 Accent 6"/>
    <w:lsdException w:uiPriority="99" w:name="Medium Grid 1 Accent 6"/>
    <w:lsdException w:uiPriority="99" w:name="Medium Grid 2 Accent 6"/>
    <w:lsdException w:uiPriority="99" w:name="Medium Grid 3 Accent 6"/>
    <w:lsdException w:uiPriority="99" w:name="Dark List Accent 6"/>
    <w:lsdException w:uiPriority="99" w:name="Colorful Shading Accent 6"/>
    <w:lsdException w:uiPriority="99" w:name="Colorful List Accent 6"/>
    <w:lsdException w:uiPriority="99" w:name="Colorful Grid Accent 6"/>
  </w:latentStyles>
  <w:style w:type="paragraph" w:default="1" w:styleId="1">
    <w:name w:val="Normal"/>
    <w:semiHidden/>
    <w:unhideWhenUsed/>
    <w:uiPriority w:val="99"/>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styleId="2">
    <w:name w:val="heading 1"/>
    <w:basedOn w:val="1"/>
    <w:next w:val="1"/>
    <w:qFormat/>
    <w:uiPriority w:val="9"/>
    <w:pPr>
      <w:widowControl/>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9"/>
    <w:pPr>
      <w:widowControl/>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qFormat/>
    <w:uiPriority w:val="9"/>
    <w:pPr>
      <w:widowControl/>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qFormat/>
    <w:uiPriority w:val="9"/>
    <w:pPr>
      <w:widowControl/>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6">
    <w:name w:val="heading 5"/>
    <w:basedOn w:val="1"/>
    <w:next w:val="1"/>
    <w:qFormat/>
    <w:uiPriority w:val="9"/>
    <w:pPr>
      <w:widowControl/>
      <w:spacing w:before="0" w:beforeAutospacing="1" w:after="0" w:afterAutospacing="1"/>
      <w:jc w:val="left"/>
    </w:pPr>
    <w:rPr>
      <w:rFonts w:hint="eastAsia" w:ascii="宋体" w:hAnsi="宋体" w:eastAsia="宋体" w:cs="宋体"/>
      <w:b/>
      <w:bCs/>
      <w:kern w:val="0"/>
      <w:sz w:val="20"/>
      <w:szCs w:val="20"/>
      <w:lang w:val="en-US" w:eastAsia="zh-CN" w:bidi="ar"/>
    </w:rPr>
  </w:style>
  <w:style w:type="paragraph" w:styleId="7">
    <w:name w:val="heading 6"/>
    <w:basedOn w:val="1"/>
    <w:next w:val="1"/>
    <w:qFormat/>
    <w:uiPriority w:val="9"/>
    <w:pPr>
      <w:widowControl/>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13">
    <w:name w:val="Default Paragraph Font"/>
    <w:semiHidden/>
    <w:unhideWhenUsed/>
    <w:uiPriority w:val="99"/>
  </w:style>
  <w:style w:type="table" w:default="1" w:styleId="12">
    <w:name w:val="Normal Table"/>
    <w:semiHidden/>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8">
    <w:name w:val="footer"/>
    <w:basedOn w:val="1"/>
    <w:link w:val="15"/>
    <w:semiHidden/>
    <w:unhideWhenUsed/>
    <w:uiPriority w:val="99"/>
    <w:pPr>
      <w:keepNext w:val="0"/>
      <w:keepLines w:val="0"/>
      <w:widowControl w:val="0"/>
      <w:suppressLineNumbers w:val="0"/>
      <w:tabs>
        <w:tab w:val="center" w:pos="4153"/>
        <w:tab w:val="right" w:pos="8306"/>
      </w:tabs>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9">
    <w:name w:val="header"/>
    <w:basedOn w:val="1"/>
    <w:link w:val="16"/>
    <w:semiHidden/>
    <w:unhideWhenUsed/>
    <w:uiPriority w:val="99"/>
    <w:pPr>
      <w:keepNext w:val="0"/>
      <w:keepLines w:val="0"/>
      <w:widowControl w:val="0"/>
      <w:suppressLineNumbers w:val="0"/>
      <w:pBdr>
        <w:top w:val="none" w:color="auto" w:sz="0" w:space="0"/>
        <w:left w:val="none" w:color="auto" w:sz="0" w:space="0"/>
        <w:bottom w:val="single" w:color="auto" w:sz="6" w:space="1"/>
        <w:right w:val="none" w:color="auto" w:sz="0" w:space="0"/>
      </w:pBdr>
      <w:tabs>
        <w:tab w:val="center" w:pos="4153"/>
        <w:tab w:val="right" w:pos="8306"/>
      </w:tabs>
      <w:snapToGrid w:val="0"/>
      <w:spacing w:before="0" w:beforeAutospacing="0" w:after="0" w:afterAutospacing="0"/>
      <w:ind w:left="0" w:right="0"/>
      <w:jc w:val="center"/>
    </w:pPr>
    <w:rPr>
      <w:rFonts w:hint="default" w:ascii="Times New Roman" w:hAnsi="Times New Roman" w:eastAsia="宋体" w:cs="Times New Roman"/>
      <w:kern w:val="2"/>
      <w:sz w:val="18"/>
      <w:szCs w:val="18"/>
      <w:lang w:val="en-US" w:eastAsia="zh-CN" w:bidi="ar"/>
    </w:rPr>
  </w:style>
  <w:style w:type="paragraph" w:styleId="10">
    <w:name w:val="HTML Preformatted"/>
    <w:basedOn w:val="1"/>
    <w:semiHidden/>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semiHidden/>
    <w:unhideWhenUsed/>
    <w:uiPriority w:val="99"/>
    <w:pPr>
      <w:widowControl/>
      <w:spacing w:before="0" w:beforeAutospacing="1" w:after="0" w:afterAutospacing="1"/>
      <w:ind w:left="0" w:right="0"/>
      <w:jc w:val="left"/>
    </w:pPr>
    <w:rPr>
      <w:rFonts w:ascii="宋体" w:hAnsi="宋体" w:eastAsia="宋体" w:cs="宋体"/>
      <w:kern w:val="0"/>
      <w:sz w:val="24"/>
      <w:lang w:val="en-US" w:eastAsia="zh-CN" w:bidi="ar"/>
    </w:rPr>
  </w:style>
  <w:style w:type="character" w:customStyle="1" w:styleId="14">
    <w:name w:val="hps"/>
    <w:basedOn w:val="13"/>
    <w:uiPriority w:val="0"/>
  </w:style>
  <w:style w:type="character" w:customStyle="1" w:styleId="15">
    <w:name w:val="页脚 Char"/>
    <w:basedOn w:val="13"/>
    <w:link w:val="8"/>
    <w:locked/>
    <w:uiPriority w:val="0"/>
    <w:rPr>
      <w:rFonts w:hint="default" w:ascii="Times New Roman" w:hAnsi="Times New Roman" w:eastAsia="宋体" w:cs="Times New Roman"/>
      <w:sz w:val="18"/>
      <w:szCs w:val="18"/>
    </w:rPr>
  </w:style>
  <w:style w:type="character" w:customStyle="1" w:styleId="16">
    <w:name w:val="页眉 Char"/>
    <w:basedOn w:val="13"/>
    <w:link w:val="9"/>
    <w:locked/>
    <w:uiPriority w:val="0"/>
    <w:rPr>
      <w:rFonts w:hint="default" w:ascii="Times New Roman" w:hAnsi="Times New Roman" w:eastAsia="宋体" w:cs="Times New Roman"/>
      <w:sz w:val="18"/>
      <w:szCs w:val="18"/>
    </w:rPr>
  </w:style>
  <w:style w:type="character" w:customStyle="1" w:styleId="17">
    <w:name w:val="font21"/>
    <w:basedOn w:val="13"/>
    <w:uiPriority w:val="0"/>
    <w:rPr>
      <w:rFonts w:hint="default" w:ascii="Times New Roman" w:hAnsi="Times New Roman" w:eastAsia="楷体_GB2312" w:cs="Times New Roman"/>
      <w:sz w:val="30"/>
      <w:szCs w:val="24"/>
    </w:rPr>
  </w:style>
  <w:style w:type="character" w:customStyle="1" w:styleId="18">
    <w:name w:val="font51"/>
    <w:basedOn w:val="13"/>
    <w:uiPriority w:val="0"/>
    <w:rPr>
      <w:rFonts w:hint="eastAsia" w:ascii="黑体" w:hAnsi="宋体" w:eastAsia="黑体" w:cs="黑体"/>
      <w:sz w:val="36"/>
      <w:szCs w:val="24"/>
    </w:rPr>
  </w:style>
  <w:style w:type="character" w:customStyle="1" w:styleId="19">
    <w:name w:val="font61"/>
    <w:basedOn w:val="13"/>
    <w:uiPriority w:val="0"/>
    <w:rPr>
      <w:rFonts w:hint="default" w:ascii="Times New Roman" w:hAnsi="Times New Roman" w:eastAsia="楷体_GB2312" w:cs="Times New Roman"/>
      <w:sz w:val="32"/>
      <w:szCs w:val="24"/>
    </w:rPr>
  </w:style>
  <w:style w:type="character" w:customStyle="1" w:styleId="20">
    <w:name w:val="font71"/>
    <w:basedOn w:val="13"/>
    <w:uiPriority w:val="0"/>
    <w:rPr>
      <w:rFonts w:hint="default" w:ascii="Times New Roman" w:hAnsi="Times New Roman" w:eastAsia="楷体_GB2312" w:cs="Times New Roman"/>
      <w:sz w:val="28"/>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WwW.YlmF.CoM</Company>
  <Pages>6</Pages>
  <Words>1306</Words>
  <Characters>1355</Characters>
  <Lines>4</Lines>
  <Paragraphs>1</Paragraphs>
  <TotalTime>45455.7187500016</TotalTime>
  <ScaleCrop>false</ScaleCrop>
  <LinksUpToDate>false</LinksUpToDate>
  <CharactersWithSpaces>1397</CharactersWithSpaces>
  <Application>WPS Office_12.1.0.17133_F1E327BC-269C-435d-A152-05C5408002CA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1899-12-29T16:00:00Z</dcterms:created>
  <dc:creator>雨林木风</dc:creator>
  <cp:lastModifiedBy>Administrator</cp:lastModifiedBy>
  <dcterms:modified xsi:type="dcterms:W3CDTF">2024-06-12T09:21:28Z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D28F34ABCFF54EDAB9480A51C56FE2B0_13</vt:lpwstr>
  </property>
</Properties>
</file>