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93F54A9">
      <w:pPr>
        <w:wordWrap w:val="0"/>
        <w:jc w:val="right"/>
        <w:rPr>
          <w:rFonts w:hint="eastAsia" w:ascii="楷体_GB2312" w:eastAsia="楷体_GB2312" w:cs="楷体_GB2312"/>
          <w:b/>
          <w:bCs w:val="0"/>
          <w:sz w:val="30"/>
          <w:szCs w:val="24"/>
          <w:lang w:val="en-US"/>
        </w:rPr>
      </w:pPr>
      <w:r>
        <w:rPr>
          <w:rFonts w:hint="eastAsia" w:ascii="楷体_GB2312" w:eastAsia="楷体_GB2312" w:cs="楷体_GB2312"/>
          <w:b/>
          <w:bCs w:val="0"/>
          <w:sz w:val="30"/>
          <w:szCs w:val="24"/>
          <w:lang w:eastAsia="zh-CN"/>
        </w:rPr>
        <w:t>统一社会信用代码</w:t>
      </w:r>
      <w:r>
        <w:rPr>
          <w:rFonts w:hint="eastAsia" w:ascii="楷体_GB2312" w:eastAsia="楷体_GB2312" w:cs="楷体_GB2312"/>
          <w:b/>
          <w:bCs w:val="0"/>
          <w:sz w:val="30"/>
          <w:szCs w:val="24"/>
          <w:lang w:val="en-US"/>
        </w:rPr>
        <w:t xml:space="preserve">   </w:t>
      </w:r>
    </w:p>
    <w:p w14:paraId="0981B793">
      <w:pPr>
        <w:wordWrap w:val="0"/>
        <w:jc w:val="right"/>
        <w:rPr>
          <w:rFonts w:eastAsia="楷体_GB2312"/>
          <w:b/>
          <w:bCs/>
          <w:sz w:val="30"/>
          <w:szCs w:val="24"/>
          <w:lang w:val="en-US"/>
        </w:rPr>
      </w:pPr>
      <w:r>
        <w:rPr>
          <w:rFonts w:eastAsia="楷体_GB2312"/>
          <w:b/>
          <w:bCs/>
          <w:sz w:val="30"/>
          <w:szCs w:val="24"/>
          <w:lang w:val="en-US"/>
        </w:rPr>
        <w:t xml:space="preserve">   </w:t>
      </w:r>
      <w:r>
        <w:rPr>
          <w:rStyle w:val="18"/>
          <w:b/>
          <w:bCs/>
          <w:sz w:val="30"/>
          <w:szCs w:val="30"/>
          <w:lang w:val="en-US"/>
        </w:rPr>
        <w:t>12430922MB1C92198G</w:t>
      </w:r>
      <w:r>
        <w:rPr>
          <w:rFonts w:eastAsia="楷体_GB2312"/>
          <w:b/>
          <w:bCs/>
          <w:sz w:val="30"/>
          <w:szCs w:val="24"/>
          <w:lang w:val="en-US"/>
        </w:rPr>
        <w:t xml:space="preserve">   </w:t>
      </w:r>
    </w:p>
    <w:p w14:paraId="3D999ECB">
      <w:pPr>
        <w:jc w:val="right"/>
        <w:rPr>
          <w:lang w:val="en-US"/>
        </w:rPr>
      </w:pPr>
    </w:p>
    <w:p w14:paraId="6E25C244">
      <w:pPr>
        <w:jc w:val="right"/>
        <w:rPr>
          <w:lang w:val="en-US"/>
        </w:rPr>
      </w:pPr>
    </w:p>
    <w:p w14:paraId="736CD1AE">
      <w:pPr>
        <w:jc w:val="right"/>
        <w:rPr>
          <w:lang w:val="en-US"/>
        </w:rPr>
      </w:pPr>
    </w:p>
    <w:p w14:paraId="6956FB0E">
      <w:pPr>
        <w:jc w:val="right"/>
        <w:rPr>
          <w:lang w:val="en-US"/>
        </w:rPr>
      </w:pPr>
    </w:p>
    <w:p w14:paraId="45639A02">
      <w:pPr>
        <w:jc w:val="right"/>
        <w:rPr>
          <w:lang w:val="en-US"/>
        </w:rPr>
      </w:pPr>
    </w:p>
    <w:p w14:paraId="1A9B9B7A">
      <w:pPr>
        <w:jc w:val="center"/>
        <w:rPr>
          <w:rFonts w:eastAsia="黑体"/>
          <w:b/>
          <w:bCs/>
          <w:spacing w:val="40"/>
          <w:sz w:val="52"/>
          <w:szCs w:val="24"/>
          <w:lang w:val="en-US"/>
        </w:rPr>
      </w:pPr>
      <w:r>
        <w:rPr>
          <w:rFonts w:hint="eastAsia" w:ascii="Times New Roman" w:hAnsi="宋体" w:eastAsia="黑体" w:cs="黑体"/>
          <w:b/>
          <w:bCs/>
          <w:spacing w:val="40"/>
          <w:sz w:val="52"/>
          <w:szCs w:val="24"/>
          <w:lang w:eastAsia="zh-CN"/>
        </w:rPr>
        <w:t>事业单位法人年度报告书</w:t>
      </w:r>
    </w:p>
    <w:p w14:paraId="23058164">
      <w:pPr>
        <w:jc w:val="center"/>
        <w:rPr>
          <w:rFonts w:eastAsia="黑体"/>
          <w:b/>
          <w:bCs/>
          <w:spacing w:val="30"/>
          <w:lang w:val="en-US"/>
        </w:rPr>
      </w:pPr>
    </w:p>
    <w:p w14:paraId="2B5A90BE">
      <w:pPr>
        <w:jc w:val="center"/>
        <w:rPr>
          <w:rFonts w:eastAsia="楷体_GB2312"/>
          <w:b/>
          <w:bCs/>
          <w:spacing w:val="30"/>
          <w:sz w:val="36"/>
          <w:szCs w:val="24"/>
          <w:lang w:val="en-US"/>
        </w:rPr>
      </w:pPr>
      <w:r>
        <w:rPr>
          <w:rFonts w:hint="eastAsia" w:ascii="Times New Roman" w:eastAsia="楷体_GB2312" w:cs="楷体_GB2312"/>
          <w:b/>
          <w:bCs/>
          <w:spacing w:val="30"/>
          <w:sz w:val="36"/>
          <w:szCs w:val="24"/>
          <w:lang w:eastAsia="zh-CN"/>
        </w:rPr>
        <w:t>（</w:t>
      </w:r>
      <w:r>
        <w:rPr>
          <w:rFonts w:eastAsia="楷体_GB2312"/>
          <w:b/>
          <w:bCs/>
          <w:spacing w:val="30"/>
          <w:sz w:val="36"/>
          <w:szCs w:val="24"/>
          <w:lang w:val="en-US"/>
        </w:rPr>
        <w:t xml:space="preserve">  </w:t>
      </w:r>
      <w:r>
        <w:rPr>
          <w:rStyle w:val="18"/>
          <w:b/>
          <w:bCs/>
          <w:sz w:val="30"/>
          <w:szCs w:val="30"/>
          <w:lang w:val="en-US"/>
        </w:rPr>
        <w:t>2023</w:t>
      </w:r>
      <w:r>
        <w:rPr>
          <w:rFonts w:eastAsia="楷体_GB2312"/>
          <w:b/>
          <w:bCs/>
          <w:spacing w:val="30"/>
          <w:sz w:val="36"/>
          <w:szCs w:val="24"/>
          <w:lang w:val="en-US"/>
        </w:rPr>
        <w:t xml:space="preserve">  </w:t>
      </w:r>
      <w:r>
        <w:rPr>
          <w:rFonts w:hint="eastAsia" w:ascii="Times New Roman" w:eastAsia="楷体_GB2312" w:cs="楷体_GB2312"/>
          <w:b/>
          <w:bCs/>
          <w:spacing w:val="30"/>
          <w:sz w:val="36"/>
          <w:szCs w:val="24"/>
          <w:lang w:eastAsia="zh-CN"/>
        </w:rPr>
        <w:t>年度）</w:t>
      </w:r>
    </w:p>
    <w:p w14:paraId="79ADBED5">
      <w:pPr>
        <w:jc w:val="center"/>
        <w:rPr>
          <w:sz w:val="36"/>
          <w:szCs w:val="24"/>
          <w:lang w:val="en-US"/>
        </w:rPr>
      </w:pPr>
    </w:p>
    <w:p w14:paraId="19248FA2">
      <w:pPr>
        <w:jc w:val="center"/>
        <w:rPr>
          <w:sz w:val="36"/>
          <w:szCs w:val="24"/>
          <w:lang w:val="en-US"/>
        </w:rPr>
      </w:pPr>
    </w:p>
    <w:p w14:paraId="14D6FBAF">
      <w:pPr>
        <w:jc w:val="center"/>
        <w:rPr>
          <w:sz w:val="36"/>
          <w:szCs w:val="24"/>
          <w:lang w:val="en-US"/>
        </w:rPr>
      </w:pPr>
    </w:p>
    <w:p w14:paraId="3C091850">
      <w:pPr>
        <w:jc w:val="center"/>
        <w:rPr>
          <w:sz w:val="36"/>
          <w:szCs w:val="24"/>
          <w:lang w:val="en-US"/>
        </w:rPr>
      </w:pPr>
    </w:p>
    <w:p w14:paraId="730585CE">
      <w:pPr>
        <w:jc w:val="center"/>
        <w:rPr>
          <w:sz w:val="36"/>
          <w:szCs w:val="24"/>
          <w:lang w:val="en-US"/>
        </w:rPr>
      </w:pPr>
    </w:p>
    <w:p w14:paraId="50A97137">
      <w:pPr>
        <w:jc w:val="center"/>
        <w:rPr>
          <w:sz w:val="36"/>
          <w:szCs w:val="24"/>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405"/>
        <w:gridCol w:w="5294"/>
      </w:tblGrid>
      <w:tr w14:paraId="0764E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405" w:type="dxa"/>
            <w:shd w:val="clear"/>
            <w:vAlign w:val="bottom"/>
          </w:tcPr>
          <w:p w14:paraId="01297B2A">
            <w:pPr>
              <w:jc w:val="distribute"/>
            </w:pPr>
            <w:r>
              <w:rPr>
                <w:rStyle w:val="19"/>
                <w:b/>
                <w:bCs/>
                <w:sz w:val="36"/>
                <w:szCs w:val="24"/>
                <w:bdr w:val="none" w:color="auto" w:sz="0" w:space="0"/>
              </w:rPr>
              <w:t>单 位 名 称</w:t>
            </w:r>
          </w:p>
        </w:tc>
        <w:tc>
          <w:tcPr>
            <w:tcW w:w="5294" w:type="dxa"/>
            <w:tcBorders>
              <w:top w:val="nil"/>
              <w:left w:val="nil"/>
              <w:bottom w:val="single" w:color="auto" w:sz="12" w:space="0"/>
              <w:right w:val="nil"/>
            </w:tcBorders>
            <w:shd w:val="clear"/>
            <w:vAlign w:val="bottom"/>
          </w:tcPr>
          <w:p w14:paraId="5BCEA798">
            <w:pPr>
              <w:jc w:val="center"/>
              <w:rPr>
                <w:rFonts w:hint="eastAsia" w:ascii="楷体_GB2312" w:eastAsia="楷体_GB2312" w:cs="楷体_GB2312"/>
                <w:sz w:val="32"/>
                <w:szCs w:val="24"/>
                <w:bdr w:val="none" w:color="auto" w:sz="0" w:space="0"/>
                <w:lang w:val="en-US"/>
              </w:rPr>
            </w:pPr>
            <w:r>
              <w:rPr>
                <w:rStyle w:val="15"/>
                <w:rFonts w:hint="eastAsia" w:ascii="楷体_GB2312" w:eastAsia="楷体_GB2312" w:cs="楷体_GB2312"/>
                <w:sz w:val="32"/>
                <w:szCs w:val="24"/>
                <w:bdr w:val="none" w:color="auto" w:sz="0" w:space="0"/>
                <w:lang w:val="en-US"/>
              </w:rPr>
              <w:t>桃江县修山镇社会事务综合服务中心</w:t>
            </w:r>
          </w:p>
        </w:tc>
      </w:tr>
    </w:tbl>
    <w:p w14:paraId="762E1C44">
      <w:pPr>
        <w:rPr>
          <w:rFonts w:hint="eastAsia" w:ascii="黑体" w:hAnsi="宋体" w:eastAsia="黑体" w:cs="黑体"/>
          <w:b/>
          <w:bCs/>
          <w:sz w:val="24"/>
          <w:szCs w:val="24"/>
          <w:u w:val="single"/>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365"/>
        <w:gridCol w:w="5254"/>
      </w:tblGrid>
      <w:tr w14:paraId="7513B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365" w:type="dxa"/>
            <w:shd w:val="clear"/>
            <w:vAlign w:val="bottom"/>
          </w:tcPr>
          <w:p w14:paraId="60F378DB">
            <w:pPr>
              <w:jc w:val="distribute"/>
            </w:pPr>
            <w:r>
              <w:rPr>
                <w:rStyle w:val="19"/>
                <w:b/>
                <w:bCs/>
                <w:sz w:val="36"/>
                <w:szCs w:val="24"/>
                <w:bdr w:val="none" w:color="auto" w:sz="0" w:space="0"/>
              </w:rPr>
              <w:t>法</w:t>
            </w:r>
            <w:r>
              <w:rPr>
                <w:rStyle w:val="19"/>
                <w:b/>
                <w:bCs/>
                <w:spacing w:val="30"/>
                <w:sz w:val="36"/>
                <w:szCs w:val="24"/>
                <w:bdr w:val="none" w:color="auto" w:sz="0" w:space="0"/>
              </w:rPr>
              <w:t>定代表</w:t>
            </w:r>
            <w:r>
              <w:rPr>
                <w:rStyle w:val="19"/>
                <w:b/>
                <w:bCs/>
                <w:sz w:val="36"/>
                <w:szCs w:val="24"/>
                <w:bdr w:val="none" w:color="auto" w:sz="0" w:space="0"/>
              </w:rPr>
              <w:t>人</w:t>
            </w:r>
          </w:p>
        </w:tc>
        <w:tc>
          <w:tcPr>
            <w:tcW w:w="5254" w:type="dxa"/>
            <w:tcBorders>
              <w:top w:val="nil"/>
              <w:left w:val="nil"/>
              <w:bottom w:val="single" w:color="auto" w:sz="12" w:space="0"/>
              <w:right w:val="nil"/>
            </w:tcBorders>
            <w:shd w:val="clear"/>
            <w:vAlign w:val="bottom"/>
          </w:tcPr>
          <w:p w14:paraId="4C441067">
            <w:pPr>
              <w:keepNext w:val="0"/>
              <w:keepLines w:val="0"/>
              <w:widowControl/>
              <w:suppressLineNumbers w:val="0"/>
              <w:jc w:val="left"/>
              <w:rPr>
                <w:kern w:val="0"/>
                <w:sz w:val="20"/>
                <w:szCs w:val="20"/>
                <w:bdr w:val="none" w:color="auto" w:sz="0" w:space="0"/>
                <w:lang w:val="en-US"/>
              </w:rPr>
            </w:pPr>
          </w:p>
        </w:tc>
      </w:tr>
    </w:tbl>
    <w:p w14:paraId="7F005AE3">
      <w:pPr>
        <w:ind w:left="0" w:firstLine="723" w:firstLineChars="300"/>
        <w:rPr>
          <w:rFonts w:hint="eastAsia" w:ascii="黑体" w:hAnsi="宋体" w:eastAsia="黑体" w:cs="黑体"/>
          <w:b/>
          <w:bCs/>
          <w:sz w:val="24"/>
          <w:szCs w:val="24"/>
          <w:u w:val="single"/>
          <w:lang w:val="en-US"/>
        </w:rPr>
      </w:pPr>
    </w:p>
    <w:p w14:paraId="4828B10A">
      <w:pPr>
        <w:jc w:val="center"/>
        <w:rPr>
          <w:rFonts w:hint="eastAsia" w:ascii="黑体" w:hAnsi="宋体" w:eastAsia="黑体" w:cs="黑体"/>
          <w:b/>
          <w:bCs/>
          <w:sz w:val="30"/>
          <w:szCs w:val="24"/>
          <w:u w:val="single"/>
          <w:lang w:val="en-US"/>
        </w:rPr>
      </w:pPr>
    </w:p>
    <w:p w14:paraId="06D8E856">
      <w:pPr>
        <w:jc w:val="center"/>
        <w:rPr>
          <w:rFonts w:hint="eastAsia" w:ascii="黑体" w:hAnsi="宋体" w:eastAsia="黑体" w:cs="黑体"/>
          <w:b/>
          <w:bCs/>
          <w:sz w:val="30"/>
          <w:szCs w:val="24"/>
          <w:u w:val="single"/>
          <w:lang w:val="en-US"/>
        </w:rPr>
      </w:pPr>
    </w:p>
    <w:p w14:paraId="30110BDE">
      <w:pPr>
        <w:jc w:val="center"/>
        <w:rPr>
          <w:u w:val="single"/>
          <w:lang w:val="en-US"/>
        </w:rPr>
      </w:pPr>
    </w:p>
    <w:p w14:paraId="4FF72190">
      <w:pPr>
        <w:jc w:val="center"/>
        <w:rPr>
          <w:rFonts w:eastAsia="楷体_GB2312"/>
          <w:b/>
          <w:bCs/>
          <w:sz w:val="32"/>
          <w:szCs w:val="24"/>
          <w:lang w:val="en-US"/>
        </w:rPr>
      </w:pPr>
      <w:r>
        <w:rPr>
          <w:rFonts w:hint="eastAsia" w:ascii="Times New Roman" w:eastAsia="楷体_GB2312" w:cs="楷体_GB2312"/>
          <w:b/>
          <w:bCs/>
          <w:sz w:val="32"/>
          <w:szCs w:val="24"/>
          <w:lang w:eastAsia="zh-CN"/>
        </w:rPr>
        <w:t>国家事业单位登记管理局制</w:t>
      </w:r>
    </w:p>
    <w:p w14:paraId="38C6AF03">
      <w:pPr>
        <w:jc w:val="center"/>
        <w:rPr>
          <w:rFonts w:eastAsia="楷体_GB2312"/>
          <w:b/>
          <w:bCs/>
          <w:sz w:val="32"/>
          <w:szCs w:val="24"/>
          <w:lang w:val="en-US"/>
        </w:rPr>
      </w:pP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108" w:type="dxa"/>
          <w:bottom w:w="0" w:type="dxa"/>
          <w:right w:w="108" w:type="dxa"/>
        </w:tblCellMar>
      </w:tblPr>
      <w:tblGrid>
        <w:gridCol w:w="1560"/>
        <w:gridCol w:w="2031"/>
        <w:gridCol w:w="1796"/>
        <w:gridCol w:w="1702"/>
        <w:gridCol w:w="2452"/>
      </w:tblGrid>
      <w:tr w14:paraId="66D33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108" w:type="dxa"/>
            <w:bottom w:w="0" w:type="dxa"/>
            <w:right w:w="108" w:type="dxa"/>
          </w:tblCellMar>
        </w:tblPrEx>
        <w:trPr>
          <w:cantSplit/>
          <w:trHeight w:val="821" w:hRule="atLeast"/>
        </w:trPr>
        <w:tc>
          <w:tcPr>
            <w:tcW w:w="1560" w:type="dxa"/>
            <w:vMerge w:val="restart"/>
            <w:tcBorders>
              <w:top w:val="single" w:color="auto" w:sz="12" w:space="0"/>
              <w:left w:val="single" w:color="auto" w:sz="12" w:space="0"/>
              <w:bottom w:val="single" w:color="auto" w:sz="4" w:space="0"/>
              <w:right w:val="single" w:color="auto" w:sz="4" w:space="0"/>
            </w:tcBorders>
            <w:shd w:val="clear"/>
            <w:vAlign w:val="center"/>
          </w:tcPr>
          <w:p w14:paraId="623997E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《事业</w:t>
            </w:r>
          </w:p>
          <w:p w14:paraId="3BD1495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w:t>
            </w:r>
          </w:p>
          <w:p w14:paraId="32DC8A6C">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法人</w:t>
            </w:r>
          </w:p>
          <w:p w14:paraId="46AE52B9">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证书》</w:t>
            </w:r>
          </w:p>
          <w:p w14:paraId="783F8D5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登载</w:t>
            </w:r>
          </w:p>
          <w:p w14:paraId="087E7572">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事项</w:t>
            </w:r>
          </w:p>
        </w:tc>
        <w:tc>
          <w:tcPr>
            <w:tcW w:w="2031" w:type="dxa"/>
            <w:tcBorders>
              <w:top w:val="single" w:color="auto" w:sz="12" w:space="0"/>
              <w:left w:val="single" w:color="auto" w:sz="4" w:space="0"/>
              <w:bottom w:val="single" w:color="auto" w:sz="4" w:space="0"/>
              <w:right w:val="single" w:color="auto" w:sz="4" w:space="0"/>
            </w:tcBorders>
            <w:shd w:val="clear"/>
            <w:vAlign w:val="center"/>
          </w:tcPr>
          <w:p w14:paraId="5207FB0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单位名称</w:t>
            </w:r>
          </w:p>
        </w:tc>
        <w:tc>
          <w:tcPr>
            <w:tcW w:w="5949" w:type="dxa"/>
            <w:gridSpan w:val="3"/>
            <w:tcBorders>
              <w:top w:val="single" w:color="auto" w:sz="12" w:space="0"/>
              <w:left w:val="single" w:color="auto" w:sz="4" w:space="0"/>
              <w:bottom w:val="single" w:color="auto" w:sz="4" w:space="0"/>
              <w:right w:val="single" w:color="auto" w:sz="12" w:space="0"/>
            </w:tcBorders>
            <w:shd w:val="clear"/>
            <w:vAlign w:val="center"/>
          </w:tcPr>
          <w:p w14:paraId="2BC7B86F">
            <w:pPr>
              <w:spacing w:line="320" w:lineRule="exact"/>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桃江县修山镇社会事务综合服务中心</w:t>
            </w:r>
          </w:p>
        </w:tc>
      </w:tr>
      <w:tr w14:paraId="706CE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7"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0D292276">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251028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宗旨和</w:t>
            </w:r>
          </w:p>
          <w:p w14:paraId="49B0A93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业务范围</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2D47F2E2">
            <w:pPr>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负责承办人力资源与社会保障、民政、社会救助、社区建设、医疗保障、卫生健康与计划生育、文化旅游广电体育、民族宗教、侨务等方面的公益服务性、技术性工作。承办党委、政府和上级业务部门交办的其他事项。</w:t>
            </w:r>
          </w:p>
        </w:tc>
      </w:tr>
      <w:tr w14:paraId="1A6F1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089A9D7C">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5621A04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住</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所</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4CE3D43B">
            <w:pPr>
              <w:jc w:val="left"/>
            </w:pPr>
            <w:r>
              <w:rPr>
                <w:rStyle w:val="20"/>
                <w:rFonts w:hint="eastAsia" w:ascii="楷体_GB2312" w:eastAsia="楷体_GB2312" w:cs="楷体_GB2312"/>
                <w:sz w:val="28"/>
                <w:szCs w:val="28"/>
                <w:bdr w:val="none" w:color="auto" w:sz="0" w:space="0"/>
                <w:lang w:val="en-US"/>
              </w:rPr>
              <w:t>桃江县修山镇修山社区</w:t>
            </w:r>
          </w:p>
        </w:tc>
      </w:tr>
      <w:tr w14:paraId="62747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5BDEF3F7">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7D28450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法定代表人</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53ECFB33">
            <w:pPr>
              <w:jc w:val="left"/>
            </w:pPr>
            <w:r>
              <w:rPr>
                <w:rStyle w:val="20"/>
                <w:rFonts w:hint="eastAsia" w:ascii="楷体_GB2312" w:eastAsia="楷体_GB2312" w:cs="楷体_GB2312"/>
                <w:sz w:val="28"/>
                <w:szCs w:val="28"/>
                <w:bdr w:val="none" w:color="auto" w:sz="0" w:space="0"/>
                <w:lang w:val="en-US"/>
              </w:rPr>
              <w:t>姚骏</w:t>
            </w:r>
          </w:p>
        </w:tc>
      </w:tr>
      <w:tr w14:paraId="5C1A7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035C1EB">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6C8D0FC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开办资金</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7D36E9DD">
            <w:pPr>
              <w:jc w:val="lef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1</w:t>
            </w:r>
            <w:r>
              <w:rPr>
                <w:rStyle w:val="20"/>
                <w:rFonts w:hint="eastAsia" w:ascii="楷体_GB2312" w:eastAsia="楷体_GB2312" w:cs="楷体_GB2312"/>
                <w:sz w:val="28"/>
                <w:szCs w:val="28"/>
                <w:bdr w:val="none" w:color="auto" w:sz="0" w:space="0"/>
              </w:rPr>
              <w:t>（万元）</w:t>
            </w:r>
          </w:p>
        </w:tc>
      </w:tr>
      <w:tr w14:paraId="78473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EC0A585">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53B60B9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经费来源</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09E13AA0">
            <w:pPr>
              <w:jc w:val="left"/>
              <w:rPr>
                <w:sz w:val="32"/>
                <w:szCs w:val="32"/>
                <w:bdr w:val="none" w:color="auto" w:sz="0" w:space="0"/>
                <w:lang w:val="en-US"/>
              </w:rPr>
            </w:pPr>
            <w:r>
              <w:rPr>
                <w:rStyle w:val="20"/>
                <w:rFonts w:hint="eastAsia" w:ascii="楷体_GB2312" w:eastAsia="楷体_GB2312" w:cs="楷体_GB2312"/>
                <w:sz w:val="28"/>
                <w:szCs w:val="28"/>
                <w:bdr w:val="none" w:color="auto" w:sz="0" w:space="0"/>
                <w:lang w:val="en-US"/>
              </w:rPr>
              <w:t>财政补助</w:t>
            </w:r>
          </w:p>
        </w:tc>
      </w:tr>
      <w:tr w14:paraId="4E129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862B24A">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BDDCAA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举办单位</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1149A0DA">
            <w:pPr>
              <w:jc w:val="left"/>
            </w:pPr>
            <w:r>
              <w:rPr>
                <w:rStyle w:val="20"/>
                <w:rFonts w:hint="eastAsia" w:ascii="楷体_GB2312" w:eastAsia="楷体_GB2312" w:cs="楷体_GB2312"/>
                <w:sz w:val="28"/>
                <w:szCs w:val="28"/>
                <w:bdr w:val="none" w:color="auto" w:sz="0" w:space="0"/>
                <w:lang w:val="en-US"/>
              </w:rPr>
              <w:t>桃江县修山镇人民政府</w:t>
            </w:r>
          </w:p>
        </w:tc>
      </w:tr>
      <w:tr w14:paraId="21B71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restart"/>
            <w:tcBorders>
              <w:top w:val="single" w:color="auto" w:sz="4" w:space="0"/>
              <w:left w:val="single" w:color="auto" w:sz="12" w:space="0"/>
              <w:bottom w:val="single" w:color="auto" w:sz="4" w:space="0"/>
              <w:right w:val="single" w:color="auto" w:sz="4" w:space="0"/>
            </w:tcBorders>
            <w:shd w:val="clear"/>
            <w:vAlign w:val="center"/>
          </w:tcPr>
          <w:p w14:paraId="5F6AA61C">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资产</w:t>
            </w:r>
          </w:p>
          <w:p w14:paraId="286E2827">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损益</w:t>
            </w:r>
          </w:p>
          <w:p w14:paraId="6D49F198">
            <w:pPr>
              <w:keepNext w:val="0"/>
              <w:keepLines w:val="0"/>
              <w:widowControl/>
              <w:suppressLineNumbers w:val="0"/>
              <w:jc w:val="center"/>
              <w:rPr>
                <w:rFonts w:eastAsia="楷体_GB2312"/>
                <w:sz w:val="32"/>
                <w:szCs w:val="24"/>
                <w:bdr w:val="none" w:color="auto" w:sz="0" w:space="0"/>
                <w:lang w:val="en-US"/>
              </w:rPr>
            </w:pPr>
            <w:r>
              <w:rPr>
                <w:rFonts w:hint="eastAsia" w:ascii="Times New Roman" w:eastAsia="楷体_GB2312" w:cs="楷体_GB2312"/>
                <w:b/>
                <w:bCs w:val="0"/>
                <w:sz w:val="32"/>
                <w:szCs w:val="24"/>
                <w:bdr w:val="none" w:color="auto" w:sz="0" w:space="0"/>
              </w:rPr>
              <w:t>情况</w:t>
            </w:r>
          </w:p>
        </w:tc>
        <w:tc>
          <w:tcPr>
            <w:tcW w:w="7980" w:type="dxa"/>
            <w:gridSpan w:val="4"/>
            <w:tcBorders>
              <w:top w:val="single" w:color="auto" w:sz="4" w:space="0"/>
              <w:left w:val="single" w:color="auto" w:sz="4" w:space="0"/>
              <w:bottom w:val="single" w:color="auto" w:sz="4" w:space="0"/>
              <w:right w:val="single" w:color="auto" w:sz="12" w:space="0"/>
            </w:tcBorders>
            <w:shd w:val="clear"/>
            <w:vAlign w:val="center"/>
          </w:tcPr>
          <w:p w14:paraId="5BCD0838">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净资产合计（所有者权益合计）</w:t>
            </w:r>
          </w:p>
        </w:tc>
      </w:tr>
      <w:tr w14:paraId="68F28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2D15FC8E">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6157FAFF">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年初数（万元）</w:t>
            </w:r>
          </w:p>
        </w:tc>
        <w:tc>
          <w:tcPr>
            <w:tcW w:w="4153" w:type="dxa"/>
            <w:gridSpan w:val="2"/>
            <w:tcBorders>
              <w:top w:val="single" w:color="auto" w:sz="4" w:space="0"/>
              <w:left w:val="single" w:color="auto" w:sz="4" w:space="0"/>
              <w:bottom w:val="single" w:color="auto" w:sz="4" w:space="0"/>
              <w:right w:val="single" w:color="auto" w:sz="12" w:space="0"/>
            </w:tcBorders>
            <w:shd w:val="clear"/>
            <w:vAlign w:val="center"/>
          </w:tcPr>
          <w:p w14:paraId="77DAB2CA">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年末数（万元）</w:t>
            </w:r>
          </w:p>
        </w:tc>
      </w:tr>
      <w:tr w14:paraId="33650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1A18985E">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4BD02E5A">
            <w:pPr>
              <w:jc w:val="center"/>
              <w:rPr>
                <w:sz w:val="32"/>
                <w:szCs w:val="24"/>
                <w:bdr w:val="none" w:color="auto" w:sz="0" w:space="0"/>
                <w:lang w:val="en-US"/>
              </w:rPr>
            </w:pPr>
            <w:r>
              <w:rPr>
                <w:rStyle w:val="15"/>
                <w:sz w:val="32"/>
                <w:szCs w:val="24"/>
                <w:bdr w:val="none" w:color="auto" w:sz="0" w:space="0"/>
                <w:lang w:val="en-US"/>
              </w:rPr>
              <w:t>1</w:t>
            </w:r>
          </w:p>
        </w:tc>
        <w:tc>
          <w:tcPr>
            <w:tcW w:w="4153" w:type="dxa"/>
            <w:gridSpan w:val="2"/>
            <w:tcBorders>
              <w:top w:val="single" w:color="auto" w:sz="4" w:space="0"/>
              <w:left w:val="single" w:color="auto" w:sz="4" w:space="0"/>
              <w:bottom w:val="single" w:color="auto" w:sz="4" w:space="0"/>
              <w:right w:val="single" w:color="auto" w:sz="12" w:space="0"/>
            </w:tcBorders>
            <w:shd w:val="clear"/>
            <w:vAlign w:val="top"/>
          </w:tcPr>
          <w:p w14:paraId="1AF92F4E">
            <w:pPr>
              <w:jc w:val="center"/>
            </w:pPr>
            <w:r>
              <w:rPr>
                <w:rStyle w:val="20"/>
                <w:sz w:val="32"/>
                <w:szCs w:val="32"/>
                <w:bdr w:val="none" w:color="auto" w:sz="0" w:space="0"/>
                <w:lang w:val="en-US"/>
              </w:rPr>
              <w:t>1</w:t>
            </w:r>
          </w:p>
        </w:tc>
      </w:tr>
      <w:tr w14:paraId="16EAA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68317076">
            <w:pPr>
              <w:jc w:val="center"/>
              <w:rPr>
                <w:rFonts w:hint="eastAsia" w:ascii="楷体_GB2312" w:eastAsia="楷体_GB2312" w:cs="楷体_GB2312"/>
                <w:b/>
                <w:bCs/>
                <w:sz w:val="32"/>
                <w:szCs w:val="24"/>
                <w:bdr w:val="none" w:color="auto" w:sz="0" w:space="0"/>
                <w:lang w:val="en-US"/>
              </w:rPr>
            </w:pPr>
            <w:r>
              <w:rPr>
                <w:rFonts w:hint="eastAsia" w:ascii="楷体_GB2312" w:eastAsia="楷体_GB2312" w:cs="楷体_GB2312"/>
                <w:b/>
                <w:bCs/>
                <w:sz w:val="32"/>
                <w:szCs w:val="24"/>
                <w:bdr w:val="none" w:color="auto" w:sz="0" w:space="0"/>
              </w:rPr>
              <w:t>网上名称</w:t>
            </w: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701B7FC2">
            <w:pPr>
              <w:spacing w:line="0" w:lineRule="atLeast"/>
              <w:jc w:val="left"/>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lang w:val="en-US"/>
              </w:rPr>
              <w:t>桃江县修山镇社会事务综合服务中心。公益</w:t>
            </w:r>
          </w:p>
        </w:tc>
        <w:tc>
          <w:tcPr>
            <w:tcW w:w="1702" w:type="dxa"/>
            <w:tcBorders>
              <w:top w:val="single" w:color="auto" w:sz="4" w:space="0"/>
              <w:left w:val="single" w:color="auto" w:sz="4" w:space="0"/>
              <w:bottom w:val="single" w:color="auto" w:sz="4" w:space="0"/>
              <w:right w:val="single" w:color="auto" w:sz="4" w:space="0"/>
            </w:tcBorders>
            <w:shd w:val="clear"/>
            <w:vAlign w:val="center"/>
          </w:tcPr>
          <w:p w14:paraId="720CEED5">
            <w:pPr>
              <w:jc w:val="center"/>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rPr>
              <w:t>从业人数</w:t>
            </w:r>
          </w:p>
        </w:tc>
        <w:tc>
          <w:tcPr>
            <w:tcW w:w="2452" w:type="dxa"/>
            <w:tcBorders>
              <w:top w:val="single" w:color="auto" w:sz="4" w:space="0"/>
              <w:left w:val="single" w:color="auto" w:sz="4" w:space="0"/>
              <w:bottom w:val="single" w:color="auto" w:sz="4" w:space="0"/>
              <w:right w:val="single" w:color="auto" w:sz="12" w:space="0"/>
            </w:tcBorders>
            <w:shd w:val="clear"/>
            <w:vAlign w:val="center"/>
          </w:tcPr>
          <w:p w14:paraId="1AC2112A">
            <w:pPr>
              <w:spacing w:line="0" w:lineRule="atLeast"/>
              <w:jc w:val="left"/>
              <w:rPr>
                <w:rFonts w:hint="eastAsia" w:ascii="楷体_GB2312" w:eastAsia="楷体_GB2312" w:cs="楷体_GB2312"/>
                <w:sz w:val="32"/>
                <w:szCs w:val="24"/>
                <w:bdr w:val="none" w:color="auto" w:sz="0" w:space="0"/>
                <w:lang w:val="en-US"/>
              </w:rPr>
            </w:pPr>
            <w:r>
              <w:rPr>
                <w:rStyle w:val="15"/>
                <w:sz w:val="32"/>
                <w:szCs w:val="24"/>
                <w:bdr w:val="none" w:color="auto" w:sz="0" w:space="0"/>
                <w:lang w:val="en-US"/>
              </w:rPr>
              <w:t>4</w:t>
            </w:r>
          </w:p>
        </w:tc>
      </w:tr>
      <w:tr w14:paraId="4C93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71FF26F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对《条</w:t>
            </w:r>
          </w:p>
          <w:p w14:paraId="449C392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例》和</w:t>
            </w:r>
          </w:p>
          <w:p w14:paraId="4DFD7FBC">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实施细</w:t>
            </w:r>
          </w:p>
          <w:p w14:paraId="1C0E6FC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则有关</w:t>
            </w:r>
          </w:p>
          <w:p w14:paraId="6110652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变更登</w:t>
            </w:r>
          </w:p>
          <w:p w14:paraId="2AA119D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记规定</w:t>
            </w:r>
          </w:p>
          <w:p w14:paraId="479B1DD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的执行</w:t>
            </w:r>
          </w:p>
          <w:p w14:paraId="62A476F1">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349DC7EC">
            <w:pPr>
              <w:spacing w:line="320" w:lineRule="exac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8"/>
                <w:bdr w:val="none" w:color="auto" w:sz="0" w:space="0"/>
                <w:lang w:val="en-US"/>
              </w:rPr>
              <w:t>严格按照《条例》和实施细则有关规定执行，本年度变更登记项目（法人肖向明改为姚骏）</w:t>
            </w:r>
          </w:p>
        </w:tc>
      </w:tr>
      <w:tr w14:paraId="27F70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4"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48AA285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w:t>
            </w:r>
          </w:p>
          <w:p w14:paraId="4C1200F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展</w:t>
            </w:r>
          </w:p>
          <w:p w14:paraId="146216BD">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w:t>
            </w:r>
          </w:p>
          <w:p w14:paraId="10E36909">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务</w:t>
            </w:r>
          </w:p>
          <w:p w14:paraId="4C3C781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活</w:t>
            </w:r>
          </w:p>
          <w:p w14:paraId="7BB9B50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动</w:t>
            </w:r>
          </w:p>
          <w:p w14:paraId="126057DE">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情</w:t>
            </w:r>
          </w:p>
          <w:p w14:paraId="76760993">
            <w:pPr>
              <w:jc w:val="center"/>
              <w:rPr>
                <w:u w:val="single"/>
                <w:bdr w:val="none" w:color="auto" w:sz="0" w:space="0"/>
                <w:lang w:val="en-US"/>
              </w:rPr>
            </w:pP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48B5B8BE">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r>
              <w:rPr>
                <w:rStyle w:val="20"/>
                <w:rFonts w:hint="eastAsia" w:ascii="楷体_GB2312" w:eastAsia="楷体_GB2312" w:cs="楷体_GB2312"/>
                <w:sz w:val="28"/>
                <w:szCs w:val="24"/>
                <w:bdr w:val="none" w:color="auto" w:sz="0" w:space="0"/>
                <w:lang w:val="en-US"/>
              </w:rPr>
              <w:t xml:space="preserve">今年社会事务综合服务中心的工作在党委政府的正确领导和全体成员的共同努力下圆满完成了各项任务，总结如下： 一、认真做好宣传工作 发放各种卫生健康宣传资料、宣传手册12000份，慰问留守儿童、特殊计生困难家庭 54人。 二、认真开展健康优质服务 今年组织全镇适龄妇女进行了两癌筛查，共筛查 1042人，超额完成任务。开展了银龄安康保险工作共完成保额76400元，理赔35起，理赔金额29800 元。 三、完善利益导向机制 今年新增奖扶对象 150人，均进行了实地调查，落实好材料并已报送到国家系统，对全镇 510个奖扶、特扶对象进行了年审，做到了人人过关，在外地的都进行了视频通话，市、县两级抽查中均无问题。发放奖励扶助资金 798568 元。审核通过了独生子女27人，发放独生子女保健费 3888元，免费落实合作医疗 75人。全年对特殊人群组织镇村干部每个季度慰问了一次，做到了就医绿色通道，双岗责任人、家庭医生签约等服务全覆盖，为他们办理住院护理补贴 46人次，落实护理补贴费16720元。 四、计生协会工作 在党委政府的正确领导下，完善健全了各项规章制度，有效地开展了计划生育协会的各项活动。“五二九”活动顺利召开取得了圆满成功。表彰了一大批计生协会先进集体和个人，发放关爱资金16800元，完成计生系列保险 357600元。全年完成理赔案件72起，理赔款323400多元。计生协会下设13个计划生育计生分会，共有协会会员3590人，骨干会员168人。坚持乡镇计生协会长由党委书记兼任，村社区计生协会长由党支部书记兼任，坚持村级常务副会长由威望高、能力强、热心计生协工作和社会公益事业的退线村主干担任，完成县计生协会关于开展2023年小善举，大爱心募捐活动，共捐款4540元。上级交给的任务圆满完成。 五、文化站工作 1、文化站以镇党委政府工作为中心，结合本镇实际，积极组织开展了丰富多彩的节日活动和群众喜闻乐见的文化活动,进一步促进全镇文化事业的发展。一年来，共参加组织了以下文化活动: 1、1月18日修山镇举办了“我们的中国梦 文化进万家”花桥港村春节联欢会。 2、5月22日修山镇送戏下乡到花桥港村。 3、5月29日修山镇举办了庆祝中国计生协成立43周年“5.29”会员日集中活动。 4、6月20日修山镇组织开展“紫辰”杯“幸福新桃江，舞动新时代”全民健身广场舞大赛总决赛和“全民健身 全民健康”助力乡村振兴优供优销2023年湖南省主场舞大赛开幕式。 5、10月15日修山镇举办了修山第八届古玩交流会 6、11月22日修山镇送戏下乡到舒塘社区 2、做好了村村响维修维护的合同签定工作并对防汛村村响进行了测试，发现故障及时进行了维修, 确保村村响系统正常运行。充分发挥农村广播村村响在政策宣传、信息发布、灾害预警等方面的作用，更好地服务于农村群众。 3、完成了村村响的报表报送工作。 4、完成了老电影放映员的生活补贴发放工作。 5、完成了2023年桃江县全民健身运动各项项目。 6、完成2023年度非法卫星电视接收设施整治工作。 7、完成了阳光系统审核平台报送工作。 8、完成了全县公共文化服务体系高质量发展公众公众满意度测评工作。 红十字工作 根据中华人民共和国红十字会法中国红十字会章程有关规定和本单位实际情况，为推进红十字事业高质量发展，经修山镇党委研究同意，并召开会员代表大会，于今年二月十日正式成立修山镇红十字会，红十字会成立后于今年圆满完成5、8人道公益日捐赠活动。组织部分干部完成了县红十字会的应急救援培训工作。联合县红十字和社会爱心人士开展了敬老院的慰问活动。 防溺水工作 按上级相关部门要求，全年自4月开始至10月结止。我办对重点水域进行了常态化巡查，在辖区内重点水域的醒目位置设置有相关责任人员、应急救援队及预防溺水举报电话。对重点水域的相关防护救护设施及时进行了维护，存在的安全隐患及时进行了解决，共新设更换防溺水警示牌80余块，救生圈50个，责任牌5块。 开展了防溺水安全教育宣传，充分利用微信网格群、视频号、村村响、屋场会、党员大会等形式加强对未成年人防溺水的宣传，共计发放防溺水知识宣传资料2000余份，向群众详细讲解了如何预防溺水事故的发生、发生溺水事件时如何施救和自救等急救知识，全面提高了辖区内群众预防溺水安全的意识和自救能力。并组织全镇所有学校、卫生院、村医、村社区、政府各办相关工作人员共103人完成了第一目击者救护培训。 </w:t>
            </w:r>
          </w:p>
          <w:p w14:paraId="49930CCC">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p>
        </w:tc>
      </w:tr>
      <w:tr w14:paraId="108FC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204EC57E">
            <w:pP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相关资质认可或执业许可证明文件及有效期</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2576C992">
            <w:pPr>
              <w:spacing w:line="320" w:lineRule="exact"/>
              <w:rPr>
                <w:rFonts w:hint="eastAsia" w:ascii="楷体_GB2312" w:eastAsia="楷体_GB2312" w:cs="楷体_GB2312"/>
                <w:sz w:val="28"/>
                <w:szCs w:val="28"/>
                <w:bdr w:val="none" w:color="auto" w:sz="0" w:space="0"/>
                <w:lang w:val="en-US"/>
              </w:rPr>
            </w:pPr>
            <w:r>
              <w:rPr>
                <w:rStyle w:val="20"/>
                <w:rFonts w:hint="eastAsia" w:ascii="楷体_GB2312" w:eastAsia="楷体_GB2312" w:cs="楷体_GB2312"/>
                <w:sz w:val="28"/>
                <w:szCs w:val="24"/>
                <w:bdr w:val="none" w:color="auto" w:sz="0" w:space="0"/>
                <w:lang w:val="en-US"/>
              </w:rPr>
              <w:t>有效期：2025年06月01日</w:t>
            </w:r>
          </w:p>
        </w:tc>
      </w:tr>
      <w:tr w14:paraId="1C490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05AE3A26">
            <w:pPr>
              <w:spacing w:line="0" w:lineRule="atLeast"/>
            </w:pPr>
            <w:r>
              <w:rPr>
                <w:rFonts w:hint="eastAsia" w:ascii="Times New Roman" w:eastAsia="楷体_GB2312" w:cs="楷体_GB2312"/>
                <w:b/>
                <w:bCs/>
                <w:sz w:val="32"/>
                <w:szCs w:val="24"/>
                <w:bdr w:val="none" w:color="auto" w:sz="0" w:space="0"/>
              </w:rPr>
              <w:t>绩</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效</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和受奖惩及诉讼投诉情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4" w:space="0"/>
              <w:right w:val="single" w:color="auto" w:sz="12" w:space="0"/>
            </w:tcBorders>
            <w:shd w:val="clear"/>
            <w:vAlign w:val="top"/>
          </w:tcPr>
          <w:p w14:paraId="4B99E79D">
            <w:pPr>
              <w:jc w:val="left"/>
            </w:pPr>
            <w:r>
              <w:rPr>
                <w:rStyle w:val="20"/>
                <w:rFonts w:hint="eastAsia" w:ascii="楷体_GB2312" w:eastAsia="楷体_GB2312" w:cs="楷体_GB2312"/>
                <w:sz w:val="28"/>
                <w:szCs w:val="28"/>
                <w:bdr w:val="none" w:color="auto" w:sz="0" w:space="0"/>
                <w:lang w:val="en-US"/>
              </w:rPr>
              <w:t>无</w:t>
            </w:r>
          </w:p>
        </w:tc>
      </w:tr>
      <w:tr w14:paraId="06F46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5E559A3C">
            <w:pPr>
              <w:spacing w:line="0" w:lineRule="atLeast"/>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接受捐赠</w:t>
            </w:r>
          </w:p>
          <w:p w14:paraId="43189F3D">
            <w:pPr>
              <w:spacing w:line="0" w:lineRule="atLeast"/>
            </w:pPr>
            <w:r>
              <w:rPr>
                <w:rFonts w:hint="eastAsia" w:ascii="Times New Roman" w:eastAsia="楷体_GB2312" w:cs="楷体_GB2312"/>
                <w:b/>
                <w:bCs/>
                <w:sz w:val="32"/>
                <w:szCs w:val="24"/>
                <w:bdr w:val="none" w:color="auto" w:sz="0" w:space="0"/>
              </w:rPr>
              <w:t>资助及使用</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48013985">
            <w:pPr>
              <w:jc w:val="left"/>
            </w:pPr>
            <w:r>
              <w:rPr>
                <w:rStyle w:val="20"/>
                <w:rFonts w:hint="eastAsia" w:ascii="楷体_GB2312" w:eastAsia="楷体_GB2312" w:cs="楷体_GB2312"/>
                <w:sz w:val="28"/>
                <w:szCs w:val="28"/>
                <w:bdr w:val="none" w:color="auto" w:sz="0" w:space="0"/>
                <w:lang w:val="en-US"/>
              </w:rPr>
              <w:t>无</w:t>
            </w:r>
          </w:p>
        </w:tc>
      </w:tr>
    </w:tbl>
    <w:p w14:paraId="258BD03E">
      <w:pPr>
        <w:jc w:val="left"/>
        <w:rPr>
          <w:rFonts w:hint="eastAsia" w:ascii="楷体_GB2312" w:eastAsia="楷体_GB2312" w:cs="楷体_GB2312"/>
          <w:b/>
          <w:bCs/>
          <w:sz w:val="28"/>
          <w:szCs w:val="28"/>
          <w:lang w:val="en-US"/>
        </w:rPr>
      </w:pPr>
    </w:p>
    <w:sectPr>
      <w:pgSz w:w="11906" w:h="16838"/>
      <w:pgMar w:top="1440" w:right="1135" w:bottom="1440" w:left="1135" w:header="851" w:footer="992" w:gutter="0"/>
      <w:paperSrc/>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体">
    <w:panose1 w:val="02010600030101010101"/>
    <w:charset w:val="86"/>
    <w:family w:val="auto"/>
    <w:pitch w:val="variable"/>
    <w:sig w:usb0="00000003" w:usb1="288F0000" w:usb2="00000006" w:usb3="00000000" w:csb0="00040001" w:csb1="00000000"/>
  </w:font>
  <w:font w:name="楷体_GB2312">
    <w:panose1 w:val="02010609030101010101"/>
    <w:charset w:val="86"/>
    <w:family w:val="auto"/>
    <w:pitch w:val="fixed"/>
    <w:sig w:usb0="00000001" w:usb1="080E0000" w:usb2="00000000" w:usb3="00000000" w:csb0="00040000" w:csb1="00000000"/>
  </w:font>
  <w:font w:name="Cambria Math">
    <w:panose1 w:val="02040503050406030204"/>
    <w:charset w:val="01"/>
    <w:family w:val="auto"/>
    <w:pitch w:val="variable"/>
    <w:sig w:usb0="E00002FF" w:usb1="420024FF" w:usb2="00000000" w:usb3="00000000" w:csb0="2000019F" w:csb1="00000000"/>
  </w:font>
  <w:font w:name="@楷体_GB2312">
    <w:panose1 w:val="02010609030101010101"/>
    <w:charset w:val="86"/>
    <w:family w:val="auto"/>
    <w:pitch w:val="fixed"/>
    <w:sig w:usb0="00000001" w:usb1="080E0000" w:usb2="00000000" w:usb3="00000000" w:csb0="00040000" w:csb1="00000000"/>
  </w:font>
  <w:font w:name="@黑体">
    <w:panose1 w:val="02010609060101010101"/>
    <w:charset w:val="86"/>
    <w:family w:val="auto"/>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0"/>
  <w:displayVerticalDrawingGridEvery w:val="2"/>
  <w:characterSpacingControl w:val="compressPunctuation"/>
  <w:footnotePr>
    <w:footnote w:id="0"/>
    <w:footnote w:id="1"/>
  </w:footnotePr>
  <w:compat>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IyN2U2NjRhN2NiMzUxYTA1NjlkZWExMDEwNWQifQ=="/>
  </w:docVars>
  <w:rsids>
    <w:rsidRoot w:val="00000000"/>
    <w:rsid w:val="1DB4159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semiHidden/>
    <w:unhideWhenUsed/>
    <w:uiPriority w:val="99"/>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styleId="2">
    <w:name w:val="heading 1"/>
    <w:basedOn w:val="1"/>
    <w:next w:val="1"/>
    <w:qFormat/>
    <w:uiPriority w:val="9"/>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9"/>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9"/>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9"/>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9"/>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9"/>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uiPriority w:val="99"/>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footer"/>
    <w:basedOn w:val="1"/>
    <w:link w:val="17"/>
    <w:semiHidden/>
    <w:unhideWhenUsed/>
    <w:uiPriority w:val="99"/>
    <w:pPr>
      <w:keepNext w:val="0"/>
      <w:keepLines w:val="0"/>
      <w:widowControl w:val="0"/>
      <w:suppressLineNumbers w:val="0"/>
      <w:tabs>
        <w:tab w:val="center" w:pos="4153"/>
        <w:tab w:val="right" w:pos="8306"/>
      </w:tabs>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9">
    <w:name w:val="header"/>
    <w:basedOn w:val="1"/>
    <w:link w:val="16"/>
    <w:semiHidden/>
    <w:unhideWhenUsed/>
    <w:uiPriority w:val="99"/>
    <w:pPr>
      <w:keepNext w:val="0"/>
      <w:keepLines w:val="0"/>
      <w:widowControl w:val="0"/>
      <w:suppressLineNumbers w:val="0"/>
      <w:pBdr>
        <w:top w:val="none" w:color="auto" w:sz="0" w:space="0"/>
        <w:left w:val="none" w:color="auto" w:sz="0" w:space="0"/>
        <w:bottom w:val="single" w:color="auto" w:sz="6" w:space="1"/>
        <w:right w:val="none" w:color="auto" w:sz="0" w:space="0"/>
      </w:pBdr>
      <w:tabs>
        <w:tab w:val="center" w:pos="4153"/>
        <w:tab w:val="right" w:pos="8306"/>
      </w:tabs>
      <w:snapToGrid w:val="0"/>
      <w:spacing w:before="0" w:beforeAutospacing="0" w:after="0" w:afterAutospacing="0"/>
      <w:ind w:left="0" w:right="0"/>
      <w:jc w:val="center"/>
    </w:pPr>
    <w:rPr>
      <w:rFonts w:hint="default" w:ascii="Times New Roman" w:hAnsi="Times New Roman" w:eastAsia="宋体" w:cs="Times New Roman"/>
      <w:kern w:val="2"/>
      <w:sz w:val="18"/>
      <w:szCs w:val="18"/>
      <w:lang w:val="en-US" w:eastAsia="zh-CN" w:bidi="ar"/>
    </w:rPr>
  </w:style>
  <w:style w:type="paragraph" w:styleId="10">
    <w:name w:val="HTML Preformatted"/>
    <w:basedOn w:val="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uiPriority w:val="99"/>
    <w:pPr>
      <w:widowControl/>
      <w:spacing w:before="0" w:beforeAutospacing="1" w:after="0" w:afterAutospacing="1"/>
      <w:ind w:left="0" w:right="0"/>
      <w:jc w:val="left"/>
    </w:pPr>
    <w:rPr>
      <w:rFonts w:ascii="宋体" w:hAnsi="宋体" w:eastAsia="宋体" w:cs="宋体"/>
      <w:kern w:val="0"/>
      <w:sz w:val="24"/>
      <w:lang w:val="en-US" w:eastAsia="zh-CN" w:bidi="ar"/>
    </w:rPr>
  </w:style>
  <w:style w:type="character" w:customStyle="1" w:styleId="14">
    <w:name w:val="hps"/>
    <w:basedOn w:val="13"/>
    <w:uiPriority w:val="0"/>
  </w:style>
  <w:style w:type="character" w:customStyle="1" w:styleId="15">
    <w:name w:val="font61"/>
    <w:basedOn w:val="13"/>
    <w:uiPriority w:val="0"/>
    <w:rPr>
      <w:rFonts w:hint="default" w:ascii="Times New Roman" w:hAnsi="Times New Roman" w:eastAsia="楷体_GB2312" w:cs="Times New Roman"/>
      <w:sz w:val="32"/>
      <w:szCs w:val="24"/>
    </w:rPr>
  </w:style>
  <w:style w:type="character" w:customStyle="1" w:styleId="16">
    <w:name w:val="页眉 Char"/>
    <w:basedOn w:val="13"/>
    <w:link w:val="9"/>
    <w:locked/>
    <w:uiPriority w:val="0"/>
    <w:rPr>
      <w:rFonts w:hint="default" w:ascii="Times New Roman" w:hAnsi="Times New Roman" w:eastAsia="宋体" w:cs="Times New Roman"/>
      <w:sz w:val="18"/>
      <w:szCs w:val="18"/>
    </w:rPr>
  </w:style>
  <w:style w:type="character" w:customStyle="1" w:styleId="17">
    <w:name w:val="页脚 Char"/>
    <w:basedOn w:val="13"/>
    <w:link w:val="8"/>
    <w:locked/>
    <w:uiPriority w:val="0"/>
    <w:rPr>
      <w:rFonts w:hint="default" w:ascii="Times New Roman" w:hAnsi="Times New Roman" w:eastAsia="宋体" w:cs="Times New Roman"/>
      <w:sz w:val="18"/>
      <w:szCs w:val="18"/>
    </w:rPr>
  </w:style>
  <w:style w:type="character" w:customStyle="1" w:styleId="18">
    <w:name w:val="font21"/>
    <w:basedOn w:val="13"/>
    <w:uiPriority w:val="0"/>
    <w:rPr>
      <w:rFonts w:hint="default" w:ascii="Times New Roman" w:hAnsi="Times New Roman" w:eastAsia="楷体_GB2312" w:cs="Times New Roman"/>
      <w:sz w:val="30"/>
      <w:szCs w:val="24"/>
    </w:rPr>
  </w:style>
  <w:style w:type="character" w:customStyle="1" w:styleId="19">
    <w:name w:val="font51"/>
    <w:basedOn w:val="13"/>
    <w:uiPriority w:val="0"/>
    <w:rPr>
      <w:rFonts w:hint="eastAsia" w:ascii="黑体" w:hAnsi="宋体" w:eastAsia="黑体" w:cs="黑体"/>
      <w:sz w:val="36"/>
      <w:szCs w:val="24"/>
    </w:rPr>
  </w:style>
  <w:style w:type="character" w:customStyle="1" w:styleId="20">
    <w:name w:val="font71"/>
    <w:basedOn w:val="13"/>
    <w:uiPriority w:val="0"/>
    <w:rPr>
      <w:rFonts w:hint="default" w:ascii="Times New Roman" w:hAnsi="Times New Roman" w:eastAsia="楷体_GB2312" w:cs="Times New Roman"/>
      <w:sz w:val="28"/>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WwW.YlmF.CoM</Company>
  <Pages>7</Pages>
  <Words>2161</Words>
  <Characters>2293</Characters>
  <Lines>4</Lines>
  <Paragraphs>1</Paragraphs>
  <TotalTime>45456.3750000016</TotalTime>
  <ScaleCrop>false</ScaleCrop>
  <LinksUpToDate>false</LinksUpToDate>
  <CharactersWithSpaces>2371</CharactersWithSpaces>
  <Application>WPS Office_12.1.0.17133_F1E327BC-269C-435d-A152-05C5408002CA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1899-12-29T16:00:00Z</dcterms:created>
  <dc:creator>雨林木风</dc:creator>
  <cp:lastModifiedBy>Administrator</cp:lastModifiedBy>
  <dcterms:modified xsi:type="dcterms:W3CDTF">2024-06-13T01:14:26Z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3C0BAC046D8B4B5C8B85BA13175E4279_13</vt:lpwstr>
  </property>
</Properties>
</file>