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1C65" w:rsidRDefault="006A1C65">
      <w:pPr>
        <w:pStyle w:val="12"/>
      </w:pPr>
      <w:bookmarkStart w:id="0" w:name="_Toc476676228"/>
    </w:p>
    <w:p w:rsidR="002A4AE9" w:rsidRDefault="00D4622E">
      <w:pPr>
        <w:widowControl/>
        <w:jc w:val="left"/>
        <w:rPr>
          <w:rFonts w:eastAsia="黑体"/>
          <w:sz w:val="32"/>
          <w:szCs w:val="32"/>
        </w:rPr>
      </w:pPr>
      <w:r>
        <w:rPr>
          <w:rFonts w:eastAsia="黑体"/>
          <w:sz w:val="32"/>
          <w:szCs w:val="32"/>
        </w:rPr>
        <w:t>附件</w:t>
      </w:r>
      <w:r>
        <w:rPr>
          <w:rFonts w:eastAsia="黑体"/>
          <w:sz w:val="32"/>
          <w:szCs w:val="32"/>
        </w:rPr>
        <w:t>4</w:t>
      </w:r>
    </w:p>
    <w:p w:rsidR="002A4AE9" w:rsidRDefault="00D4622E">
      <w:pPr>
        <w:widowControl/>
        <w:spacing w:beforeLines="100" w:before="312" w:afterLines="100" w:after="312" w:line="600" w:lineRule="exact"/>
        <w:jc w:val="center"/>
        <w:rPr>
          <w:rFonts w:eastAsia="方正小标宋简体"/>
          <w:sz w:val="48"/>
          <w:szCs w:val="48"/>
        </w:rPr>
      </w:pPr>
      <w:r>
        <w:rPr>
          <w:rFonts w:eastAsia="方正小标宋简体"/>
          <w:sz w:val="44"/>
          <w:szCs w:val="44"/>
        </w:rPr>
        <w:t>采矿权申请资料清单及要求</w:t>
      </w:r>
    </w:p>
    <w:tbl>
      <w:tblPr>
        <w:tblW w:w="14690" w:type="dxa"/>
        <w:jc w:val="center"/>
        <w:tblLayout w:type="fixed"/>
        <w:tblLook w:val="04A0" w:firstRow="1" w:lastRow="0" w:firstColumn="1" w:lastColumn="0" w:noHBand="0" w:noVBand="1"/>
      </w:tblPr>
      <w:tblGrid>
        <w:gridCol w:w="595"/>
        <w:gridCol w:w="1791"/>
        <w:gridCol w:w="473"/>
        <w:gridCol w:w="444"/>
        <w:gridCol w:w="490"/>
        <w:gridCol w:w="743"/>
        <w:gridCol w:w="735"/>
        <w:gridCol w:w="1144"/>
        <w:gridCol w:w="867"/>
        <w:gridCol w:w="516"/>
        <w:gridCol w:w="6892"/>
      </w:tblGrid>
      <w:tr w:rsidR="002A4AE9" w:rsidTr="006A1C65">
        <w:trPr>
          <w:trHeight w:val="228"/>
          <w:tblHeader/>
          <w:jc w:val="center"/>
        </w:trPr>
        <w:tc>
          <w:tcPr>
            <w:tcW w:w="595" w:type="dxa"/>
            <w:vMerge w:val="restart"/>
            <w:tcBorders>
              <w:top w:val="single" w:sz="2" w:space="0" w:color="000000"/>
              <w:left w:val="single" w:sz="2" w:space="0" w:color="000000"/>
              <w:bottom w:val="single" w:sz="4" w:space="0" w:color="000000"/>
              <w:right w:val="single" w:sz="4" w:space="0" w:color="000000"/>
            </w:tcBorders>
            <w:vAlign w:val="center"/>
          </w:tcPr>
          <w:p w:rsidR="002A4AE9" w:rsidRDefault="00D4622E">
            <w:pPr>
              <w:spacing w:line="320" w:lineRule="exact"/>
              <w:jc w:val="center"/>
              <w:rPr>
                <w:rFonts w:eastAsia="黑体"/>
                <w:kern w:val="0"/>
                <w:sz w:val="24"/>
              </w:rPr>
            </w:pPr>
            <w:r>
              <w:rPr>
                <w:rFonts w:eastAsia="黑体"/>
                <w:kern w:val="0"/>
                <w:sz w:val="24"/>
              </w:rPr>
              <w:t>序号</w:t>
            </w:r>
          </w:p>
        </w:tc>
        <w:tc>
          <w:tcPr>
            <w:tcW w:w="1791" w:type="dxa"/>
            <w:vMerge w:val="restart"/>
            <w:tcBorders>
              <w:top w:val="single" w:sz="2" w:space="0" w:color="000000"/>
              <w:left w:val="single" w:sz="2" w:space="0" w:color="000000"/>
              <w:bottom w:val="single" w:sz="4" w:space="0" w:color="000000"/>
              <w:right w:val="single" w:sz="4" w:space="0" w:color="000000"/>
            </w:tcBorders>
            <w:vAlign w:val="center"/>
          </w:tcPr>
          <w:p w:rsidR="002A4AE9" w:rsidRDefault="00D4622E">
            <w:pPr>
              <w:spacing w:line="320" w:lineRule="exact"/>
              <w:jc w:val="center"/>
              <w:rPr>
                <w:rFonts w:eastAsia="黑体"/>
                <w:kern w:val="0"/>
                <w:sz w:val="24"/>
              </w:rPr>
            </w:pPr>
            <w:r>
              <w:rPr>
                <w:rFonts w:eastAsia="黑体"/>
                <w:kern w:val="0"/>
                <w:sz w:val="24"/>
              </w:rPr>
              <w:t>材料名称</w:t>
            </w:r>
          </w:p>
        </w:tc>
        <w:tc>
          <w:tcPr>
            <w:tcW w:w="473" w:type="dxa"/>
            <w:vMerge w:val="restart"/>
            <w:tcBorders>
              <w:top w:val="single" w:sz="2" w:space="0" w:color="000000"/>
              <w:left w:val="single" w:sz="2" w:space="0" w:color="000000"/>
              <w:bottom w:val="single" w:sz="4" w:space="0" w:color="000000"/>
              <w:right w:val="single" w:sz="4" w:space="0" w:color="000000"/>
            </w:tcBorders>
            <w:vAlign w:val="center"/>
          </w:tcPr>
          <w:p w:rsidR="002A4AE9" w:rsidRDefault="00D4622E">
            <w:pPr>
              <w:spacing w:line="320" w:lineRule="exact"/>
              <w:jc w:val="center"/>
              <w:rPr>
                <w:rFonts w:eastAsia="黑体"/>
                <w:kern w:val="0"/>
                <w:sz w:val="24"/>
              </w:rPr>
            </w:pPr>
            <w:r>
              <w:rPr>
                <w:rFonts w:eastAsia="黑体"/>
                <w:kern w:val="0"/>
                <w:sz w:val="24"/>
              </w:rPr>
              <w:t>新立</w:t>
            </w:r>
          </w:p>
        </w:tc>
        <w:tc>
          <w:tcPr>
            <w:tcW w:w="444" w:type="dxa"/>
            <w:vMerge w:val="restart"/>
            <w:tcBorders>
              <w:top w:val="single" w:sz="2" w:space="0" w:color="000000"/>
              <w:left w:val="single" w:sz="2" w:space="0" w:color="000000"/>
              <w:bottom w:val="single" w:sz="4" w:space="0" w:color="000000"/>
              <w:right w:val="single" w:sz="4" w:space="0" w:color="000000"/>
            </w:tcBorders>
            <w:vAlign w:val="center"/>
          </w:tcPr>
          <w:p w:rsidR="002A4AE9" w:rsidRDefault="00D4622E">
            <w:pPr>
              <w:spacing w:line="320" w:lineRule="exact"/>
              <w:jc w:val="center"/>
              <w:rPr>
                <w:rFonts w:eastAsia="黑体"/>
                <w:kern w:val="0"/>
                <w:sz w:val="24"/>
              </w:rPr>
            </w:pPr>
            <w:r>
              <w:rPr>
                <w:rFonts w:eastAsia="黑体"/>
                <w:kern w:val="0"/>
                <w:sz w:val="24"/>
              </w:rPr>
              <w:t>延续</w:t>
            </w:r>
          </w:p>
        </w:tc>
        <w:tc>
          <w:tcPr>
            <w:tcW w:w="490" w:type="dxa"/>
            <w:vMerge w:val="restart"/>
            <w:tcBorders>
              <w:top w:val="single" w:sz="2" w:space="0" w:color="000000"/>
              <w:left w:val="single" w:sz="2" w:space="0" w:color="000000"/>
              <w:bottom w:val="single" w:sz="4" w:space="0" w:color="000000"/>
              <w:right w:val="single" w:sz="4" w:space="0" w:color="000000"/>
            </w:tcBorders>
            <w:vAlign w:val="center"/>
          </w:tcPr>
          <w:p w:rsidR="002A4AE9" w:rsidRDefault="00D4622E">
            <w:pPr>
              <w:spacing w:line="320" w:lineRule="exact"/>
              <w:jc w:val="center"/>
              <w:rPr>
                <w:rFonts w:eastAsia="黑体"/>
                <w:kern w:val="0"/>
                <w:sz w:val="24"/>
              </w:rPr>
            </w:pPr>
            <w:r>
              <w:rPr>
                <w:rFonts w:eastAsia="黑体"/>
                <w:kern w:val="0"/>
                <w:sz w:val="24"/>
              </w:rPr>
              <w:t>注销</w:t>
            </w:r>
          </w:p>
        </w:tc>
        <w:tc>
          <w:tcPr>
            <w:tcW w:w="4005" w:type="dxa"/>
            <w:gridSpan w:val="5"/>
            <w:tcBorders>
              <w:top w:val="single" w:sz="2" w:space="0" w:color="000000"/>
              <w:left w:val="single" w:sz="2" w:space="0" w:color="000000"/>
              <w:bottom w:val="single" w:sz="4" w:space="0" w:color="000000"/>
              <w:right w:val="single" w:sz="4" w:space="0" w:color="000000"/>
            </w:tcBorders>
            <w:vAlign w:val="center"/>
          </w:tcPr>
          <w:p w:rsidR="002A4AE9" w:rsidRDefault="00D4622E">
            <w:pPr>
              <w:spacing w:line="320" w:lineRule="exact"/>
              <w:jc w:val="center"/>
              <w:rPr>
                <w:rFonts w:eastAsia="黑体"/>
                <w:kern w:val="0"/>
                <w:sz w:val="24"/>
              </w:rPr>
            </w:pPr>
            <w:r>
              <w:rPr>
                <w:rFonts w:eastAsia="黑体"/>
                <w:kern w:val="0"/>
                <w:sz w:val="24"/>
              </w:rPr>
              <w:t>变更</w:t>
            </w:r>
          </w:p>
        </w:tc>
        <w:tc>
          <w:tcPr>
            <w:tcW w:w="6892" w:type="dxa"/>
            <w:vMerge w:val="restart"/>
            <w:tcBorders>
              <w:top w:val="single" w:sz="2" w:space="0" w:color="000000"/>
              <w:left w:val="single" w:sz="2" w:space="0" w:color="000000"/>
              <w:right w:val="single" w:sz="4" w:space="0" w:color="000000"/>
            </w:tcBorders>
            <w:vAlign w:val="center"/>
          </w:tcPr>
          <w:p w:rsidR="002A4AE9" w:rsidRDefault="00D4622E">
            <w:pPr>
              <w:autoSpaceDN w:val="0"/>
              <w:spacing w:line="320" w:lineRule="exact"/>
              <w:jc w:val="center"/>
              <w:textAlignment w:val="center"/>
              <w:rPr>
                <w:b/>
                <w:sz w:val="24"/>
              </w:rPr>
            </w:pPr>
            <w:r>
              <w:rPr>
                <w:rFonts w:eastAsia="黑体"/>
                <w:kern w:val="0"/>
                <w:sz w:val="24"/>
              </w:rPr>
              <w:t>要求</w:t>
            </w:r>
          </w:p>
        </w:tc>
      </w:tr>
      <w:tr w:rsidR="002A4AE9" w:rsidTr="006A1C65">
        <w:trPr>
          <w:trHeight w:val="1152"/>
          <w:tblHeader/>
          <w:jc w:val="center"/>
        </w:trPr>
        <w:tc>
          <w:tcPr>
            <w:tcW w:w="595" w:type="dxa"/>
            <w:vMerge/>
            <w:tcBorders>
              <w:top w:val="single" w:sz="2" w:space="0" w:color="000000"/>
              <w:left w:val="single" w:sz="2" w:space="0" w:color="000000"/>
              <w:bottom w:val="single" w:sz="4" w:space="0" w:color="000000"/>
              <w:right w:val="single" w:sz="4" w:space="0" w:color="000000"/>
            </w:tcBorders>
            <w:vAlign w:val="center"/>
          </w:tcPr>
          <w:p w:rsidR="002A4AE9" w:rsidRDefault="002A4AE9">
            <w:pPr>
              <w:spacing w:line="320" w:lineRule="exact"/>
              <w:jc w:val="center"/>
              <w:rPr>
                <w:rFonts w:eastAsia="黑体"/>
                <w:kern w:val="0"/>
                <w:sz w:val="24"/>
              </w:rPr>
            </w:pPr>
          </w:p>
        </w:tc>
        <w:tc>
          <w:tcPr>
            <w:tcW w:w="1791" w:type="dxa"/>
            <w:vMerge/>
            <w:tcBorders>
              <w:top w:val="single" w:sz="2" w:space="0" w:color="000000"/>
              <w:left w:val="single" w:sz="2" w:space="0" w:color="000000"/>
              <w:bottom w:val="single" w:sz="4" w:space="0" w:color="000000"/>
              <w:right w:val="single" w:sz="4" w:space="0" w:color="000000"/>
            </w:tcBorders>
            <w:vAlign w:val="center"/>
          </w:tcPr>
          <w:p w:rsidR="002A4AE9" w:rsidRDefault="002A4AE9">
            <w:pPr>
              <w:spacing w:line="320" w:lineRule="exact"/>
              <w:jc w:val="center"/>
              <w:rPr>
                <w:rFonts w:eastAsia="黑体"/>
                <w:kern w:val="0"/>
                <w:sz w:val="24"/>
              </w:rPr>
            </w:pPr>
          </w:p>
        </w:tc>
        <w:tc>
          <w:tcPr>
            <w:tcW w:w="473" w:type="dxa"/>
            <w:vMerge/>
            <w:tcBorders>
              <w:top w:val="single" w:sz="2" w:space="0" w:color="000000"/>
              <w:left w:val="single" w:sz="2" w:space="0" w:color="000000"/>
              <w:bottom w:val="single" w:sz="4" w:space="0" w:color="000000"/>
              <w:right w:val="single" w:sz="4" w:space="0" w:color="000000"/>
            </w:tcBorders>
            <w:vAlign w:val="center"/>
          </w:tcPr>
          <w:p w:rsidR="002A4AE9" w:rsidRDefault="002A4AE9">
            <w:pPr>
              <w:spacing w:line="320" w:lineRule="exact"/>
              <w:jc w:val="center"/>
              <w:rPr>
                <w:rFonts w:eastAsia="黑体"/>
                <w:kern w:val="0"/>
                <w:sz w:val="24"/>
              </w:rPr>
            </w:pPr>
          </w:p>
        </w:tc>
        <w:tc>
          <w:tcPr>
            <w:tcW w:w="444" w:type="dxa"/>
            <w:vMerge/>
            <w:tcBorders>
              <w:top w:val="single" w:sz="2" w:space="0" w:color="000000"/>
              <w:left w:val="single" w:sz="2" w:space="0" w:color="000000"/>
              <w:bottom w:val="single" w:sz="4" w:space="0" w:color="000000"/>
              <w:right w:val="single" w:sz="4" w:space="0" w:color="000000"/>
            </w:tcBorders>
            <w:vAlign w:val="center"/>
          </w:tcPr>
          <w:p w:rsidR="002A4AE9" w:rsidRDefault="002A4AE9">
            <w:pPr>
              <w:spacing w:line="320" w:lineRule="exact"/>
              <w:jc w:val="center"/>
              <w:rPr>
                <w:rFonts w:eastAsia="黑体"/>
                <w:kern w:val="0"/>
                <w:sz w:val="24"/>
              </w:rPr>
            </w:pPr>
          </w:p>
        </w:tc>
        <w:tc>
          <w:tcPr>
            <w:tcW w:w="490" w:type="dxa"/>
            <w:vMerge/>
            <w:tcBorders>
              <w:top w:val="single" w:sz="2" w:space="0" w:color="000000"/>
              <w:left w:val="single" w:sz="2" w:space="0" w:color="000000"/>
              <w:bottom w:val="single" w:sz="4" w:space="0" w:color="000000"/>
              <w:right w:val="single" w:sz="4" w:space="0" w:color="000000"/>
            </w:tcBorders>
            <w:vAlign w:val="center"/>
          </w:tcPr>
          <w:p w:rsidR="002A4AE9" w:rsidRDefault="002A4AE9">
            <w:pPr>
              <w:spacing w:line="320" w:lineRule="exact"/>
              <w:jc w:val="center"/>
              <w:rPr>
                <w:rFonts w:eastAsia="黑体"/>
                <w:kern w:val="0"/>
                <w:sz w:val="24"/>
              </w:rPr>
            </w:pP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rFonts w:eastAsia="黑体"/>
                <w:kern w:val="0"/>
                <w:sz w:val="24"/>
              </w:rPr>
            </w:pPr>
            <w:r>
              <w:rPr>
                <w:rFonts w:eastAsia="黑体"/>
                <w:kern w:val="0"/>
                <w:sz w:val="24"/>
              </w:rPr>
              <w:t>扩大矿区范围</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rFonts w:eastAsia="黑体"/>
                <w:kern w:val="0"/>
                <w:sz w:val="24"/>
              </w:rPr>
            </w:pPr>
            <w:r>
              <w:rPr>
                <w:rFonts w:eastAsia="黑体"/>
                <w:kern w:val="0"/>
                <w:sz w:val="24"/>
              </w:rPr>
              <w:t>缩小矿区范围</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rFonts w:eastAsia="黑体"/>
                <w:kern w:val="0"/>
                <w:sz w:val="24"/>
              </w:rPr>
            </w:pPr>
            <w:r>
              <w:rPr>
                <w:rFonts w:eastAsia="黑体"/>
                <w:kern w:val="0"/>
                <w:sz w:val="24"/>
              </w:rPr>
              <w:t>开采主矿种、开采方式</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rFonts w:eastAsia="黑体"/>
                <w:kern w:val="0"/>
                <w:sz w:val="24"/>
              </w:rPr>
            </w:pPr>
            <w:r>
              <w:rPr>
                <w:rFonts w:eastAsia="黑体"/>
                <w:kern w:val="0"/>
                <w:sz w:val="24"/>
              </w:rPr>
              <w:t>采矿权人名称</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rFonts w:eastAsia="黑体"/>
                <w:kern w:val="0"/>
                <w:sz w:val="24"/>
              </w:rPr>
            </w:pPr>
            <w:r>
              <w:rPr>
                <w:rFonts w:eastAsia="黑体"/>
                <w:kern w:val="0"/>
                <w:sz w:val="24"/>
              </w:rPr>
              <w:t>转让</w:t>
            </w:r>
          </w:p>
        </w:tc>
        <w:tc>
          <w:tcPr>
            <w:tcW w:w="6892" w:type="dxa"/>
            <w:vMerge/>
            <w:tcBorders>
              <w:left w:val="single" w:sz="2" w:space="0" w:color="000000"/>
              <w:bottom w:val="single" w:sz="4" w:space="0" w:color="000000"/>
              <w:right w:val="single" w:sz="4" w:space="0" w:color="000000"/>
            </w:tcBorders>
            <w:vAlign w:val="center"/>
          </w:tcPr>
          <w:p w:rsidR="002A4AE9" w:rsidRDefault="002A4AE9">
            <w:pPr>
              <w:autoSpaceDN w:val="0"/>
              <w:spacing w:line="320" w:lineRule="exact"/>
              <w:rPr>
                <w:sz w:val="24"/>
              </w:rPr>
            </w:pPr>
          </w:p>
        </w:tc>
      </w:tr>
      <w:tr w:rsidR="002A4AE9" w:rsidTr="006A1C65">
        <w:trPr>
          <w:trHeight w:val="844"/>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采矿权申请登记书或申请书</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sz w:val="24"/>
              </w:rPr>
              <w:t>转让采矿权的，</w:t>
            </w:r>
            <w:r>
              <w:rPr>
                <w:kern w:val="0"/>
                <w:sz w:val="24"/>
              </w:rPr>
              <w:t>转受让双方共</w:t>
            </w:r>
            <w:r>
              <w:rPr>
                <w:rFonts w:hint="eastAsia"/>
                <w:kern w:val="0"/>
                <w:sz w:val="24"/>
              </w:rPr>
              <w:t>同</w:t>
            </w:r>
            <w:r>
              <w:rPr>
                <w:sz w:val="24"/>
              </w:rPr>
              <w:t>提交转让申请书，受让方还需提交变更申请登记书。</w:t>
            </w:r>
          </w:p>
        </w:tc>
      </w:tr>
      <w:tr w:rsidR="002A4AE9" w:rsidTr="006A1C65">
        <w:trPr>
          <w:trHeight w:val="422"/>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2</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采矿许可证正、副本</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color w:val="FF0000"/>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2A4AE9">
            <w:pPr>
              <w:autoSpaceDN w:val="0"/>
              <w:spacing w:line="320" w:lineRule="exact"/>
              <w:jc w:val="left"/>
              <w:textAlignment w:val="center"/>
              <w:rPr>
                <w:color w:val="000000"/>
                <w:sz w:val="24"/>
              </w:rPr>
            </w:pPr>
          </w:p>
        </w:tc>
      </w:tr>
      <w:tr w:rsidR="002A4AE9" w:rsidTr="006A1C65">
        <w:trPr>
          <w:trHeight w:val="913"/>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3</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市（州）自然资源</w:t>
            </w:r>
            <w:r>
              <w:rPr>
                <w:rFonts w:hint="eastAsia"/>
                <w:kern w:val="0"/>
                <w:sz w:val="24"/>
              </w:rPr>
              <w:t>主管部门</w:t>
            </w:r>
            <w:r>
              <w:rPr>
                <w:kern w:val="0"/>
                <w:sz w:val="24"/>
              </w:rPr>
              <w:t>核查意见</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2A4AE9">
            <w:pPr>
              <w:autoSpaceDN w:val="0"/>
              <w:spacing w:line="320" w:lineRule="exact"/>
              <w:jc w:val="left"/>
              <w:textAlignment w:val="center"/>
              <w:rPr>
                <w:color w:val="000000"/>
                <w:sz w:val="24"/>
              </w:rPr>
            </w:pPr>
          </w:p>
        </w:tc>
      </w:tr>
      <w:tr w:rsidR="002A4AE9" w:rsidTr="006A1C65">
        <w:trPr>
          <w:trHeight w:val="658"/>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4</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widowControl/>
              <w:snapToGrid w:val="0"/>
              <w:spacing w:line="320" w:lineRule="exact"/>
              <w:jc w:val="center"/>
              <w:rPr>
                <w:kern w:val="0"/>
                <w:sz w:val="24"/>
              </w:rPr>
            </w:pPr>
            <w:r>
              <w:rPr>
                <w:kern w:val="0"/>
                <w:sz w:val="24"/>
              </w:rPr>
              <w:t>申请人的企业营业执照副本</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color w:val="000000"/>
                <w:sz w:val="24"/>
              </w:rPr>
            </w:pPr>
            <w:r>
              <w:rPr>
                <w:color w:val="000000"/>
                <w:sz w:val="24"/>
              </w:rPr>
              <w:t>本省注册企业申请人无需提交此项资料，由登记管理机关通过政府网站进行核查。非本省注册企业申请人需提交此项资料。</w:t>
            </w:r>
          </w:p>
        </w:tc>
      </w:tr>
      <w:tr w:rsidR="002A4AE9" w:rsidTr="006A1C65">
        <w:trPr>
          <w:trHeight w:val="2689"/>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lastRenderedPageBreak/>
              <w:t>5</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矿业权出让收益（价款）缴纳或有偿处置证明材料</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kern w:val="0"/>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kern w:val="0"/>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kern w:val="0"/>
                <w:sz w:val="24"/>
              </w:rPr>
              <w:t>提供缴款通知书、分期缴款批复或包含矿业权出让收益（价款）应缴金额、缴纳方式的矿业权成交确认书、矿业权出让合同以及矿业权出让收益</w:t>
            </w:r>
            <w:r>
              <w:rPr>
                <w:kern w:val="0"/>
                <w:sz w:val="24"/>
              </w:rPr>
              <w:t>(</w:t>
            </w:r>
            <w:r>
              <w:rPr>
                <w:kern w:val="0"/>
                <w:sz w:val="24"/>
              </w:rPr>
              <w:t>价款</w:t>
            </w:r>
            <w:r>
              <w:rPr>
                <w:kern w:val="0"/>
                <w:sz w:val="24"/>
              </w:rPr>
              <w:t>)</w:t>
            </w:r>
            <w:r>
              <w:rPr>
                <w:kern w:val="0"/>
                <w:sz w:val="24"/>
              </w:rPr>
              <w:t>缴纳票据和相关凭证（包含税务机关出具的按矿业权出让收益率缴纳矿业权出让收益的情况证明）等材料。如没有相应材料，应由征收机关（包含税务机关）出具书面意见，说明矿业权出让收益（价款）缴纳的具体情况；对已批准将矿业权出让收益（价款）转增为国家基金或国家资本金的，应提供批复文件。提供采矿权使用费（占用费）缴纳凭证。</w:t>
            </w:r>
          </w:p>
        </w:tc>
      </w:tr>
      <w:tr w:rsidR="002A4AE9" w:rsidTr="006A1C65">
        <w:trPr>
          <w:trHeight w:val="1900"/>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6</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kern w:val="0"/>
                <w:sz w:val="24"/>
              </w:rPr>
              <w:t>经评审（备案）的矿产资源储量评审意见书</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kern w:val="0"/>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kern w:val="0"/>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kern w:val="0"/>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textAlignment w:val="center"/>
              <w:rPr>
                <w:sz w:val="24"/>
              </w:rPr>
            </w:pPr>
            <w:r>
              <w:rPr>
                <w:sz w:val="24"/>
              </w:rPr>
              <w:t>1.</w:t>
            </w:r>
            <w:r>
              <w:rPr>
                <w:sz w:val="24"/>
              </w:rPr>
              <w:t>新立申请：提交</w:t>
            </w:r>
            <w:r>
              <w:rPr>
                <w:kern w:val="0"/>
                <w:sz w:val="24"/>
              </w:rPr>
              <w:t>经评审备案的储量</w:t>
            </w:r>
            <w:r>
              <w:rPr>
                <w:sz w:val="24"/>
              </w:rPr>
              <w:t>评审意见书。</w:t>
            </w:r>
          </w:p>
          <w:p w:rsidR="002A4AE9" w:rsidRDefault="00D4622E">
            <w:pPr>
              <w:autoSpaceDN w:val="0"/>
              <w:spacing w:line="320" w:lineRule="exact"/>
              <w:textAlignment w:val="center"/>
              <w:rPr>
                <w:sz w:val="24"/>
              </w:rPr>
            </w:pPr>
            <w:r>
              <w:rPr>
                <w:sz w:val="24"/>
              </w:rPr>
              <w:t>2.</w:t>
            </w:r>
            <w:r>
              <w:rPr>
                <w:sz w:val="24"/>
              </w:rPr>
              <w:t>延续申请：提交当年或上一年度矿山储量年报，其中属于采矿期间累计查明矿产资源量发生重大变化（变化量超过</w:t>
            </w:r>
            <w:r>
              <w:rPr>
                <w:sz w:val="24"/>
              </w:rPr>
              <w:t>30%</w:t>
            </w:r>
            <w:r>
              <w:rPr>
                <w:sz w:val="24"/>
              </w:rPr>
              <w:t>或达到中型规模以上的）情形的，应当提交矿产资源储量评审备案文件。</w:t>
            </w:r>
            <w:r>
              <w:rPr>
                <w:sz w:val="24"/>
              </w:rPr>
              <w:t xml:space="preserve"> </w:t>
            </w:r>
          </w:p>
          <w:p w:rsidR="002A4AE9" w:rsidRDefault="00D4622E">
            <w:pPr>
              <w:autoSpaceDN w:val="0"/>
              <w:spacing w:line="320" w:lineRule="exact"/>
              <w:textAlignment w:val="center"/>
              <w:rPr>
                <w:sz w:val="24"/>
              </w:rPr>
            </w:pPr>
            <w:r>
              <w:rPr>
                <w:sz w:val="24"/>
              </w:rPr>
              <w:t>3.</w:t>
            </w:r>
            <w:r>
              <w:rPr>
                <w:sz w:val="24"/>
              </w:rPr>
              <w:t>变更申请：提交</w:t>
            </w:r>
            <w:r>
              <w:rPr>
                <w:kern w:val="0"/>
                <w:sz w:val="24"/>
              </w:rPr>
              <w:t>变更后的矿产资源储量评审备案文件（仅变更开采方式的除外）</w:t>
            </w:r>
            <w:r>
              <w:rPr>
                <w:sz w:val="24"/>
              </w:rPr>
              <w:t>。</w:t>
            </w:r>
          </w:p>
        </w:tc>
      </w:tr>
      <w:tr w:rsidR="002A4AE9" w:rsidTr="006A1C65">
        <w:trPr>
          <w:trHeight w:val="1058"/>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7</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矿产资源开发利用方案和专家审查意见</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2A4AE9">
            <w:pPr>
              <w:spacing w:line="320" w:lineRule="exact"/>
              <w:rPr>
                <w:kern w:val="0"/>
                <w:sz w:val="24"/>
              </w:rPr>
            </w:pPr>
          </w:p>
        </w:tc>
      </w:tr>
      <w:tr w:rsidR="002A4AE9" w:rsidTr="006A1C65">
        <w:trPr>
          <w:trHeight w:val="1967"/>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8</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采矿权出让收益评估报告及评审意见书或采矿权已处置资源储量核实意见书</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rPr>
                <w:sz w:val="24"/>
              </w:rPr>
            </w:pPr>
            <w:r>
              <w:rPr>
                <w:sz w:val="24"/>
              </w:rPr>
              <w:t>1.</w:t>
            </w:r>
            <w:r>
              <w:rPr>
                <w:sz w:val="24"/>
              </w:rPr>
              <w:t>开采矿种属财综〔</w:t>
            </w:r>
            <w:r>
              <w:rPr>
                <w:sz w:val="24"/>
              </w:rPr>
              <w:t>2023</w:t>
            </w:r>
            <w:r>
              <w:rPr>
                <w:sz w:val="24"/>
              </w:rPr>
              <w:t>〕</w:t>
            </w:r>
            <w:r>
              <w:rPr>
                <w:sz w:val="24"/>
              </w:rPr>
              <w:t>10</w:t>
            </w:r>
            <w:r>
              <w:rPr>
                <w:sz w:val="24"/>
              </w:rPr>
              <w:t>号</w:t>
            </w:r>
            <w:r>
              <w:rPr>
                <w:rFonts w:hint="eastAsia"/>
                <w:sz w:val="24"/>
              </w:rPr>
              <w:t>文</w:t>
            </w:r>
            <w:r>
              <w:rPr>
                <w:sz w:val="24"/>
              </w:rPr>
              <w:t>规定的《矿种目录》内矿种的，提交采矿权已处置资源储量核实意见书；</w:t>
            </w:r>
          </w:p>
          <w:p w:rsidR="002A4AE9" w:rsidRDefault="00D4622E">
            <w:pPr>
              <w:spacing w:line="320" w:lineRule="exact"/>
              <w:rPr>
                <w:sz w:val="24"/>
              </w:rPr>
            </w:pPr>
            <w:r>
              <w:rPr>
                <w:sz w:val="24"/>
              </w:rPr>
              <w:t>2.</w:t>
            </w:r>
            <w:r>
              <w:rPr>
                <w:sz w:val="24"/>
              </w:rPr>
              <w:t>开采矿种属财综〔</w:t>
            </w:r>
            <w:r>
              <w:rPr>
                <w:sz w:val="24"/>
              </w:rPr>
              <w:t>2023</w:t>
            </w:r>
            <w:r>
              <w:rPr>
                <w:sz w:val="24"/>
              </w:rPr>
              <w:t>〕</w:t>
            </w:r>
            <w:r>
              <w:rPr>
                <w:sz w:val="24"/>
              </w:rPr>
              <w:t>10</w:t>
            </w:r>
            <w:r>
              <w:rPr>
                <w:sz w:val="24"/>
              </w:rPr>
              <w:t>号</w:t>
            </w:r>
            <w:r>
              <w:rPr>
                <w:rFonts w:hint="eastAsia"/>
                <w:sz w:val="24"/>
              </w:rPr>
              <w:t>文</w:t>
            </w:r>
            <w:r>
              <w:rPr>
                <w:sz w:val="24"/>
              </w:rPr>
              <w:t>规定的《矿种目录》外矿种的，提交采矿权出让收益评估报告及评审意见书。</w:t>
            </w:r>
          </w:p>
        </w:tc>
      </w:tr>
      <w:tr w:rsidR="002A4AE9" w:rsidTr="006A1C65">
        <w:trPr>
          <w:trHeight w:val="845"/>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9</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矿山生态保护修复方案及评审意见</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color w:val="000000"/>
                <w:sz w:val="24"/>
              </w:rPr>
            </w:pPr>
            <w:r>
              <w:rPr>
                <w:color w:val="000000"/>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sz w:val="24"/>
              </w:rPr>
              <w:t>采矿许可证到期后申请延续登记的，需重新编制矿山生态保护修复方案并提交审查通过的评审意见书。</w:t>
            </w:r>
          </w:p>
        </w:tc>
      </w:tr>
      <w:tr w:rsidR="002A4AE9" w:rsidTr="006A1C65">
        <w:trPr>
          <w:trHeight w:val="746"/>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10</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划定矿区范围批复</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sz w:val="24"/>
              </w:rPr>
              <w:t>仅适用于本通知下发前已取得划定矿区范围批复的。其中办理过预留期延续的，还应提交延期批复。</w:t>
            </w:r>
          </w:p>
        </w:tc>
      </w:tr>
      <w:tr w:rsidR="002A4AE9" w:rsidTr="006A1C65">
        <w:trPr>
          <w:trHeight w:val="847"/>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11</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勘查许可证</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sz w:val="24"/>
              </w:rPr>
              <w:t>限于探矿权人提出探转采申请的以及涉及探转采的采矿权人扩大矿区范围的。</w:t>
            </w:r>
          </w:p>
        </w:tc>
      </w:tr>
      <w:tr w:rsidR="002A4AE9" w:rsidTr="006A1C65">
        <w:trPr>
          <w:trHeight w:val="801"/>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12</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协议出让申请材料</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color w:val="00B0F0"/>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sz w:val="24"/>
              </w:rPr>
              <w:t>1.</w:t>
            </w:r>
            <w:r>
              <w:rPr>
                <w:sz w:val="24"/>
              </w:rPr>
              <w:t>限于以协议方式出让采矿权的。</w:t>
            </w:r>
          </w:p>
          <w:p w:rsidR="002A4AE9" w:rsidRDefault="00D4622E">
            <w:pPr>
              <w:autoSpaceDN w:val="0"/>
              <w:spacing w:line="320" w:lineRule="exact"/>
              <w:jc w:val="left"/>
              <w:textAlignment w:val="center"/>
              <w:rPr>
                <w:sz w:val="24"/>
              </w:rPr>
            </w:pPr>
            <w:r>
              <w:rPr>
                <w:kern w:val="0"/>
                <w:sz w:val="24"/>
              </w:rPr>
              <w:t>2.</w:t>
            </w:r>
            <w:r>
              <w:rPr>
                <w:kern w:val="0"/>
                <w:sz w:val="24"/>
              </w:rPr>
              <w:t>提交协议出让申请</w:t>
            </w:r>
            <w:r>
              <w:rPr>
                <w:rFonts w:hint="eastAsia"/>
                <w:kern w:val="0"/>
                <w:sz w:val="24"/>
              </w:rPr>
              <w:t>、</w:t>
            </w:r>
            <w:r>
              <w:rPr>
                <w:kern w:val="0"/>
                <w:sz w:val="24"/>
              </w:rPr>
              <w:t>协议出让制度规定的有关部门文件等资料。</w:t>
            </w:r>
          </w:p>
        </w:tc>
      </w:tr>
      <w:tr w:rsidR="002A4AE9" w:rsidTr="006A1C65">
        <w:trPr>
          <w:trHeight w:val="768"/>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13</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竞争性出让申请资料</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textAlignment w:val="center"/>
              <w:rPr>
                <w:sz w:val="24"/>
              </w:rPr>
            </w:pPr>
            <w:r>
              <w:rPr>
                <w:sz w:val="24"/>
              </w:rPr>
              <w:t>仅限于以招标、拍卖、挂牌方式取得的采矿权新立申请</w:t>
            </w:r>
            <w:r>
              <w:rPr>
                <w:rFonts w:hint="eastAsia"/>
                <w:sz w:val="24"/>
              </w:rPr>
              <w:t>或</w:t>
            </w:r>
            <w:r>
              <w:rPr>
                <w:sz w:val="24"/>
              </w:rPr>
              <w:t>以招标、拍卖、挂牌方式</w:t>
            </w:r>
            <w:r>
              <w:rPr>
                <w:rFonts w:hint="eastAsia"/>
                <w:sz w:val="24"/>
              </w:rPr>
              <w:t>扩大矿区范围变更申请</w:t>
            </w:r>
            <w:r>
              <w:rPr>
                <w:sz w:val="24"/>
              </w:rPr>
              <w:t>，包括成交确认书、采矿权出让合同等。</w:t>
            </w:r>
          </w:p>
        </w:tc>
      </w:tr>
      <w:tr w:rsidR="002A4AE9" w:rsidTr="006A1C65">
        <w:trPr>
          <w:trHeight w:val="768"/>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14</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外商投资企业批准证书</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textAlignment w:val="center"/>
              <w:rPr>
                <w:sz w:val="24"/>
              </w:rPr>
            </w:pPr>
            <w:r>
              <w:rPr>
                <w:sz w:val="24"/>
              </w:rPr>
              <w:t>仅限于外商提出新立、延续、变更申请，其中转让变更仅限于采矿权受让人为外商的。</w:t>
            </w:r>
          </w:p>
        </w:tc>
      </w:tr>
      <w:tr w:rsidR="002A4AE9" w:rsidTr="006A1C65">
        <w:trPr>
          <w:trHeight w:val="1023"/>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15</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三叠图</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textAlignment w:val="center"/>
              <w:rPr>
                <w:color w:val="FF0000"/>
                <w:sz w:val="24"/>
              </w:rPr>
            </w:pPr>
            <w:r>
              <w:rPr>
                <w:sz w:val="24"/>
              </w:rPr>
              <w:t>新立、扩大矿区范围申请：应提交申请采矿权范围、资源储量估算范围与探矿权范围（已取得划矿批复的为划定矿区范围）的坐标及三者叠合图。</w:t>
            </w:r>
          </w:p>
        </w:tc>
      </w:tr>
      <w:tr w:rsidR="002A4AE9" w:rsidTr="006A1C65">
        <w:trPr>
          <w:trHeight w:val="1421"/>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16</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申请矿区范围图</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textAlignment w:val="center"/>
              <w:rPr>
                <w:sz w:val="24"/>
              </w:rPr>
            </w:pPr>
            <w:r>
              <w:rPr>
                <w:sz w:val="24"/>
              </w:rPr>
              <w:t>原则上提供比例尺为</w:t>
            </w:r>
            <w:r>
              <w:rPr>
                <w:sz w:val="24"/>
              </w:rPr>
              <w:t>1:2000</w:t>
            </w:r>
            <w:r>
              <w:rPr>
                <w:sz w:val="24"/>
              </w:rPr>
              <w:t>的</w:t>
            </w:r>
            <w:r>
              <w:rPr>
                <w:rFonts w:hint="eastAsia"/>
                <w:sz w:val="24"/>
              </w:rPr>
              <w:t>、</w:t>
            </w:r>
            <w:r>
              <w:rPr>
                <w:sz w:val="24"/>
              </w:rPr>
              <w:t>以</w:t>
            </w:r>
            <w:r>
              <w:rPr>
                <w:rFonts w:eastAsia="楷体_GB2312"/>
                <w:b/>
                <w:sz w:val="24"/>
              </w:rPr>
              <w:t>地形地质图</w:t>
            </w:r>
            <w:r>
              <w:rPr>
                <w:sz w:val="24"/>
              </w:rPr>
              <w:t>为底图的矿区范围图（若比例尺无法满足要求的，可提供</w:t>
            </w:r>
            <w:r>
              <w:rPr>
                <w:sz w:val="24"/>
              </w:rPr>
              <w:t>1:5000</w:t>
            </w:r>
            <w:r>
              <w:rPr>
                <w:sz w:val="24"/>
              </w:rPr>
              <w:t>或</w:t>
            </w:r>
            <w:r>
              <w:rPr>
                <w:sz w:val="24"/>
              </w:rPr>
              <w:t>1:10000</w:t>
            </w:r>
            <w:r>
              <w:rPr>
                <w:sz w:val="24"/>
              </w:rPr>
              <w:t>的</w:t>
            </w:r>
            <w:r>
              <w:rPr>
                <w:rFonts w:hint="eastAsia"/>
                <w:sz w:val="24"/>
              </w:rPr>
              <w:t>、</w:t>
            </w:r>
            <w:r>
              <w:rPr>
                <w:sz w:val="24"/>
              </w:rPr>
              <w:t>以</w:t>
            </w:r>
            <w:r>
              <w:rPr>
                <w:rFonts w:eastAsia="楷体_GB2312"/>
                <w:b/>
                <w:sz w:val="24"/>
              </w:rPr>
              <w:t>地质图</w:t>
            </w:r>
            <w:r>
              <w:rPr>
                <w:sz w:val="24"/>
              </w:rPr>
              <w:t>为底图的矿区范围图），图中标注申请矿区范围、储量估算范围、规划区块范围等。</w:t>
            </w:r>
          </w:p>
        </w:tc>
      </w:tr>
      <w:tr w:rsidR="002A4AE9" w:rsidTr="006A1C65">
        <w:trPr>
          <w:trHeight w:val="1616"/>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17</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井上井下对照图、采掘工程平面图</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textAlignment w:val="center"/>
              <w:rPr>
                <w:sz w:val="24"/>
              </w:rPr>
            </w:pPr>
            <w:r>
              <w:rPr>
                <w:sz w:val="24"/>
              </w:rPr>
              <w:t>1.</w:t>
            </w:r>
            <w:r>
              <w:rPr>
                <w:sz w:val="24"/>
              </w:rPr>
              <w:t>由有测量资质的单位编制并盖章，编制时间距提交登记资料不超过</w:t>
            </w:r>
            <w:r>
              <w:rPr>
                <w:sz w:val="24"/>
              </w:rPr>
              <w:t>6</w:t>
            </w:r>
            <w:r>
              <w:rPr>
                <w:sz w:val="24"/>
              </w:rPr>
              <w:t>个月（一直停产的除外）。</w:t>
            </w:r>
          </w:p>
          <w:p w:rsidR="002A4AE9" w:rsidRDefault="00D4622E">
            <w:pPr>
              <w:autoSpaceDN w:val="0"/>
              <w:spacing w:line="320" w:lineRule="exact"/>
              <w:textAlignment w:val="center"/>
              <w:rPr>
                <w:sz w:val="24"/>
              </w:rPr>
            </w:pPr>
            <w:r>
              <w:rPr>
                <w:sz w:val="24"/>
              </w:rPr>
              <w:t>2.</w:t>
            </w:r>
            <w:r>
              <w:rPr>
                <w:sz w:val="24"/>
              </w:rPr>
              <w:t>井上井下对照图以</w:t>
            </w:r>
            <w:r>
              <w:rPr>
                <w:rFonts w:eastAsia="楷体_GB2312"/>
                <w:b/>
                <w:sz w:val="24"/>
              </w:rPr>
              <w:t>地形地质图</w:t>
            </w:r>
            <w:r>
              <w:rPr>
                <w:sz w:val="24"/>
              </w:rPr>
              <w:t>为底图，比例尺原则上为</w:t>
            </w:r>
            <w:r>
              <w:rPr>
                <w:sz w:val="24"/>
              </w:rPr>
              <w:t>1:2000</w:t>
            </w:r>
            <w:r>
              <w:rPr>
                <w:sz w:val="24"/>
              </w:rPr>
              <w:t>（若比例尺无法满足要求的，可提供</w:t>
            </w:r>
            <w:r>
              <w:rPr>
                <w:sz w:val="24"/>
              </w:rPr>
              <w:t>1:5000</w:t>
            </w:r>
            <w:r>
              <w:rPr>
                <w:sz w:val="24"/>
              </w:rPr>
              <w:t>或</w:t>
            </w:r>
            <w:r>
              <w:rPr>
                <w:sz w:val="24"/>
              </w:rPr>
              <w:t>1:10000</w:t>
            </w:r>
            <w:r>
              <w:rPr>
                <w:sz w:val="24"/>
              </w:rPr>
              <w:t>的</w:t>
            </w:r>
            <w:r>
              <w:rPr>
                <w:rFonts w:hint="eastAsia"/>
                <w:sz w:val="24"/>
              </w:rPr>
              <w:t>、</w:t>
            </w:r>
            <w:r>
              <w:rPr>
                <w:sz w:val="24"/>
              </w:rPr>
              <w:t>以</w:t>
            </w:r>
            <w:r>
              <w:rPr>
                <w:rFonts w:eastAsia="楷体_GB2312"/>
                <w:b/>
                <w:sz w:val="24"/>
              </w:rPr>
              <w:t>地质图</w:t>
            </w:r>
            <w:r>
              <w:rPr>
                <w:sz w:val="24"/>
              </w:rPr>
              <w:t>为底图的矿区范围图）。</w:t>
            </w:r>
          </w:p>
        </w:tc>
      </w:tr>
      <w:tr w:rsidR="002A4AE9" w:rsidTr="006A1C65">
        <w:trPr>
          <w:trHeight w:val="1143"/>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18</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关闭矿山报告或完成报告、终止报告</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textAlignment w:val="center"/>
              <w:rPr>
                <w:sz w:val="24"/>
              </w:rPr>
            </w:pPr>
            <w:r>
              <w:rPr>
                <w:sz w:val="24"/>
              </w:rPr>
              <w:t>关闭矿山报告中应包含矿区范围图、矿山开采现状及实测图件、储量动用及剩余情况、矿山生态修复闭坑验收报告和市级自然资源主管部门审核意见、采矿权使用费的缴纳情况及相关票据等内容。</w:t>
            </w:r>
          </w:p>
        </w:tc>
      </w:tr>
      <w:tr w:rsidR="002A4AE9" w:rsidTr="006A1C65">
        <w:trPr>
          <w:trHeight w:val="20"/>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19</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变更采矿权人名称证明文件</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spacing w:line="320" w:lineRule="exact"/>
              <w:jc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sz w:val="24"/>
              </w:rPr>
              <w:t>1.</w:t>
            </w:r>
            <w:r>
              <w:rPr>
                <w:sz w:val="24"/>
              </w:rPr>
              <w:t>非本省注册企业申请人需提交市场监管部门出具的变更批准文件或变更事项查询单（内资企业登记表）等资料，本省注册企业申请人则无需提交。</w:t>
            </w:r>
          </w:p>
          <w:p w:rsidR="002A4AE9" w:rsidRDefault="00D4622E">
            <w:pPr>
              <w:autoSpaceDN w:val="0"/>
              <w:spacing w:line="320" w:lineRule="exact"/>
              <w:jc w:val="left"/>
              <w:textAlignment w:val="center"/>
              <w:rPr>
                <w:sz w:val="24"/>
              </w:rPr>
            </w:pPr>
            <w:r>
              <w:rPr>
                <w:sz w:val="24"/>
              </w:rPr>
              <w:t>2.</w:t>
            </w:r>
            <w:r>
              <w:rPr>
                <w:sz w:val="24"/>
              </w:rPr>
              <w:t>通过法院拍卖或裁定取得的采矿权办理采矿权人名称变更的，需提交法院协助执行通知书等资料。</w:t>
            </w:r>
          </w:p>
        </w:tc>
      </w:tr>
      <w:tr w:rsidR="002A4AE9" w:rsidTr="006A1C65">
        <w:trPr>
          <w:trHeight w:val="775"/>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20</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矿山投产满</w:t>
            </w:r>
            <w:r>
              <w:rPr>
                <w:sz w:val="24"/>
              </w:rPr>
              <w:t>1</w:t>
            </w:r>
            <w:r>
              <w:rPr>
                <w:sz w:val="24"/>
              </w:rPr>
              <w:t>年的证明材料</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sz w:val="24"/>
              </w:rPr>
              <w:t>其中以协议方式取得的，除母公司与全资子公司之间的转让外，应提交矿山投产满</w:t>
            </w:r>
            <w:r>
              <w:rPr>
                <w:sz w:val="24"/>
              </w:rPr>
              <w:t>5</w:t>
            </w:r>
            <w:r>
              <w:rPr>
                <w:sz w:val="24"/>
              </w:rPr>
              <w:t>年证明材料。</w:t>
            </w:r>
          </w:p>
        </w:tc>
      </w:tr>
      <w:tr w:rsidR="002A4AE9" w:rsidTr="006A1C65">
        <w:trPr>
          <w:trHeight w:val="702"/>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21</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采矿权转让合同</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sz w:val="24"/>
              </w:rPr>
            </w:pPr>
            <w:r>
              <w:rPr>
                <w:sz w:val="24"/>
              </w:rPr>
              <w:t>转让合同中应包含矿山生态保护修复等其他法定义务转移的相关内容。</w:t>
            </w:r>
          </w:p>
        </w:tc>
      </w:tr>
      <w:tr w:rsidR="002A4AE9" w:rsidTr="006A1C65">
        <w:trPr>
          <w:trHeight w:val="754"/>
          <w:jc w:val="center"/>
        </w:trPr>
        <w:tc>
          <w:tcPr>
            <w:tcW w:w="59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22</w:t>
            </w:r>
          </w:p>
        </w:tc>
        <w:tc>
          <w:tcPr>
            <w:tcW w:w="1791"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上级主管部门或单位同意转让的意见</w:t>
            </w:r>
          </w:p>
        </w:tc>
        <w:tc>
          <w:tcPr>
            <w:tcW w:w="47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490"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43"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735"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1144"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867"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516"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center"/>
              <w:textAlignment w:val="center"/>
              <w:rPr>
                <w:sz w:val="24"/>
              </w:rPr>
            </w:pPr>
            <w:r>
              <w:rPr>
                <w:sz w:val="24"/>
              </w:rPr>
              <w:t>▲</w:t>
            </w:r>
          </w:p>
        </w:tc>
        <w:tc>
          <w:tcPr>
            <w:tcW w:w="6892" w:type="dxa"/>
            <w:tcBorders>
              <w:top w:val="single" w:sz="2" w:space="0" w:color="000000"/>
              <w:left w:val="single" w:sz="2" w:space="0" w:color="000000"/>
              <w:bottom w:val="single" w:sz="2" w:space="0" w:color="000000"/>
              <w:right w:val="single" w:sz="2" w:space="0" w:color="000000"/>
            </w:tcBorders>
            <w:vAlign w:val="center"/>
          </w:tcPr>
          <w:p w:rsidR="002A4AE9" w:rsidRDefault="00D4622E">
            <w:pPr>
              <w:autoSpaceDN w:val="0"/>
              <w:spacing w:line="320" w:lineRule="exact"/>
              <w:jc w:val="left"/>
              <w:textAlignment w:val="center"/>
              <w:rPr>
                <w:b/>
                <w:sz w:val="24"/>
              </w:rPr>
            </w:pPr>
            <w:r>
              <w:rPr>
                <w:sz w:val="24"/>
              </w:rPr>
              <w:t>仅限于国有矿山企业转让变更申请。</w:t>
            </w:r>
          </w:p>
        </w:tc>
      </w:tr>
    </w:tbl>
    <w:p w:rsidR="002A4AE9" w:rsidRPr="006A1C65" w:rsidRDefault="00D4622E" w:rsidP="006A1C65">
      <w:pPr>
        <w:tabs>
          <w:tab w:val="right" w:pos="8307"/>
        </w:tabs>
        <w:snapToGrid w:val="0"/>
        <w:spacing w:line="380" w:lineRule="exact"/>
        <w:ind w:firstLineChars="229" w:firstLine="614"/>
        <w:jc w:val="left"/>
        <w:rPr>
          <w:rFonts w:eastAsia="仿宋_GB2312"/>
          <w:kern w:val="0"/>
          <w:sz w:val="28"/>
          <w:szCs w:val="28"/>
        </w:rPr>
      </w:pPr>
      <w:bookmarkStart w:id="1" w:name="_GoBack"/>
      <w:r w:rsidRPr="006A1C65">
        <w:rPr>
          <w:rFonts w:eastAsia="仿宋_GB2312"/>
          <w:color w:val="000000"/>
          <w:spacing w:val="-6"/>
          <w:kern w:val="0"/>
          <w:sz w:val="28"/>
          <w:szCs w:val="28"/>
        </w:rPr>
        <w:t>注：</w:t>
      </w:r>
      <w:r w:rsidRPr="006A1C65">
        <w:rPr>
          <w:rFonts w:eastAsia="仿宋_GB2312"/>
          <w:color w:val="000000"/>
          <w:spacing w:val="-6"/>
          <w:kern w:val="0"/>
          <w:sz w:val="28"/>
          <w:szCs w:val="28"/>
        </w:rPr>
        <w:t>1.</w:t>
      </w:r>
      <w:r w:rsidRPr="006A1C65">
        <w:rPr>
          <w:rFonts w:eastAsia="仿宋_GB2312"/>
          <w:color w:val="000000"/>
          <w:spacing w:val="-6"/>
          <w:kern w:val="0"/>
          <w:sz w:val="28"/>
          <w:szCs w:val="28"/>
        </w:rPr>
        <w:t>表中标</w:t>
      </w:r>
      <w:r w:rsidRPr="006A1C65">
        <w:rPr>
          <w:rFonts w:eastAsia="仿宋_GB2312"/>
          <w:color w:val="000000"/>
          <w:spacing w:val="-6"/>
          <w:kern w:val="0"/>
          <w:sz w:val="28"/>
          <w:szCs w:val="28"/>
        </w:rPr>
        <w:t>“▲”</w:t>
      </w:r>
      <w:r w:rsidRPr="006A1C65">
        <w:rPr>
          <w:rFonts w:eastAsia="仿宋_GB2312"/>
          <w:color w:val="000000"/>
          <w:spacing w:val="-6"/>
          <w:kern w:val="0"/>
          <w:sz w:val="28"/>
          <w:szCs w:val="28"/>
        </w:rPr>
        <w:t>为必须提交的资料（</w:t>
      </w:r>
      <w:r w:rsidRPr="006A1C65">
        <w:rPr>
          <w:rFonts w:eastAsia="仿宋_GB2312"/>
          <w:color w:val="000000"/>
          <w:spacing w:val="-6"/>
          <w:kern w:val="0"/>
          <w:sz w:val="28"/>
          <w:szCs w:val="28"/>
        </w:rPr>
        <w:t>“</w:t>
      </w:r>
      <w:r w:rsidRPr="006A1C65">
        <w:rPr>
          <w:rFonts w:eastAsia="仿宋_GB2312"/>
          <w:color w:val="000000"/>
          <w:spacing w:val="-6"/>
          <w:kern w:val="0"/>
          <w:sz w:val="28"/>
          <w:szCs w:val="28"/>
        </w:rPr>
        <w:t>要求</w:t>
      </w:r>
      <w:r w:rsidRPr="006A1C65">
        <w:rPr>
          <w:rFonts w:eastAsia="仿宋_GB2312"/>
          <w:color w:val="000000"/>
          <w:spacing w:val="-6"/>
          <w:kern w:val="0"/>
          <w:sz w:val="28"/>
          <w:szCs w:val="28"/>
        </w:rPr>
        <w:t>”</w:t>
      </w:r>
      <w:r w:rsidRPr="006A1C65">
        <w:rPr>
          <w:rFonts w:eastAsia="仿宋_GB2312"/>
          <w:color w:val="000000"/>
          <w:spacing w:val="-6"/>
          <w:kern w:val="0"/>
          <w:sz w:val="28"/>
          <w:szCs w:val="28"/>
        </w:rPr>
        <w:t>栏中有特殊规定的，从其规定），标</w:t>
      </w:r>
      <w:r w:rsidRPr="006A1C65">
        <w:rPr>
          <w:rFonts w:eastAsia="仿宋_GB2312"/>
          <w:color w:val="000000"/>
          <w:spacing w:val="-6"/>
          <w:kern w:val="0"/>
          <w:sz w:val="28"/>
          <w:szCs w:val="28"/>
        </w:rPr>
        <w:t>“—”</w:t>
      </w:r>
      <w:r w:rsidRPr="006A1C65">
        <w:rPr>
          <w:rFonts w:eastAsia="仿宋_GB2312"/>
          <w:color w:val="000000"/>
          <w:spacing w:val="-6"/>
          <w:kern w:val="0"/>
          <w:sz w:val="28"/>
          <w:szCs w:val="28"/>
        </w:rPr>
        <w:t>为无需提交的资料</w:t>
      </w:r>
      <w:r w:rsidRPr="006A1C65">
        <w:rPr>
          <w:rFonts w:eastAsia="仿宋_GB2312"/>
          <w:kern w:val="0"/>
          <w:sz w:val="28"/>
          <w:szCs w:val="28"/>
        </w:rPr>
        <w:t>。</w:t>
      </w:r>
    </w:p>
    <w:p w:rsidR="002A4AE9" w:rsidRPr="006A1C65" w:rsidRDefault="00D4622E" w:rsidP="006A1C65">
      <w:pPr>
        <w:tabs>
          <w:tab w:val="right" w:pos="8307"/>
        </w:tabs>
        <w:snapToGrid w:val="0"/>
        <w:spacing w:line="380" w:lineRule="exact"/>
        <w:ind w:leftChars="280" w:left="1369" w:hangingChars="279" w:hanging="781"/>
        <w:jc w:val="left"/>
        <w:rPr>
          <w:rFonts w:eastAsia="仿宋_GB2312"/>
          <w:kern w:val="0"/>
          <w:sz w:val="28"/>
          <w:szCs w:val="28"/>
        </w:rPr>
      </w:pPr>
      <w:r w:rsidRPr="006A1C65">
        <w:rPr>
          <w:rFonts w:eastAsia="仿宋_GB2312"/>
          <w:kern w:val="0"/>
          <w:sz w:val="28"/>
          <w:szCs w:val="28"/>
        </w:rPr>
        <w:t xml:space="preserve">    2.</w:t>
      </w:r>
      <w:r w:rsidRPr="006A1C65">
        <w:rPr>
          <w:rFonts w:eastAsia="仿宋_GB2312"/>
          <w:kern w:val="0"/>
          <w:sz w:val="28"/>
          <w:szCs w:val="28"/>
        </w:rPr>
        <w:t>采矿权申请登记书或申请书通过远程申报系统提交电子文档和纸质文档扫描件各一份，且内容一致，其他申请资料提交纸质文档扫描件。</w:t>
      </w:r>
    </w:p>
    <w:p w:rsidR="002A4AE9" w:rsidRPr="006A1C65" w:rsidRDefault="00D4622E" w:rsidP="006A1C65">
      <w:pPr>
        <w:tabs>
          <w:tab w:val="right" w:pos="8307"/>
        </w:tabs>
        <w:snapToGrid w:val="0"/>
        <w:spacing w:line="380" w:lineRule="exact"/>
        <w:ind w:firstLineChars="200" w:firstLine="560"/>
        <w:jc w:val="left"/>
        <w:rPr>
          <w:sz w:val="28"/>
          <w:szCs w:val="28"/>
        </w:rPr>
      </w:pPr>
      <w:r w:rsidRPr="006A1C65">
        <w:rPr>
          <w:rFonts w:eastAsia="仿宋_GB2312"/>
          <w:kern w:val="0"/>
          <w:sz w:val="28"/>
          <w:szCs w:val="28"/>
        </w:rPr>
        <w:t xml:space="preserve">    3.</w:t>
      </w:r>
      <w:r w:rsidRPr="006A1C65">
        <w:rPr>
          <w:rFonts w:eastAsia="仿宋_GB2312"/>
          <w:kern w:val="0"/>
          <w:sz w:val="28"/>
          <w:szCs w:val="28"/>
        </w:rPr>
        <w:t>凡涉及申请人盖章，必须与矿业权人名称一致。</w:t>
      </w:r>
      <w:bookmarkEnd w:id="0"/>
      <w:bookmarkEnd w:id="1"/>
    </w:p>
    <w:sectPr w:rsidR="002A4AE9" w:rsidRPr="006A1C65" w:rsidSect="006A1C65">
      <w:footerReference w:type="even" r:id="rId8"/>
      <w:footerReference w:type="default" r:id="rId9"/>
      <w:pgSz w:w="16838" w:h="11906" w:orient="landscape"/>
      <w:pgMar w:top="1797" w:right="1440" w:bottom="1797" w:left="1440" w:header="851" w:footer="992" w:gutter="0"/>
      <w:cols w:space="708"/>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622E" w:rsidRDefault="00D4622E">
      <w:r>
        <w:separator/>
      </w:r>
    </w:p>
  </w:endnote>
  <w:endnote w:type="continuationSeparator" w:id="0">
    <w:p w:rsidR="00D4622E" w:rsidRDefault="00D462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黑体">
    <w:altName w:val="SimHei"/>
    <w:panose1 w:val="02010609060101010101"/>
    <w:charset w:val="86"/>
    <w:family w:val="auto"/>
    <w:pitch w:val="variable"/>
    <w:sig w:usb0="800002BF" w:usb1="38CF7CFA"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1"/>
    <w:family w:val="modern"/>
    <w:pitch w:val="default"/>
    <w:sig w:usb0="E0002EFF" w:usb1="C0007843" w:usb2="00000009" w:usb3="00000000" w:csb0="400001FF" w:csb1="FFFF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default"/>
    <w:sig w:usb0="00000000" w:usb1="00000000" w:usb2="0000003F" w:usb3="00000000" w:csb0="603F01FF" w:csb1="FFFF0000"/>
  </w:font>
  <w:font w:name="方正北魏楷书简体">
    <w:altName w:val="楷体_GB2312"/>
    <w:charset w:val="86"/>
    <w:family w:val="script"/>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方正仿宋_GBK">
    <w:panose1 w:val="03000509000000000000"/>
    <w:charset w:val="86"/>
    <w:family w:val="script"/>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4AE9" w:rsidRDefault="002A4AE9">
    <w:pPr>
      <w:pStyle w:val="af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4AE9" w:rsidRDefault="002A4AE9">
    <w:pPr>
      <w:pStyle w:val="af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622E" w:rsidRDefault="00D4622E">
      <w:r>
        <w:separator/>
      </w:r>
    </w:p>
  </w:footnote>
  <w:footnote w:type="continuationSeparator" w:id="0">
    <w:p w:rsidR="00D4622E" w:rsidRDefault="00D462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7D3FBC"/>
    <w:multiLevelType w:val="multilevel"/>
    <w:tmpl w:val="657D3FBC"/>
    <w:lvl w:ilvl="0">
      <w:start w:val="1"/>
      <w:numFmt w:val="upperLetter"/>
      <w:pStyle w:val="xl37"/>
      <w:suff w:val="nothing"/>
      <w:lvlText w:val="附　录　%1"/>
      <w:lvlJc w:val="left"/>
      <w:pPr>
        <w:ind w:left="0" w:firstLine="0"/>
      </w:pPr>
      <w:rPr>
        <w:rFonts w:ascii="黑体" w:eastAsia="黑体" w:hAnsi="Times New Roman" w:hint="eastAsia"/>
        <w:b w:val="0"/>
        <w:i w:val="0"/>
        <w:sz w:val="21"/>
      </w:rPr>
    </w:lvl>
    <w:lvl w:ilvl="1">
      <w:start w:val="1"/>
      <w:numFmt w:val="decimal"/>
      <w:pStyle w:val="xl38"/>
      <w:suff w:val="nothing"/>
      <w:lvlText w:val="%1.%2　"/>
      <w:lvlJc w:val="left"/>
      <w:pPr>
        <w:ind w:left="0" w:firstLine="0"/>
      </w:pPr>
      <w:rPr>
        <w:rFonts w:ascii="黑体" w:eastAsia="黑体" w:hAnsi="Times New Roman" w:hint="eastAsia"/>
        <w:b w:val="0"/>
        <w:i w:val="0"/>
        <w:snapToGrid/>
        <w:spacing w:val="0"/>
        <w:w w:val="100"/>
        <w:kern w:val="21"/>
        <w:sz w:val="21"/>
      </w:rPr>
    </w:lvl>
    <w:lvl w:ilvl="2">
      <w:start w:val="1"/>
      <w:numFmt w:val="decimal"/>
      <w:pStyle w:val="xl39"/>
      <w:suff w:val="nothing"/>
      <w:lvlText w:val="%1.%2.%3　"/>
      <w:lvlJc w:val="left"/>
      <w:pPr>
        <w:ind w:left="0" w:firstLine="0"/>
      </w:pPr>
      <w:rPr>
        <w:rFonts w:ascii="黑体" w:eastAsia="黑体" w:hAnsi="Times New Roman" w:hint="eastAsia"/>
        <w:b w:val="0"/>
        <w:i w:val="0"/>
        <w:sz w:val="21"/>
      </w:rPr>
    </w:lvl>
    <w:lvl w:ilvl="3">
      <w:start w:val="1"/>
      <w:numFmt w:val="decimal"/>
      <w:pStyle w:val="a"/>
      <w:suff w:val="nothing"/>
      <w:lvlText w:val="%1.%2.%3.%4　"/>
      <w:lvlJc w:val="left"/>
      <w:pPr>
        <w:ind w:left="0" w:firstLine="0"/>
      </w:pPr>
      <w:rPr>
        <w:rFonts w:ascii="黑体" w:eastAsia="黑体" w:hAnsi="Times New Roman" w:hint="eastAsia"/>
        <w:b w:val="0"/>
        <w:i w:val="0"/>
        <w:sz w:val="21"/>
      </w:rPr>
    </w:lvl>
    <w:lvl w:ilvl="4">
      <w:start w:val="1"/>
      <w:numFmt w:val="decimal"/>
      <w:pStyle w:val="2"/>
      <w:suff w:val="nothing"/>
      <w:lvlText w:val="%1.%2.%3.%4.%5　"/>
      <w:lvlJc w:val="left"/>
      <w:pPr>
        <w:ind w:left="0" w:firstLine="0"/>
      </w:pPr>
      <w:rPr>
        <w:rFonts w:ascii="黑体" w:eastAsia="黑体" w:hAnsi="Times New Roman" w:hint="eastAsia"/>
        <w:b w:val="0"/>
        <w:i w:val="0"/>
        <w:sz w:val="21"/>
      </w:rPr>
    </w:lvl>
    <w:lvl w:ilvl="5">
      <w:start w:val="1"/>
      <w:numFmt w:val="decimal"/>
      <w:pStyle w:val="3"/>
      <w:suff w:val="nothing"/>
      <w:lvlText w:val="%1.%2.%3.%4.%5.%6　"/>
      <w:lvlJc w:val="left"/>
      <w:pPr>
        <w:ind w:left="0" w:firstLine="0"/>
      </w:pPr>
      <w:rPr>
        <w:rFonts w:ascii="黑体" w:eastAsia="黑体" w:hAnsi="Times New Roman" w:hint="eastAsia"/>
        <w:b w:val="0"/>
        <w:i w:val="0"/>
        <w:sz w:val="21"/>
      </w:rPr>
    </w:lvl>
    <w:lvl w:ilvl="6">
      <w:start w:val="1"/>
      <w:numFmt w:val="decimal"/>
      <w:pStyle w:val="a0"/>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0"/>
  <w:evenAndOddHeaders/>
  <w:drawingGridHorizontalSpacing w:val="105"/>
  <w:drawingGridVerticalSpacing w:val="156"/>
  <w:displayHorizontalDrawingGridEvery w:val="0"/>
  <w:displayVerticalDrawingGridEvery w:val="2"/>
  <w:characterSpacingControl w:val="compressPunctuation"/>
  <w:savePreviewPicture/>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hZjFlZTVjMmRmYmIxMTBlOGE3ODllYjJiYjQ4NjAifQ=="/>
    <w:docVar w:name="KGWebUrl" w:val="http://59.231.219.12:28701/api/file/download?fileLinkId=947724554384979803&amp;storeId=doc"/>
  </w:docVars>
  <w:rsids>
    <w:rsidRoot w:val="00522224"/>
    <w:rsid w:val="DCE6809C"/>
    <w:rsid w:val="0000041C"/>
    <w:rsid w:val="00001FA6"/>
    <w:rsid w:val="00003CE3"/>
    <w:rsid w:val="000048A8"/>
    <w:rsid w:val="000075F7"/>
    <w:rsid w:val="0001064E"/>
    <w:rsid w:val="00012823"/>
    <w:rsid w:val="00025402"/>
    <w:rsid w:val="00026135"/>
    <w:rsid w:val="00033E50"/>
    <w:rsid w:val="000358CF"/>
    <w:rsid w:val="00036AE9"/>
    <w:rsid w:val="000379B9"/>
    <w:rsid w:val="000429AE"/>
    <w:rsid w:val="00043DFC"/>
    <w:rsid w:val="00044BF1"/>
    <w:rsid w:val="00046A62"/>
    <w:rsid w:val="00047212"/>
    <w:rsid w:val="000524C7"/>
    <w:rsid w:val="000542AD"/>
    <w:rsid w:val="00055FAC"/>
    <w:rsid w:val="00057EE3"/>
    <w:rsid w:val="00060D80"/>
    <w:rsid w:val="00064EAE"/>
    <w:rsid w:val="00072975"/>
    <w:rsid w:val="00084EC0"/>
    <w:rsid w:val="000854C1"/>
    <w:rsid w:val="00087FF1"/>
    <w:rsid w:val="000931D6"/>
    <w:rsid w:val="0009530F"/>
    <w:rsid w:val="000A12C7"/>
    <w:rsid w:val="000A140C"/>
    <w:rsid w:val="000A481C"/>
    <w:rsid w:val="000B3457"/>
    <w:rsid w:val="000B77C5"/>
    <w:rsid w:val="000B7EE4"/>
    <w:rsid w:val="000C311B"/>
    <w:rsid w:val="000C7687"/>
    <w:rsid w:val="000D30B5"/>
    <w:rsid w:val="000D3E22"/>
    <w:rsid w:val="000D453C"/>
    <w:rsid w:val="000E428F"/>
    <w:rsid w:val="000F33AC"/>
    <w:rsid w:val="000F69FA"/>
    <w:rsid w:val="00100F0C"/>
    <w:rsid w:val="00101FC1"/>
    <w:rsid w:val="00103E30"/>
    <w:rsid w:val="00107F72"/>
    <w:rsid w:val="001108F7"/>
    <w:rsid w:val="001145D0"/>
    <w:rsid w:val="00114CC2"/>
    <w:rsid w:val="00114F1A"/>
    <w:rsid w:val="00117A89"/>
    <w:rsid w:val="001208C5"/>
    <w:rsid w:val="00120F29"/>
    <w:rsid w:val="001213D2"/>
    <w:rsid w:val="00122AEB"/>
    <w:rsid w:val="001237CA"/>
    <w:rsid w:val="00126427"/>
    <w:rsid w:val="00127892"/>
    <w:rsid w:val="00132336"/>
    <w:rsid w:val="00136723"/>
    <w:rsid w:val="001400FA"/>
    <w:rsid w:val="00141FFC"/>
    <w:rsid w:val="00142350"/>
    <w:rsid w:val="00146128"/>
    <w:rsid w:val="00150429"/>
    <w:rsid w:val="001539DB"/>
    <w:rsid w:val="001564CD"/>
    <w:rsid w:val="001567BB"/>
    <w:rsid w:val="0015718E"/>
    <w:rsid w:val="0015719C"/>
    <w:rsid w:val="00164A16"/>
    <w:rsid w:val="00165780"/>
    <w:rsid w:val="0016777B"/>
    <w:rsid w:val="0017392E"/>
    <w:rsid w:val="001777B6"/>
    <w:rsid w:val="00181CF6"/>
    <w:rsid w:val="00186432"/>
    <w:rsid w:val="0018798D"/>
    <w:rsid w:val="00190E63"/>
    <w:rsid w:val="00191C2E"/>
    <w:rsid w:val="00192BE4"/>
    <w:rsid w:val="001936FC"/>
    <w:rsid w:val="00195587"/>
    <w:rsid w:val="001A0681"/>
    <w:rsid w:val="001A11D9"/>
    <w:rsid w:val="001A18EE"/>
    <w:rsid w:val="001A23E9"/>
    <w:rsid w:val="001A25F9"/>
    <w:rsid w:val="001A75D6"/>
    <w:rsid w:val="001A7C51"/>
    <w:rsid w:val="001B0524"/>
    <w:rsid w:val="001B11B4"/>
    <w:rsid w:val="001B1B11"/>
    <w:rsid w:val="001B2203"/>
    <w:rsid w:val="001B770C"/>
    <w:rsid w:val="001C2688"/>
    <w:rsid w:val="001C2A46"/>
    <w:rsid w:val="001C5511"/>
    <w:rsid w:val="001D10BF"/>
    <w:rsid w:val="001D1999"/>
    <w:rsid w:val="001D258F"/>
    <w:rsid w:val="001D2DF0"/>
    <w:rsid w:val="001D3261"/>
    <w:rsid w:val="001D4615"/>
    <w:rsid w:val="001D7BED"/>
    <w:rsid w:val="001E0661"/>
    <w:rsid w:val="001E3178"/>
    <w:rsid w:val="001F29E5"/>
    <w:rsid w:val="001F2EF9"/>
    <w:rsid w:val="001F4819"/>
    <w:rsid w:val="00203909"/>
    <w:rsid w:val="00205F0C"/>
    <w:rsid w:val="0021213F"/>
    <w:rsid w:val="00214C89"/>
    <w:rsid w:val="002215BA"/>
    <w:rsid w:val="002262DD"/>
    <w:rsid w:val="00226E3E"/>
    <w:rsid w:val="00232E32"/>
    <w:rsid w:val="0023666D"/>
    <w:rsid w:val="00240552"/>
    <w:rsid w:val="00241F0E"/>
    <w:rsid w:val="00243E64"/>
    <w:rsid w:val="002461D5"/>
    <w:rsid w:val="00246708"/>
    <w:rsid w:val="00250770"/>
    <w:rsid w:val="00251D2F"/>
    <w:rsid w:val="002529D2"/>
    <w:rsid w:val="00252C13"/>
    <w:rsid w:val="00256154"/>
    <w:rsid w:val="0026546E"/>
    <w:rsid w:val="00266975"/>
    <w:rsid w:val="00267021"/>
    <w:rsid w:val="002721B8"/>
    <w:rsid w:val="0027248D"/>
    <w:rsid w:val="00283C46"/>
    <w:rsid w:val="00286255"/>
    <w:rsid w:val="0029219E"/>
    <w:rsid w:val="00296A10"/>
    <w:rsid w:val="00296EDB"/>
    <w:rsid w:val="00297155"/>
    <w:rsid w:val="002A0A7D"/>
    <w:rsid w:val="002A4AE9"/>
    <w:rsid w:val="002B088C"/>
    <w:rsid w:val="002B13DF"/>
    <w:rsid w:val="002B367A"/>
    <w:rsid w:val="002B55B7"/>
    <w:rsid w:val="002B63C1"/>
    <w:rsid w:val="002B7668"/>
    <w:rsid w:val="002C1A9D"/>
    <w:rsid w:val="002C49E9"/>
    <w:rsid w:val="002C5023"/>
    <w:rsid w:val="002C52B9"/>
    <w:rsid w:val="002C548E"/>
    <w:rsid w:val="002C774E"/>
    <w:rsid w:val="002D2BEA"/>
    <w:rsid w:val="002D2EEC"/>
    <w:rsid w:val="002E1561"/>
    <w:rsid w:val="002E2219"/>
    <w:rsid w:val="002E22E0"/>
    <w:rsid w:val="002E4CF7"/>
    <w:rsid w:val="002E63D0"/>
    <w:rsid w:val="002E6E53"/>
    <w:rsid w:val="002E714D"/>
    <w:rsid w:val="002F0318"/>
    <w:rsid w:val="002F46BA"/>
    <w:rsid w:val="002F498A"/>
    <w:rsid w:val="002F74EE"/>
    <w:rsid w:val="00301D89"/>
    <w:rsid w:val="0030245B"/>
    <w:rsid w:val="0030703F"/>
    <w:rsid w:val="003076C3"/>
    <w:rsid w:val="003108D7"/>
    <w:rsid w:val="00314B5F"/>
    <w:rsid w:val="00315E0C"/>
    <w:rsid w:val="0031784F"/>
    <w:rsid w:val="00322C8A"/>
    <w:rsid w:val="00322E19"/>
    <w:rsid w:val="003260A2"/>
    <w:rsid w:val="00326ECE"/>
    <w:rsid w:val="00326FB6"/>
    <w:rsid w:val="003276EE"/>
    <w:rsid w:val="003306EE"/>
    <w:rsid w:val="00333975"/>
    <w:rsid w:val="00340905"/>
    <w:rsid w:val="00342CB7"/>
    <w:rsid w:val="0035074E"/>
    <w:rsid w:val="00353E94"/>
    <w:rsid w:val="00354613"/>
    <w:rsid w:val="00361B9A"/>
    <w:rsid w:val="003674BB"/>
    <w:rsid w:val="003705E4"/>
    <w:rsid w:val="00373EB4"/>
    <w:rsid w:val="00375178"/>
    <w:rsid w:val="00377379"/>
    <w:rsid w:val="0038182B"/>
    <w:rsid w:val="0039034C"/>
    <w:rsid w:val="00390FE5"/>
    <w:rsid w:val="00393B42"/>
    <w:rsid w:val="003954A8"/>
    <w:rsid w:val="00396560"/>
    <w:rsid w:val="00397914"/>
    <w:rsid w:val="003A1573"/>
    <w:rsid w:val="003A28AC"/>
    <w:rsid w:val="003A463D"/>
    <w:rsid w:val="003A51F0"/>
    <w:rsid w:val="003A581B"/>
    <w:rsid w:val="003C06C2"/>
    <w:rsid w:val="003C0F1D"/>
    <w:rsid w:val="003D0754"/>
    <w:rsid w:val="003D1F7F"/>
    <w:rsid w:val="003D3317"/>
    <w:rsid w:val="003D5C71"/>
    <w:rsid w:val="003D6484"/>
    <w:rsid w:val="003D76B2"/>
    <w:rsid w:val="003D7AE8"/>
    <w:rsid w:val="003E1DA4"/>
    <w:rsid w:val="003E4FBA"/>
    <w:rsid w:val="003E6B3F"/>
    <w:rsid w:val="003F642A"/>
    <w:rsid w:val="003F68AD"/>
    <w:rsid w:val="003F746C"/>
    <w:rsid w:val="004011C2"/>
    <w:rsid w:val="00401B19"/>
    <w:rsid w:val="00402BCE"/>
    <w:rsid w:val="00411D35"/>
    <w:rsid w:val="00411D62"/>
    <w:rsid w:val="0042088E"/>
    <w:rsid w:val="0042229F"/>
    <w:rsid w:val="0042620E"/>
    <w:rsid w:val="00426435"/>
    <w:rsid w:val="00427B41"/>
    <w:rsid w:val="00430D90"/>
    <w:rsid w:val="00431F12"/>
    <w:rsid w:val="004415D4"/>
    <w:rsid w:val="0044268A"/>
    <w:rsid w:val="00442E77"/>
    <w:rsid w:val="00444D31"/>
    <w:rsid w:val="00447153"/>
    <w:rsid w:val="0045366E"/>
    <w:rsid w:val="00457052"/>
    <w:rsid w:val="00457402"/>
    <w:rsid w:val="00470EBA"/>
    <w:rsid w:val="004710A5"/>
    <w:rsid w:val="00472D7D"/>
    <w:rsid w:val="00477EC6"/>
    <w:rsid w:val="00480EE6"/>
    <w:rsid w:val="0048128A"/>
    <w:rsid w:val="004825D5"/>
    <w:rsid w:val="004844D4"/>
    <w:rsid w:val="004878E2"/>
    <w:rsid w:val="00487916"/>
    <w:rsid w:val="00493670"/>
    <w:rsid w:val="004955DF"/>
    <w:rsid w:val="0049574C"/>
    <w:rsid w:val="004A17AF"/>
    <w:rsid w:val="004A4D65"/>
    <w:rsid w:val="004A64AE"/>
    <w:rsid w:val="004B1C94"/>
    <w:rsid w:val="004B3B32"/>
    <w:rsid w:val="004B4828"/>
    <w:rsid w:val="004B7D14"/>
    <w:rsid w:val="004C1BBE"/>
    <w:rsid w:val="004D1807"/>
    <w:rsid w:val="004D476C"/>
    <w:rsid w:val="004D5795"/>
    <w:rsid w:val="004D78CC"/>
    <w:rsid w:val="004D798B"/>
    <w:rsid w:val="004E227A"/>
    <w:rsid w:val="004E2D4E"/>
    <w:rsid w:val="004F2072"/>
    <w:rsid w:val="004F55CF"/>
    <w:rsid w:val="004F7D7C"/>
    <w:rsid w:val="00501899"/>
    <w:rsid w:val="00502FA1"/>
    <w:rsid w:val="00503DFA"/>
    <w:rsid w:val="00503E03"/>
    <w:rsid w:val="00505592"/>
    <w:rsid w:val="0051176E"/>
    <w:rsid w:val="00512039"/>
    <w:rsid w:val="00512451"/>
    <w:rsid w:val="00514AB3"/>
    <w:rsid w:val="00515BC0"/>
    <w:rsid w:val="00517031"/>
    <w:rsid w:val="00517E76"/>
    <w:rsid w:val="00521700"/>
    <w:rsid w:val="00522224"/>
    <w:rsid w:val="005345DF"/>
    <w:rsid w:val="00537EAD"/>
    <w:rsid w:val="005407AB"/>
    <w:rsid w:val="005414F0"/>
    <w:rsid w:val="00541D98"/>
    <w:rsid w:val="005430B2"/>
    <w:rsid w:val="00543E29"/>
    <w:rsid w:val="00547E7C"/>
    <w:rsid w:val="00552A58"/>
    <w:rsid w:val="00553682"/>
    <w:rsid w:val="00555BAE"/>
    <w:rsid w:val="005642AA"/>
    <w:rsid w:val="00571149"/>
    <w:rsid w:val="00573480"/>
    <w:rsid w:val="005742E4"/>
    <w:rsid w:val="00574629"/>
    <w:rsid w:val="005759BC"/>
    <w:rsid w:val="00576614"/>
    <w:rsid w:val="005774F1"/>
    <w:rsid w:val="0057793F"/>
    <w:rsid w:val="00587F9A"/>
    <w:rsid w:val="0059291A"/>
    <w:rsid w:val="00595D39"/>
    <w:rsid w:val="005974B6"/>
    <w:rsid w:val="00597D74"/>
    <w:rsid w:val="005A1137"/>
    <w:rsid w:val="005A431B"/>
    <w:rsid w:val="005A561B"/>
    <w:rsid w:val="005B07E4"/>
    <w:rsid w:val="005B0C13"/>
    <w:rsid w:val="005B2E92"/>
    <w:rsid w:val="005B5A8F"/>
    <w:rsid w:val="005B624C"/>
    <w:rsid w:val="005B7860"/>
    <w:rsid w:val="005C05ED"/>
    <w:rsid w:val="005C097E"/>
    <w:rsid w:val="005C248B"/>
    <w:rsid w:val="005C55EC"/>
    <w:rsid w:val="005D16CF"/>
    <w:rsid w:val="005D2B7A"/>
    <w:rsid w:val="005D5D1B"/>
    <w:rsid w:val="005D646F"/>
    <w:rsid w:val="005E09FE"/>
    <w:rsid w:val="005E2021"/>
    <w:rsid w:val="005E4C90"/>
    <w:rsid w:val="005E5EF3"/>
    <w:rsid w:val="005E692F"/>
    <w:rsid w:val="005F151A"/>
    <w:rsid w:val="005F694E"/>
    <w:rsid w:val="0060211E"/>
    <w:rsid w:val="00603558"/>
    <w:rsid w:val="0060449D"/>
    <w:rsid w:val="00604AFE"/>
    <w:rsid w:val="00604B28"/>
    <w:rsid w:val="0060526A"/>
    <w:rsid w:val="00605977"/>
    <w:rsid w:val="006112B4"/>
    <w:rsid w:val="00612474"/>
    <w:rsid w:val="00612D81"/>
    <w:rsid w:val="006152DA"/>
    <w:rsid w:val="006179C3"/>
    <w:rsid w:val="0062722F"/>
    <w:rsid w:val="00627C05"/>
    <w:rsid w:val="006306DD"/>
    <w:rsid w:val="006339AE"/>
    <w:rsid w:val="00635649"/>
    <w:rsid w:val="00641F4B"/>
    <w:rsid w:val="006423D6"/>
    <w:rsid w:val="006423E9"/>
    <w:rsid w:val="00644E4D"/>
    <w:rsid w:val="0064611C"/>
    <w:rsid w:val="00646AAB"/>
    <w:rsid w:val="00657227"/>
    <w:rsid w:val="006576A7"/>
    <w:rsid w:val="00664B80"/>
    <w:rsid w:val="006667D9"/>
    <w:rsid w:val="00672B09"/>
    <w:rsid w:val="00673396"/>
    <w:rsid w:val="00680A8C"/>
    <w:rsid w:val="00681173"/>
    <w:rsid w:val="00681843"/>
    <w:rsid w:val="006831C4"/>
    <w:rsid w:val="00684653"/>
    <w:rsid w:val="006A1C65"/>
    <w:rsid w:val="006A217E"/>
    <w:rsid w:val="006A63E4"/>
    <w:rsid w:val="006A7583"/>
    <w:rsid w:val="006B369B"/>
    <w:rsid w:val="006B38A4"/>
    <w:rsid w:val="006B58E1"/>
    <w:rsid w:val="006C22B0"/>
    <w:rsid w:val="006C2F5A"/>
    <w:rsid w:val="006C71FC"/>
    <w:rsid w:val="006D3D71"/>
    <w:rsid w:val="006D63D1"/>
    <w:rsid w:val="006D7961"/>
    <w:rsid w:val="006E09EC"/>
    <w:rsid w:val="006E43A1"/>
    <w:rsid w:val="006E5116"/>
    <w:rsid w:val="006F000C"/>
    <w:rsid w:val="006F1DA8"/>
    <w:rsid w:val="006F5662"/>
    <w:rsid w:val="006F67E8"/>
    <w:rsid w:val="006F76CA"/>
    <w:rsid w:val="007000D9"/>
    <w:rsid w:val="007002C3"/>
    <w:rsid w:val="00700580"/>
    <w:rsid w:val="007038A4"/>
    <w:rsid w:val="00706B90"/>
    <w:rsid w:val="00707C71"/>
    <w:rsid w:val="00707FE0"/>
    <w:rsid w:val="00711272"/>
    <w:rsid w:val="00712D7C"/>
    <w:rsid w:val="007157BC"/>
    <w:rsid w:val="00716B27"/>
    <w:rsid w:val="00723355"/>
    <w:rsid w:val="00723B49"/>
    <w:rsid w:val="00737101"/>
    <w:rsid w:val="00742CA2"/>
    <w:rsid w:val="007434FD"/>
    <w:rsid w:val="00745480"/>
    <w:rsid w:val="007471A5"/>
    <w:rsid w:val="0075008E"/>
    <w:rsid w:val="0075030D"/>
    <w:rsid w:val="0075131C"/>
    <w:rsid w:val="007516A6"/>
    <w:rsid w:val="00752963"/>
    <w:rsid w:val="00755A97"/>
    <w:rsid w:val="00755AA8"/>
    <w:rsid w:val="00755E94"/>
    <w:rsid w:val="007563D4"/>
    <w:rsid w:val="00760D92"/>
    <w:rsid w:val="0076350F"/>
    <w:rsid w:val="00767287"/>
    <w:rsid w:val="00767731"/>
    <w:rsid w:val="00770349"/>
    <w:rsid w:val="00772ABE"/>
    <w:rsid w:val="0078186A"/>
    <w:rsid w:val="00783F94"/>
    <w:rsid w:val="0078418D"/>
    <w:rsid w:val="007851E2"/>
    <w:rsid w:val="00790990"/>
    <w:rsid w:val="00796C38"/>
    <w:rsid w:val="007A10E6"/>
    <w:rsid w:val="007A4B2A"/>
    <w:rsid w:val="007A67B8"/>
    <w:rsid w:val="007A6890"/>
    <w:rsid w:val="007B5B98"/>
    <w:rsid w:val="007B65D5"/>
    <w:rsid w:val="007B76B2"/>
    <w:rsid w:val="007C1488"/>
    <w:rsid w:val="007C3847"/>
    <w:rsid w:val="007C3EE4"/>
    <w:rsid w:val="007C5156"/>
    <w:rsid w:val="007C7FDC"/>
    <w:rsid w:val="007D563D"/>
    <w:rsid w:val="007D629A"/>
    <w:rsid w:val="007E14EC"/>
    <w:rsid w:val="007E4C55"/>
    <w:rsid w:val="007F45BF"/>
    <w:rsid w:val="007F4B3E"/>
    <w:rsid w:val="007F67AE"/>
    <w:rsid w:val="00801197"/>
    <w:rsid w:val="00803AD9"/>
    <w:rsid w:val="00805FB0"/>
    <w:rsid w:val="00807CBB"/>
    <w:rsid w:val="00810B61"/>
    <w:rsid w:val="00814FE8"/>
    <w:rsid w:val="0082117C"/>
    <w:rsid w:val="00821769"/>
    <w:rsid w:val="00822FBC"/>
    <w:rsid w:val="008300B5"/>
    <w:rsid w:val="00830AA5"/>
    <w:rsid w:val="00833DC0"/>
    <w:rsid w:val="00837462"/>
    <w:rsid w:val="008439B5"/>
    <w:rsid w:val="0084710D"/>
    <w:rsid w:val="00847A6C"/>
    <w:rsid w:val="008549AD"/>
    <w:rsid w:val="008637A1"/>
    <w:rsid w:val="00865A4D"/>
    <w:rsid w:val="0087496C"/>
    <w:rsid w:val="00874A95"/>
    <w:rsid w:val="00880316"/>
    <w:rsid w:val="008804C7"/>
    <w:rsid w:val="0088067C"/>
    <w:rsid w:val="0088201A"/>
    <w:rsid w:val="00882A40"/>
    <w:rsid w:val="00885558"/>
    <w:rsid w:val="00886B07"/>
    <w:rsid w:val="00887556"/>
    <w:rsid w:val="00887808"/>
    <w:rsid w:val="00890792"/>
    <w:rsid w:val="008A2FFC"/>
    <w:rsid w:val="008A34C6"/>
    <w:rsid w:val="008A7CF8"/>
    <w:rsid w:val="008B1B04"/>
    <w:rsid w:val="008B1BD3"/>
    <w:rsid w:val="008B1F60"/>
    <w:rsid w:val="008B32D8"/>
    <w:rsid w:val="008B5D0D"/>
    <w:rsid w:val="008C10CB"/>
    <w:rsid w:val="008C145F"/>
    <w:rsid w:val="008C390A"/>
    <w:rsid w:val="008C6BC9"/>
    <w:rsid w:val="008D2C32"/>
    <w:rsid w:val="008D2F36"/>
    <w:rsid w:val="008D6918"/>
    <w:rsid w:val="008E0FB8"/>
    <w:rsid w:val="008E34AD"/>
    <w:rsid w:val="008F315B"/>
    <w:rsid w:val="00901FEB"/>
    <w:rsid w:val="0090265D"/>
    <w:rsid w:val="0091122F"/>
    <w:rsid w:val="00930E62"/>
    <w:rsid w:val="00933382"/>
    <w:rsid w:val="0093422A"/>
    <w:rsid w:val="00934D91"/>
    <w:rsid w:val="009351AC"/>
    <w:rsid w:val="00935C25"/>
    <w:rsid w:val="00936693"/>
    <w:rsid w:val="0094220B"/>
    <w:rsid w:val="00942698"/>
    <w:rsid w:val="00945652"/>
    <w:rsid w:val="009469C0"/>
    <w:rsid w:val="00953962"/>
    <w:rsid w:val="00955F3E"/>
    <w:rsid w:val="009571B5"/>
    <w:rsid w:val="009607C5"/>
    <w:rsid w:val="00961AF1"/>
    <w:rsid w:val="00962D52"/>
    <w:rsid w:val="009631D2"/>
    <w:rsid w:val="0096393E"/>
    <w:rsid w:val="00964407"/>
    <w:rsid w:val="00964C4E"/>
    <w:rsid w:val="0096684A"/>
    <w:rsid w:val="00970EF1"/>
    <w:rsid w:val="009714CA"/>
    <w:rsid w:val="0097206B"/>
    <w:rsid w:val="00983F92"/>
    <w:rsid w:val="00985D14"/>
    <w:rsid w:val="0098724B"/>
    <w:rsid w:val="009874AF"/>
    <w:rsid w:val="00987E5E"/>
    <w:rsid w:val="00991F3A"/>
    <w:rsid w:val="00993235"/>
    <w:rsid w:val="009937FA"/>
    <w:rsid w:val="009941A6"/>
    <w:rsid w:val="0099441D"/>
    <w:rsid w:val="00995A30"/>
    <w:rsid w:val="0099794D"/>
    <w:rsid w:val="009A06D3"/>
    <w:rsid w:val="009B47C7"/>
    <w:rsid w:val="009B4C00"/>
    <w:rsid w:val="009C4B3E"/>
    <w:rsid w:val="009C705A"/>
    <w:rsid w:val="009D072D"/>
    <w:rsid w:val="009D1756"/>
    <w:rsid w:val="009D2B3C"/>
    <w:rsid w:val="009D70A9"/>
    <w:rsid w:val="009E15C8"/>
    <w:rsid w:val="009E736C"/>
    <w:rsid w:val="009F5BFA"/>
    <w:rsid w:val="009F6052"/>
    <w:rsid w:val="009F7C70"/>
    <w:rsid w:val="00A0039E"/>
    <w:rsid w:val="00A04918"/>
    <w:rsid w:val="00A13EE5"/>
    <w:rsid w:val="00A153B2"/>
    <w:rsid w:val="00A17778"/>
    <w:rsid w:val="00A27243"/>
    <w:rsid w:val="00A3058F"/>
    <w:rsid w:val="00A3139D"/>
    <w:rsid w:val="00A32BCE"/>
    <w:rsid w:val="00A32E71"/>
    <w:rsid w:val="00A3447A"/>
    <w:rsid w:val="00A34A83"/>
    <w:rsid w:val="00A362A9"/>
    <w:rsid w:val="00A36D05"/>
    <w:rsid w:val="00A429C8"/>
    <w:rsid w:val="00A44048"/>
    <w:rsid w:val="00A447B1"/>
    <w:rsid w:val="00A50F66"/>
    <w:rsid w:val="00A539ED"/>
    <w:rsid w:val="00A54FA7"/>
    <w:rsid w:val="00A64484"/>
    <w:rsid w:val="00A651E8"/>
    <w:rsid w:val="00A65DAF"/>
    <w:rsid w:val="00A66673"/>
    <w:rsid w:val="00A66EB5"/>
    <w:rsid w:val="00A67F2E"/>
    <w:rsid w:val="00A74D93"/>
    <w:rsid w:val="00A76AF9"/>
    <w:rsid w:val="00A810B9"/>
    <w:rsid w:val="00A822ED"/>
    <w:rsid w:val="00A82320"/>
    <w:rsid w:val="00A830A3"/>
    <w:rsid w:val="00A852C8"/>
    <w:rsid w:val="00A867E9"/>
    <w:rsid w:val="00A91DC4"/>
    <w:rsid w:val="00A93721"/>
    <w:rsid w:val="00A93E39"/>
    <w:rsid w:val="00AA200C"/>
    <w:rsid w:val="00AA244A"/>
    <w:rsid w:val="00AA275F"/>
    <w:rsid w:val="00AA40D7"/>
    <w:rsid w:val="00AA574C"/>
    <w:rsid w:val="00AA6B7B"/>
    <w:rsid w:val="00AB1D4B"/>
    <w:rsid w:val="00AB3075"/>
    <w:rsid w:val="00AB642C"/>
    <w:rsid w:val="00AC3D28"/>
    <w:rsid w:val="00AC4C35"/>
    <w:rsid w:val="00AC569E"/>
    <w:rsid w:val="00AD1550"/>
    <w:rsid w:val="00AD5895"/>
    <w:rsid w:val="00AD7311"/>
    <w:rsid w:val="00AD77B5"/>
    <w:rsid w:val="00AE1ABD"/>
    <w:rsid w:val="00AE1E93"/>
    <w:rsid w:val="00AE6308"/>
    <w:rsid w:val="00AE6393"/>
    <w:rsid w:val="00AF2551"/>
    <w:rsid w:val="00AF286F"/>
    <w:rsid w:val="00AF2A61"/>
    <w:rsid w:val="00AF614B"/>
    <w:rsid w:val="00AF6B7D"/>
    <w:rsid w:val="00AF702A"/>
    <w:rsid w:val="00B0141F"/>
    <w:rsid w:val="00B05685"/>
    <w:rsid w:val="00B05C87"/>
    <w:rsid w:val="00B113EB"/>
    <w:rsid w:val="00B12B72"/>
    <w:rsid w:val="00B13227"/>
    <w:rsid w:val="00B15E35"/>
    <w:rsid w:val="00B20B3B"/>
    <w:rsid w:val="00B222BF"/>
    <w:rsid w:val="00B24062"/>
    <w:rsid w:val="00B24CA5"/>
    <w:rsid w:val="00B3355D"/>
    <w:rsid w:val="00B338A1"/>
    <w:rsid w:val="00B45C55"/>
    <w:rsid w:val="00B46E64"/>
    <w:rsid w:val="00B51F6A"/>
    <w:rsid w:val="00B52081"/>
    <w:rsid w:val="00B54766"/>
    <w:rsid w:val="00B57619"/>
    <w:rsid w:val="00B610CB"/>
    <w:rsid w:val="00B6172A"/>
    <w:rsid w:val="00B62310"/>
    <w:rsid w:val="00B6312A"/>
    <w:rsid w:val="00B66EA7"/>
    <w:rsid w:val="00B67B79"/>
    <w:rsid w:val="00B67EC0"/>
    <w:rsid w:val="00B70AE7"/>
    <w:rsid w:val="00B71836"/>
    <w:rsid w:val="00B72321"/>
    <w:rsid w:val="00B77125"/>
    <w:rsid w:val="00B81B7A"/>
    <w:rsid w:val="00B87276"/>
    <w:rsid w:val="00B87B9A"/>
    <w:rsid w:val="00B9074B"/>
    <w:rsid w:val="00B91165"/>
    <w:rsid w:val="00B93816"/>
    <w:rsid w:val="00B95632"/>
    <w:rsid w:val="00B95650"/>
    <w:rsid w:val="00BA1840"/>
    <w:rsid w:val="00BA45DC"/>
    <w:rsid w:val="00BA7DF1"/>
    <w:rsid w:val="00BB67C1"/>
    <w:rsid w:val="00BB7697"/>
    <w:rsid w:val="00BC1CFD"/>
    <w:rsid w:val="00BC2196"/>
    <w:rsid w:val="00BC2B17"/>
    <w:rsid w:val="00BC3EE1"/>
    <w:rsid w:val="00BC5F4D"/>
    <w:rsid w:val="00BC7409"/>
    <w:rsid w:val="00BD0D33"/>
    <w:rsid w:val="00BD29CF"/>
    <w:rsid w:val="00BD3BDF"/>
    <w:rsid w:val="00BD5591"/>
    <w:rsid w:val="00BE074A"/>
    <w:rsid w:val="00BE2B97"/>
    <w:rsid w:val="00BE391B"/>
    <w:rsid w:val="00BE6835"/>
    <w:rsid w:val="00BF3799"/>
    <w:rsid w:val="00C0171E"/>
    <w:rsid w:val="00C053CA"/>
    <w:rsid w:val="00C1173B"/>
    <w:rsid w:val="00C128E9"/>
    <w:rsid w:val="00C1302A"/>
    <w:rsid w:val="00C13D07"/>
    <w:rsid w:val="00C150C6"/>
    <w:rsid w:val="00C15EDB"/>
    <w:rsid w:val="00C22930"/>
    <w:rsid w:val="00C235EE"/>
    <w:rsid w:val="00C27418"/>
    <w:rsid w:val="00C33598"/>
    <w:rsid w:val="00C3460B"/>
    <w:rsid w:val="00C347B6"/>
    <w:rsid w:val="00C3571B"/>
    <w:rsid w:val="00C35BC7"/>
    <w:rsid w:val="00C363FE"/>
    <w:rsid w:val="00C36406"/>
    <w:rsid w:val="00C40992"/>
    <w:rsid w:val="00C42A82"/>
    <w:rsid w:val="00C54665"/>
    <w:rsid w:val="00C54AA6"/>
    <w:rsid w:val="00C56B95"/>
    <w:rsid w:val="00C632B6"/>
    <w:rsid w:val="00C6568C"/>
    <w:rsid w:val="00C766AE"/>
    <w:rsid w:val="00C80262"/>
    <w:rsid w:val="00C806EF"/>
    <w:rsid w:val="00C81943"/>
    <w:rsid w:val="00C8731F"/>
    <w:rsid w:val="00C92F17"/>
    <w:rsid w:val="00C96EB0"/>
    <w:rsid w:val="00CA4776"/>
    <w:rsid w:val="00CA6EA6"/>
    <w:rsid w:val="00CB0F49"/>
    <w:rsid w:val="00CB1431"/>
    <w:rsid w:val="00CB26B7"/>
    <w:rsid w:val="00CB2B79"/>
    <w:rsid w:val="00CB3D45"/>
    <w:rsid w:val="00CB4C39"/>
    <w:rsid w:val="00CD1391"/>
    <w:rsid w:val="00CD6C3C"/>
    <w:rsid w:val="00CD7580"/>
    <w:rsid w:val="00CE09D9"/>
    <w:rsid w:val="00CE20BC"/>
    <w:rsid w:val="00CE3047"/>
    <w:rsid w:val="00CE63BD"/>
    <w:rsid w:val="00CE6E32"/>
    <w:rsid w:val="00CE782B"/>
    <w:rsid w:val="00CF192F"/>
    <w:rsid w:val="00CF34CF"/>
    <w:rsid w:val="00CF3792"/>
    <w:rsid w:val="00CF48B1"/>
    <w:rsid w:val="00CF63A6"/>
    <w:rsid w:val="00CF739C"/>
    <w:rsid w:val="00D02769"/>
    <w:rsid w:val="00D03107"/>
    <w:rsid w:val="00D034EF"/>
    <w:rsid w:val="00D13085"/>
    <w:rsid w:val="00D13762"/>
    <w:rsid w:val="00D1487A"/>
    <w:rsid w:val="00D154D6"/>
    <w:rsid w:val="00D176F8"/>
    <w:rsid w:val="00D26BC1"/>
    <w:rsid w:val="00D30EAE"/>
    <w:rsid w:val="00D32460"/>
    <w:rsid w:val="00D33893"/>
    <w:rsid w:val="00D33CB9"/>
    <w:rsid w:val="00D33F2C"/>
    <w:rsid w:val="00D342BD"/>
    <w:rsid w:val="00D358EA"/>
    <w:rsid w:val="00D3721E"/>
    <w:rsid w:val="00D37C8B"/>
    <w:rsid w:val="00D443BB"/>
    <w:rsid w:val="00D44C6D"/>
    <w:rsid w:val="00D4622E"/>
    <w:rsid w:val="00D4783C"/>
    <w:rsid w:val="00D50446"/>
    <w:rsid w:val="00D52303"/>
    <w:rsid w:val="00D52853"/>
    <w:rsid w:val="00D57CFB"/>
    <w:rsid w:val="00D64091"/>
    <w:rsid w:val="00D72C78"/>
    <w:rsid w:val="00D73376"/>
    <w:rsid w:val="00D832FC"/>
    <w:rsid w:val="00D8454A"/>
    <w:rsid w:val="00D91B2E"/>
    <w:rsid w:val="00D94A80"/>
    <w:rsid w:val="00D94D04"/>
    <w:rsid w:val="00D96858"/>
    <w:rsid w:val="00DA20FE"/>
    <w:rsid w:val="00DA3214"/>
    <w:rsid w:val="00DB347B"/>
    <w:rsid w:val="00DB44D2"/>
    <w:rsid w:val="00DB6422"/>
    <w:rsid w:val="00DC0700"/>
    <w:rsid w:val="00DC3434"/>
    <w:rsid w:val="00DC5316"/>
    <w:rsid w:val="00DC544F"/>
    <w:rsid w:val="00DC7E2A"/>
    <w:rsid w:val="00DD37FB"/>
    <w:rsid w:val="00DE5E92"/>
    <w:rsid w:val="00DE69CC"/>
    <w:rsid w:val="00DF2954"/>
    <w:rsid w:val="00E02984"/>
    <w:rsid w:val="00E05B04"/>
    <w:rsid w:val="00E07CB1"/>
    <w:rsid w:val="00E101F6"/>
    <w:rsid w:val="00E12756"/>
    <w:rsid w:val="00E13BEE"/>
    <w:rsid w:val="00E13F0B"/>
    <w:rsid w:val="00E2044F"/>
    <w:rsid w:val="00E24A6D"/>
    <w:rsid w:val="00E24B34"/>
    <w:rsid w:val="00E26545"/>
    <w:rsid w:val="00E26672"/>
    <w:rsid w:val="00E30F48"/>
    <w:rsid w:val="00E315E7"/>
    <w:rsid w:val="00E33506"/>
    <w:rsid w:val="00E336A9"/>
    <w:rsid w:val="00E339C9"/>
    <w:rsid w:val="00E36DBD"/>
    <w:rsid w:val="00E40303"/>
    <w:rsid w:val="00E43E9D"/>
    <w:rsid w:val="00E45AF7"/>
    <w:rsid w:val="00E50B09"/>
    <w:rsid w:val="00E55E87"/>
    <w:rsid w:val="00E56EBD"/>
    <w:rsid w:val="00E572C4"/>
    <w:rsid w:val="00E57FC8"/>
    <w:rsid w:val="00E61507"/>
    <w:rsid w:val="00E62D0C"/>
    <w:rsid w:val="00E63648"/>
    <w:rsid w:val="00E64F3D"/>
    <w:rsid w:val="00E65754"/>
    <w:rsid w:val="00E66814"/>
    <w:rsid w:val="00E71F6D"/>
    <w:rsid w:val="00E741F4"/>
    <w:rsid w:val="00E757DB"/>
    <w:rsid w:val="00E92A0C"/>
    <w:rsid w:val="00E95396"/>
    <w:rsid w:val="00E953C7"/>
    <w:rsid w:val="00EA0F60"/>
    <w:rsid w:val="00EA2040"/>
    <w:rsid w:val="00EA282C"/>
    <w:rsid w:val="00EA4B4A"/>
    <w:rsid w:val="00EA5065"/>
    <w:rsid w:val="00EB1CE9"/>
    <w:rsid w:val="00EB30F7"/>
    <w:rsid w:val="00EB515C"/>
    <w:rsid w:val="00EB7750"/>
    <w:rsid w:val="00EC03A7"/>
    <w:rsid w:val="00EC1195"/>
    <w:rsid w:val="00EC30E5"/>
    <w:rsid w:val="00EC39E2"/>
    <w:rsid w:val="00EC4B8E"/>
    <w:rsid w:val="00EC5760"/>
    <w:rsid w:val="00ED31B1"/>
    <w:rsid w:val="00ED3802"/>
    <w:rsid w:val="00ED3884"/>
    <w:rsid w:val="00ED53F6"/>
    <w:rsid w:val="00EE08CD"/>
    <w:rsid w:val="00EE394C"/>
    <w:rsid w:val="00EE6559"/>
    <w:rsid w:val="00EE69E9"/>
    <w:rsid w:val="00EF0A93"/>
    <w:rsid w:val="00EF70BF"/>
    <w:rsid w:val="00EF7BFE"/>
    <w:rsid w:val="00F030A0"/>
    <w:rsid w:val="00F07416"/>
    <w:rsid w:val="00F15A68"/>
    <w:rsid w:val="00F15EA4"/>
    <w:rsid w:val="00F20FB2"/>
    <w:rsid w:val="00F22D23"/>
    <w:rsid w:val="00F24EC1"/>
    <w:rsid w:val="00F2578E"/>
    <w:rsid w:val="00F301BC"/>
    <w:rsid w:val="00F3057C"/>
    <w:rsid w:val="00F322E6"/>
    <w:rsid w:val="00F32316"/>
    <w:rsid w:val="00F327C7"/>
    <w:rsid w:val="00F35A95"/>
    <w:rsid w:val="00F40788"/>
    <w:rsid w:val="00F40A5A"/>
    <w:rsid w:val="00F4104F"/>
    <w:rsid w:val="00F41074"/>
    <w:rsid w:val="00F44CF1"/>
    <w:rsid w:val="00F45652"/>
    <w:rsid w:val="00F46885"/>
    <w:rsid w:val="00F52ACC"/>
    <w:rsid w:val="00F573FC"/>
    <w:rsid w:val="00F57DA6"/>
    <w:rsid w:val="00F617F1"/>
    <w:rsid w:val="00F627D3"/>
    <w:rsid w:val="00F63520"/>
    <w:rsid w:val="00F65F3B"/>
    <w:rsid w:val="00F6635A"/>
    <w:rsid w:val="00F73E22"/>
    <w:rsid w:val="00F800DD"/>
    <w:rsid w:val="00F83F0C"/>
    <w:rsid w:val="00F8734B"/>
    <w:rsid w:val="00FA1F3E"/>
    <w:rsid w:val="00FB0E21"/>
    <w:rsid w:val="00FB3EE6"/>
    <w:rsid w:val="00FB4527"/>
    <w:rsid w:val="00FB5685"/>
    <w:rsid w:val="00FB5AD0"/>
    <w:rsid w:val="00FB75C7"/>
    <w:rsid w:val="00FB7B9F"/>
    <w:rsid w:val="00FC173F"/>
    <w:rsid w:val="00FC2950"/>
    <w:rsid w:val="00FC2EE7"/>
    <w:rsid w:val="00FC69FB"/>
    <w:rsid w:val="00FC6E01"/>
    <w:rsid w:val="00FC70BA"/>
    <w:rsid w:val="00FC78F4"/>
    <w:rsid w:val="00FD0566"/>
    <w:rsid w:val="00FD1834"/>
    <w:rsid w:val="00FD2666"/>
    <w:rsid w:val="00FD308F"/>
    <w:rsid w:val="00FD389F"/>
    <w:rsid w:val="00FD4162"/>
    <w:rsid w:val="00FD7F54"/>
    <w:rsid w:val="00FE3178"/>
    <w:rsid w:val="00FE37B3"/>
    <w:rsid w:val="00FE7048"/>
    <w:rsid w:val="00FE76B5"/>
    <w:rsid w:val="00FE7739"/>
    <w:rsid w:val="00FF19C2"/>
    <w:rsid w:val="00FF2FBD"/>
    <w:rsid w:val="00FF2FD4"/>
    <w:rsid w:val="00FF4C88"/>
    <w:rsid w:val="00FF71D4"/>
    <w:rsid w:val="01E427A6"/>
    <w:rsid w:val="04472B01"/>
    <w:rsid w:val="05FE3860"/>
    <w:rsid w:val="0BAE3AB7"/>
    <w:rsid w:val="0C5F0057"/>
    <w:rsid w:val="0C871845"/>
    <w:rsid w:val="0DF21F51"/>
    <w:rsid w:val="10A6221C"/>
    <w:rsid w:val="13B3480E"/>
    <w:rsid w:val="1AA26AAC"/>
    <w:rsid w:val="1AF91068"/>
    <w:rsid w:val="1B492D1D"/>
    <w:rsid w:val="1D083D33"/>
    <w:rsid w:val="1FD103AC"/>
    <w:rsid w:val="227F2CA6"/>
    <w:rsid w:val="22ED6B5D"/>
    <w:rsid w:val="239C59FC"/>
    <w:rsid w:val="25E6429B"/>
    <w:rsid w:val="2682413A"/>
    <w:rsid w:val="29415982"/>
    <w:rsid w:val="2D98715B"/>
    <w:rsid w:val="2EC02441"/>
    <w:rsid w:val="2FDE1594"/>
    <w:rsid w:val="327E6664"/>
    <w:rsid w:val="33E05A51"/>
    <w:rsid w:val="36B4704E"/>
    <w:rsid w:val="38D31BF1"/>
    <w:rsid w:val="3C3E7065"/>
    <w:rsid w:val="3CF5012A"/>
    <w:rsid w:val="3EBC27C6"/>
    <w:rsid w:val="3F11275B"/>
    <w:rsid w:val="3F551B76"/>
    <w:rsid w:val="41F25CC2"/>
    <w:rsid w:val="44EB1674"/>
    <w:rsid w:val="4971160B"/>
    <w:rsid w:val="497B799C"/>
    <w:rsid w:val="4B390BF7"/>
    <w:rsid w:val="4B7122DD"/>
    <w:rsid w:val="4D632806"/>
    <w:rsid w:val="4E603392"/>
    <w:rsid w:val="52CD1CC5"/>
    <w:rsid w:val="57D8072B"/>
    <w:rsid w:val="585B2F03"/>
    <w:rsid w:val="587A1CFB"/>
    <w:rsid w:val="5F2922AC"/>
    <w:rsid w:val="5F6438DB"/>
    <w:rsid w:val="63C37787"/>
    <w:rsid w:val="68F8447B"/>
    <w:rsid w:val="6D9C11F7"/>
    <w:rsid w:val="6E2E3854"/>
    <w:rsid w:val="6E6D3339"/>
    <w:rsid w:val="72CE25E9"/>
    <w:rsid w:val="73674D66"/>
    <w:rsid w:val="77AE14AA"/>
    <w:rsid w:val="789816F7"/>
    <w:rsid w:val="78D479CB"/>
    <w:rsid w:val="79BC621A"/>
    <w:rsid w:val="7E0272C8"/>
    <w:rsid w:val="7E983669"/>
    <w:rsid w:val="7FBF34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4:docId w14:val="74482FF3"/>
  <w15:docId w15:val="{789C4A60-8D4F-4E7C-8699-5F4088349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qFormat="1"/>
    <w:lsdException w:name="toc 3" w:qFormat="1"/>
    <w:lsdException w:name="Normal Indent" w:qFormat="1"/>
    <w:lsdException w:name="annotation text" w:qFormat="1"/>
    <w:lsdException w:name="header" w:qFormat="1"/>
    <w:lsdException w:name="footer" w:uiPriority="99" w:qFormat="1"/>
    <w:lsdException w:name="caption" w:qFormat="1"/>
    <w:lsdException w:name="annotation reference" w:qFormat="1"/>
    <w:lsdException w:name="page number" w:qFormat="1"/>
    <w:lsdException w:name="Title" w:qFormat="1"/>
    <w:lsdException w:name="Default Paragraph Font" w:semiHidden="1" w:uiPriority="1" w:unhideWhenUsed="1"/>
    <w:lsdException w:name="Body Text" w:qFormat="1"/>
    <w:lsdException w:name="Body Text Indent" w:qFormat="1"/>
    <w:lsdException w:name="Subtitle" w:qFormat="1"/>
    <w:lsdException w:name="Date" w:uiPriority="99" w:qFormat="1"/>
    <w:lsdException w:name="Body Text First Indent 2" w:qFormat="1"/>
    <w:lsdException w:name="Body Text 2" w:qFormat="1"/>
    <w:lsdException w:name="Body Text Indent 2" w:qFormat="1"/>
    <w:lsdException w:name="Body Text Indent 3" w:qFormat="1"/>
    <w:lsdException w:name="Hyperlink" w:qFormat="1"/>
    <w:lsdException w:name="FollowedHyperlink"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semiHidden="1" w:unhideWhenUsed="1" w:qFormat="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21"/>
      <w:szCs w:val="24"/>
    </w:rPr>
  </w:style>
  <w:style w:type="paragraph" w:styleId="1">
    <w:name w:val="heading 1"/>
    <w:basedOn w:val="a1"/>
    <w:next w:val="a1"/>
    <w:link w:val="10"/>
    <w:qFormat/>
    <w:pPr>
      <w:keepNext/>
      <w:keepLines/>
      <w:spacing w:before="340" w:after="330" w:line="578" w:lineRule="auto"/>
      <w:outlineLvl w:val="0"/>
    </w:pPr>
    <w:rPr>
      <w:b/>
      <w:bCs/>
      <w:kern w:val="44"/>
      <w:sz w:val="44"/>
      <w:szCs w:val="44"/>
    </w:rPr>
  </w:style>
  <w:style w:type="paragraph" w:styleId="20">
    <w:name w:val="heading 2"/>
    <w:basedOn w:val="a1"/>
    <w:next w:val="a1"/>
    <w:link w:val="21"/>
    <w:qFormat/>
    <w:pPr>
      <w:keepNext/>
      <w:keepLines/>
      <w:spacing w:before="260" w:after="260" w:line="416" w:lineRule="auto"/>
      <w:outlineLvl w:val="1"/>
    </w:pPr>
    <w:rPr>
      <w:rFonts w:ascii="Arial" w:eastAsia="黑体" w:hAnsi="Arial"/>
      <w:b/>
      <w:bCs/>
      <w:sz w:val="32"/>
      <w:szCs w:val="32"/>
    </w:rPr>
  </w:style>
  <w:style w:type="paragraph" w:styleId="30">
    <w:name w:val="heading 3"/>
    <w:basedOn w:val="a1"/>
    <w:next w:val="a1"/>
    <w:link w:val="31"/>
    <w:qFormat/>
    <w:pPr>
      <w:keepNext/>
      <w:keepLines/>
      <w:spacing w:line="360" w:lineRule="auto"/>
      <w:outlineLvl w:val="2"/>
    </w:pPr>
    <w:rPr>
      <w:rFonts w:ascii="宋体" w:hAnsi="宋体"/>
      <w:b/>
      <w:sz w:val="30"/>
      <w:szCs w:val="20"/>
    </w:rPr>
  </w:style>
  <w:style w:type="paragraph" w:styleId="4">
    <w:name w:val="heading 4"/>
    <w:basedOn w:val="a1"/>
    <w:next w:val="a1"/>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1"/>
    <w:next w:val="a1"/>
    <w:link w:val="50"/>
    <w:qFormat/>
    <w:pPr>
      <w:widowControl/>
      <w:spacing w:before="100" w:beforeAutospacing="1" w:after="100" w:afterAutospacing="1"/>
      <w:jc w:val="left"/>
      <w:outlineLvl w:val="4"/>
    </w:pPr>
    <w:rPr>
      <w:rFonts w:ascii="宋体" w:hAnsi="宋体" w:cs="宋体"/>
      <w:b/>
      <w:bCs/>
      <w:kern w:val="0"/>
      <w:sz w:val="24"/>
    </w:rPr>
  </w:style>
  <w:style w:type="paragraph" w:styleId="6">
    <w:name w:val="heading 6"/>
    <w:basedOn w:val="a1"/>
    <w:next w:val="a1"/>
    <w:link w:val="60"/>
    <w:qFormat/>
    <w:pPr>
      <w:widowControl/>
      <w:spacing w:before="100" w:beforeAutospacing="1" w:after="100" w:afterAutospacing="1"/>
      <w:jc w:val="left"/>
      <w:outlineLvl w:val="5"/>
    </w:pPr>
    <w:rPr>
      <w:rFonts w:ascii="宋体" w:hAnsi="宋体" w:cs="宋体"/>
      <w:b/>
      <w:bCs/>
      <w:kern w:val="0"/>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rmal Indent"/>
    <w:basedOn w:val="a1"/>
    <w:qFormat/>
    <w:pPr>
      <w:ind w:firstLine="420"/>
    </w:pPr>
    <w:rPr>
      <w:szCs w:val="20"/>
    </w:rPr>
  </w:style>
  <w:style w:type="paragraph" w:styleId="a6">
    <w:name w:val="caption"/>
    <w:basedOn w:val="a1"/>
    <w:next w:val="a1"/>
    <w:qFormat/>
    <w:rPr>
      <w:rFonts w:ascii="Cambria" w:eastAsia="黑体" w:hAnsi="Cambria"/>
      <w:sz w:val="20"/>
      <w:szCs w:val="20"/>
    </w:rPr>
  </w:style>
  <w:style w:type="paragraph" w:styleId="a7">
    <w:name w:val="Document Map"/>
    <w:basedOn w:val="a1"/>
    <w:link w:val="a8"/>
    <w:semiHidden/>
    <w:qFormat/>
    <w:pPr>
      <w:shd w:val="clear" w:color="auto" w:fill="000080"/>
    </w:pPr>
    <w:rPr>
      <w:szCs w:val="20"/>
    </w:rPr>
  </w:style>
  <w:style w:type="paragraph" w:styleId="a9">
    <w:name w:val="annotation text"/>
    <w:basedOn w:val="a1"/>
    <w:link w:val="aa"/>
    <w:qFormat/>
    <w:pPr>
      <w:jc w:val="left"/>
    </w:pPr>
  </w:style>
  <w:style w:type="paragraph" w:styleId="ab">
    <w:name w:val="Body Text"/>
    <w:basedOn w:val="a1"/>
    <w:link w:val="ac"/>
    <w:qFormat/>
    <w:rPr>
      <w:rFonts w:ascii="华文中宋" w:eastAsia="华文中宋"/>
      <w:b/>
      <w:bCs/>
      <w:sz w:val="44"/>
    </w:rPr>
  </w:style>
  <w:style w:type="paragraph" w:styleId="ad">
    <w:name w:val="Body Text Indent"/>
    <w:basedOn w:val="a1"/>
    <w:link w:val="ae"/>
    <w:qFormat/>
    <w:pPr>
      <w:ind w:firstLine="420"/>
    </w:pPr>
    <w:rPr>
      <w:rFonts w:ascii="仿宋_GB2312" w:eastAsia="仿宋_GB2312"/>
      <w:sz w:val="28"/>
    </w:rPr>
  </w:style>
  <w:style w:type="paragraph" w:styleId="32">
    <w:name w:val="toc 3"/>
    <w:basedOn w:val="a1"/>
    <w:next w:val="a1"/>
    <w:qFormat/>
    <w:pPr>
      <w:ind w:leftChars="400" w:left="840"/>
    </w:pPr>
  </w:style>
  <w:style w:type="paragraph" w:styleId="af">
    <w:name w:val="Plain Text"/>
    <w:basedOn w:val="a1"/>
    <w:link w:val="af0"/>
    <w:qFormat/>
    <w:rPr>
      <w:rFonts w:ascii="宋体" w:hAnsi="Courier New"/>
      <w:szCs w:val="20"/>
    </w:rPr>
  </w:style>
  <w:style w:type="paragraph" w:styleId="af1">
    <w:name w:val="Date"/>
    <w:basedOn w:val="a1"/>
    <w:next w:val="a1"/>
    <w:link w:val="af2"/>
    <w:uiPriority w:val="99"/>
    <w:qFormat/>
    <w:pPr>
      <w:ind w:leftChars="2500" w:left="100"/>
    </w:pPr>
  </w:style>
  <w:style w:type="paragraph" w:styleId="22">
    <w:name w:val="Body Text Indent 2"/>
    <w:basedOn w:val="a1"/>
    <w:qFormat/>
    <w:pPr>
      <w:spacing w:line="500" w:lineRule="exact"/>
      <w:ind w:firstLine="538"/>
    </w:pPr>
    <w:rPr>
      <w:rFonts w:ascii="仿宋_GB2312" w:eastAsia="仿宋_GB2312"/>
      <w:sz w:val="30"/>
    </w:rPr>
  </w:style>
  <w:style w:type="paragraph" w:styleId="af3">
    <w:name w:val="Balloon Text"/>
    <w:basedOn w:val="a1"/>
    <w:link w:val="af4"/>
    <w:uiPriority w:val="99"/>
    <w:qFormat/>
    <w:rPr>
      <w:sz w:val="18"/>
      <w:szCs w:val="18"/>
    </w:rPr>
  </w:style>
  <w:style w:type="paragraph" w:styleId="af5">
    <w:name w:val="footer"/>
    <w:basedOn w:val="a1"/>
    <w:link w:val="af6"/>
    <w:uiPriority w:val="99"/>
    <w:qFormat/>
    <w:pPr>
      <w:tabs>
        <w:tab w:val="center" w:pos="4153"/>
        <w:tab w:val="right" w:pos="8306"/>
      </w:tabs>
      <w:snapToGrid w:val="0"/>
      <w:jc w:val="left"/>
    </w:pPr>
    <w:rPr>
      <w:sz w:val="18"/>
      <w:szCs w:val="18"/>
    </w:rPr>
  </w:style>
  <w:style w:type="paragraph" w:styleId="af7">
    <w:name w:val="header"/>
    <w:basedOn w:val="a1"/>
    <w:link w:val="af8"/>
    <w:qFormat/>
    <w:pPr>
      <w:pBdr>
        <w:bottom w:val="single" w:sz="6" w:space="1" w:color="auto"/>
      </w:pBdr>
      <w:tabs>
        <w:tab w:val="center" w:pos="4320"/>
        <w:tab w:val="right" w:pos="8640"/>
      </w:tabs>
      <w:snapToGrid w:val="0"/>
      <w:jc w:val="center"/>
    </w:pPr>
    <w:rPr>
      <w:sz w:val="18"/>
      <w:szCs w:val="18"/>
    </w:rPr>
  </w:style>
  <w:style w:type="paragraph" w:styleId="11">
    <w:name w:val="toc 1"/>
    <w:basedOn w:val="a1"/>
    <w:next w:val="a1"/>
    <w:uiPriority w:val="39"/>
    <w:qFormat/>
  </w:style>
  <w:style w:type="paragraph" w:styleId="33">
    <w:name w:val="Body Text Indent 3"/>
    <w:basedOn w:val="a1"/>
    <w:qFormat/>
    <w:pPr>
      <w:spacing w:line="120" w:lineRule="auto"/>
      <w:ind w:firstLine="540"/>
    </w:pPr>
    <w:rPr>
      <w:rFonts w:ascii="仿宋_GB2312" w:eastAsia="仿宋_GB2312"/>
      <w:sz w:val="28"/>
    </w:rPr>
  </w:style>
  <w:style w:type="paragraph" w:styleId="23">
    <w:name w:val="toc 2"/>
    <w:basedOn w:val="a1"/>
    <w:next w:val="a1"/>
    <w:qFormat/>
    <w:pPr>
      <w:tabs>
        <w:tab w:val="right" w:leader="dot" w:pos="8296"/>
      </w:tabs>
      <w:spacing w:line="600" w:lineRule="exact"/>
      <w:ind w:leftChars="200" w:left="420"/>
    </w:pPr>
  </w:style>
  <w:style w:type="paragraph" w:styleId="24">
    <w:name w:val="Body Text 2"/>
    <w:basedOn w:val="a1"/>
    <w:qFormat/>
    <w:rPr>
      <w:color w:val="0000FF"/>
      <w:sz w:val="28"/>
      <w:szCs w:val="20"/>
    </w:rPr>
  </w:style>
  <w:style w:type="paragraph" w:styleId="af9">
    <w:name w:val="Normal (Web)"/>
    <w:basedOn w:val="a1"/>
    <w:qFormat/>
    <w:pPr>
      <w:widowControl/>
      <w:spacing w:before="100" w:beforeAutospacing="1" w:after="119"/>
      <w:ind w:firstLine="420"/>
    </w:pPr>
    <w:rPr>
      <w:rFonts w:ascii="宋体" w:hAnsi="宋体" w:cs="宋体"/>
      <w:kern w:val="0"/>
      <w:sz w:val="20"/>
      <w:szCs w:val="20"/>
    </w:rPr>
  </w:style>
  <w:style w:type="paragraph" w:styleId="afa">
    <w:name w:val="Title"/>
    <w:basedOn w:val="a1"/>
    <w:link w:val="afb"/>
    <w:qFormat/>
    <w:pPr>
      <w:spacing w:before="240" w:after="60"/>
      <w:jc w:val="center"/>
      <w:outlineLvl w:val="0"/>
    </w:pPr>
    <w:rPr>
      <w:rFonts w:ascii="Arial" w:hAnsi="Arial" w:cs="Arial"/>
      <w:b/>
      <w:bCs/>
      <w:sz w:val="32"/>
      <w:szCs w:val="32"/>
    </w:rPr>
  </w:style>
  <w:style w:type="paragraph" w:styleId="afc">
    <w:name w:val="annotation subject"/>
    <w:basedOn w:val="a9"/>
    <w:next w:val="a9"/>
    <w:link w:val="afd"/>
    <w:rPr>
      <w:b/>
      <w:bCs/>
    </w:rPr>
  </w:style>
  <w:style w:type="paragraph" w:styleId="25">
    <w:name w:val="Body Text First Indent 2"/>
    <w:basedOn w:val="ad"/>
    <w:link w:val="26"/>
    <w:qFormat/>
    <w:pPr>
      <w:spacing w:after="120"/>
      <w:ind w:firstLineChars="200" w:firstLine="200"/>
    </w:pPr>
    <w:rPr>
      <w:rFonts w:ascii="Times New Roman" w:eastAsia="宋体"/>
      <w:sz w:val="21"/>
      <w:szCs w:val="22"/>
    </w:rPr>
  </w:style>
  <w:style w:type="table" w:styleId="afe">
    <w:name w:val="Table Grid"/>
    <w:basedOn w:val="a3"/>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qFormat/>
    <w:rPr>
      <w:b/>
      <w:bCs/>
    </w:rPr>
  </w:style>
  <w:style w:type="character" w:styleId="aff0">
    <w:name w:val="page number"/>
    <w:basedOn w:val="a2"/>
    <w:qFormat/>
  </w:style>
  <w:style w:type="character" w:styleId="aff1">
    <w:name w:val="FollowedHyperlink"/>
    <w:qFormat/>
    <w:rPr>
      <w:color w:val="800080"/>
      <w:u w:val="single"/>
    </w:rPr>
  </w:style>
  <w:style w:type="character" w:styleId="aff2">
    <w:name w:val="Emphasis"/>
    <w:qFormat/>
  </w:style>
  <w:style w:type="character" w:styleId="aff3">
    <w:name w:val="Hyperlink"/>
    <w:qFormat/>
    <w:rPr>
      <w:color w:val="0000FF"/>
      <w:u w:val="single"/>
    </w:rPr>
  </w:style>
  <w:style w:type="character" w:styleId="aff4">
    <w:name w:val="annotation reference"/>
    <w:qFormat/>
    <w:rPr>
      <w:sz w:val="21"/>
      <w:szCs w:val="21"/>
    </w:rPr>
  </w:style>
  <w:style w:type="character" w:customStyle="1" w:styleId="10">
    <w:name w:val="标题 1 字符"/>
    <w:link w:val="1"/>
    <w:qFormat/>
    <w:rPr>
      <w:rFonts w:eastAsia="宋体"/>
      <w:b/>
      <w:bCs/>
      <w:kern w:val="44"/>
      <w:sz w:val="44"/>
      <w:szCs w:val="44"/>
      <w:lang w:val="en-US" w:eastAsia="zh-CN" w:bidi="ar-SA"/>
    </w:rPr>
  </w:style>
  <w:style w:type="character" w:customStyle="1" w:styleId="21">
    <w:name w:val="标题 2 字符"/>
    <w:link w:val="20"/>
    <w:qFormat/>
    <w:rPr>
      <w:rFonts w:ascii="Arial" w:eastAsia="黑体" w:hAnsi="Arial"/>
      <w:b/>
      <w:bCs/>
      <w:kern w:val="2"/>
      <w:sz w:val="32"/>
      <w:szCs w:val="32"/>
      <w:lang w:val="en-US" w:eastAsia="zh-CN" w:bidi="ar-SA"/>
    </w:rPr>
  </w:style>
  <w:style w:type="character" w:customStyle="1" w:styleId="31">
    <w:name w:val="标题 3 字符"/>
    <w:link w:val="30"/>
    <w:qFormat/>
    <w:rPr>
      <w:rFonts w:ascii="宋体" w:eastAsia="宋体" w:hAnsi="宋体"/>
      <w:b/>
      <w:kern w:val="2"/>
      <w:sz w:val="30"/>
      <w:lang w:val="en-US" w:eastAsia="zh-CN" w:bidi="ar-SA"/>
    </w:rPr>
  </w:style>
  <w:style w:type="character" w:customStyle="1" w:styleId="40">
    <w:name w:val="标题 4 字符"/>
    <w:link w:val="4"/>
    <w:qFormat/>
    <w:rPr>
      <w:rFonts w:ascii="Arial" w:eastAsia="黑体" w:hAnsi="Arial"/>
      <w:b/>
      <w:bCs/>
      <w:kern w:val="2"/>
      <w:sz w:val="28"/>
      <w:szCs w:val="28"/>
      <w:lang w:val="en-US" w:eastAsia="zh-CN" w:bidi="ar-SA"/>
    </w:rPr>
  </w:style>
  <w:style w:type="character" w:customStyle="1" w:styleId="50">
    <w:name w:val="标题 5 字符"/>
    <w:link w:val="5"/>
    <w:qFormat/>
    <w:rPr>
      <w:rFonts w:ascii="宋体" w:eastAsia="宋体" w:hAnsi="宋体" w:cs="宋体"/>
      <w:b/>
      <w:bCs/>
      <w:sz w:val="24"/>
      <w:szCs w:val="24"/>
      <w:lang w:val="en-US" w:eastAsia="zh-CN" w:bidi="ar-SA"/>
    </w:rPr>
  </w:style>
  <w:style w:type="character" w:customStyle="1" w:styleId="60">
    <w:name w:val="标题 6 字符"/>
    <w:link w:val="6"/>
    <w:qFormat/>
    <w:rPr>
      <w:rFonts w:ascii="宋体" w:eastAsia="宋体" w:hAnsi="宋体" w:cs="宋体"/>
      <w:b/>
      <w:bCs/>
      <w:sz w:val="24"/>
      <w:szCs w:val="24"/>
      <w:lang w:val="en-US" w:eastAsia="zh-CN" w:bidi="ar-SA"/>
    </w:rPr>
  </w:style>
  <w:style w:type="character" w:customStyle="1" w:styleId="a8">
    <w:name w:val="文档结构图 字符"/>
    <w:link w:val="a7"/>
    <w:semiHidden/>
    <w:qFormat/>
    <w:rPr>
      <w:rFonts w:eastAsia="宋体"/>
      <w:kern w:val="2"/>
      <w:sz w:val="21"/>
      <w:lang w:val="en-US" w:eastAsia="zh-CN" w:bidi="ar-SA"/>
    </w:rPr>
  </w:style>
  <w:style w:type="character" w:customStyle="1" w:styleId="aa">
    <w:name w:val="批注文字 字符"/>
    <w:link w:val="a9"/>
    <w:qFormat/>
    <w:rPr>
      <w:rFonts w:eastAsia="宋体"/>
      <w:kern w:val="2"/>
      <w:sz w:val="21"/>
      <w:szCs w:val="24"/>
      <w:lang w:bidi="ar-SA"/>
    </w:rPr>
  </w:style>
  <w:style w:type="character" w:customStyle="1" w:styleId="ac">
    <w:name w:val="正文文本 字符"/>
    <w:link w:val="ab"/>
    <w:semiHidden/>
    <w:qFormat/>
    <w:locked/>
    <w:rPr>
      <w:rFonts w:ascii="华文中宋" w:eastAsia="华文中宋"/>
      <w:b/>
      <w:bCs/>
      <w:kern w:val="2"/>
      <w:sz w:val="44"/>
      <w:szCs w:val="24"/>
      <w:lang w:val="en-US" w:eastAsia="zh-CN" w:bidi="ar-SA"/>
    </w:rPr>
  </w:style>
  <w:style w:type="character" w:customStyle="1" w:styleId="ae">
    <w:name w:val="正文文本缩进 字符"/>
    <w:link w:val="ad"/>
    <w:qFormat/>
    <w:locked/>
    <w:rPr>
      <w:rFonts w:ascii="仿宋_GB2312" w:eastAsia="仿宋_GB2312"/>
      <w:kern w:val="2"/>
      <w:sz w:val="28"/>
      <w:szCs w:val="24"/>
      <w:lang w:val="en-US" w:eastAsia="zh-CN" w:bidi="ar-SA"/>
    </w:rPr>
  </w:style>
  <w:style w:type="character" w:customStyle="1" w:styleId="af0">
    <w:name w:val="纯文本 字符"/>
    <w:link w:val="af"/>
    <w:qFormat/>
    <w:locked/>
    <w:rPr>
      <w:rFonts w:ascii="宋体" w:eastAsia="宋体" w:hAnsi="Courier New"/>
      <w:kern w:val="2"/>
      <w:sz w:val="21"/>
      <w:lang w:val="en-US" w:eastAsia="zh-CN" w:bidi="ar-SA"/>
    </w:rPr>
  </w:style>
  <w:style w:type="character" w:customStyle="1" w:styleId="af4">
    <w:name w:val="批注框文本 字符"/>
    <w:link w:val="af3"/>
    <w:uiPriority w:val="99"/>
    <w:semiHidden/>
    <w:qFormat/>
    <w:rPr>
      <w:rFonts w:eastAsia="宋体"/>
      <w:kern w:val="2"/>
      <w:sz w:val="18"/>
      <w:szCs w:val="18"/>
      <w:lang w:val="en-US" w:eastAsia="zh-CN" w:bidi="ar-SA"/>
    </w:rPr>
  </w:style>
  <w:style w:type="character" w:customStyle="1" w:styleId="af6">
    <w:name w:val="页脚 字符"/>
    <w:link w:val="af5"/>
    <w:uiPriority w:val="99"/>
    <w:qFormat/>
    <w:rPr>
      <w:rFonts w:eastAsia="宋体"/>
      <w:kern w:val="2"/>
      <w:sz w:val="18"/>
      <w:szCs w:val="18"/>
      <w:lang w:val="en-US" w:eastAsia="zh-CN" w:bidi="ar-SA"/>
    </w:rPr>
  </w:style>
  <w:style w:type="character" w:customStyle="1" w:styleId="af8">
    <w:name w:val="页眉 字符"/>
    <w:link w:val="af7"/>
    <w:uiPriority w:val="99"/>
    <w:qFormat/>
    <w:rPr>
      <w:rFonts w:eastAsia="宋体"/>
      <w:kern w:val="2"/>
      <w:sz w:val="18"/>
      <w:szCs w:val="18"/>
      <w:lang w:val="en-US" w:eastAsia="zh-CN" w:bidi="ar-SA"/>
    </w:rPr>
  </w:style>
  <w:style w:type="character" w:customStyle="1" w:styleId="afb">
    <w:name w:val="标题 字符"/>
    <w:link w:val="afa"/>
    <w:qFormat/>
    <w:rPr>
      <w:rFonts w:ascii="Arial" w:eastAsia="宋体" w:hAnsi="Arial" w:cs="Arial"/>
      <w:b/>
      <w:bCs/>
      <w:kern w:val="2"/>
      <w:sz w:val="32"/>
      <w:szCs w:val="32"/>
      <w:lang w:val="en-US" w:eastAsia="zh-CN" w:bidi="ar-SA"/>
    </w:rPr>
  </w:style>
  <w:style w:type="character" w:customStyle="1" w:styleId="afd">
    <w:name w:val="批注主题 字符"/>
    <w:link w:val="afc"/>
    <w:qFormat/>
    <w:rPr>
      <w:rFonts w:eastAsia="宋体"/>
      <w:b/>
      <w:bCs/>
      <w:kern w:val="2"/>
      <w:sz w:val="21"/>
      <w:szCs w:val="24"/>
      <w:lang w:bidi="ar-SA"/>
    </w:rPr>
  </w:style>
  <w:style w:type="paragraph" w:customStyle="1" w:styleId="CharCharCharChar">
    <w:name w:val="Char Char Char Char"/>
    <w:basedOn w:val="a1"/>
    <w:qFormat/>
    <w:pPr>
      <w:spacing w:line="360" w:lineRule="auto"/>
    </w:pPr>
    <w:rPr>
      <w:rFonts w:ascii="宋体" w:hAnsi="宋体"/>
      <w:sz w:val="24"/>
      <w:szCs w:val="20"/>
    </w:rPr>
  </w:style>
  <w:style w:type="paragraph" w:customStyle="1" w:styleId="CharCharChar">
    <w:name w:val="Char Char Char"/>
    <w:basedOn w:val="a1"/>
    <w:qFormat/>
    <w:rPr>
      <w:szCs w:val="20"/>
    </w:rPr>
  </w:style>
  <w:style w:type="character" w:customStyle="1" w:styleId="datatitle1">
    <w:name w:val="datatitle1"/>
    <w:qFormat/>
    <w:rPr>
      <w:b/>
      <w:bCs/>
      <w:color w:val="10619F"/>
      <w:sz w:val="21"/>
      <w:szCs w:val="21"/>
    </w:rPr>
  </w:style>
  <w:style w:type="paragraph" w:customStyle="1" w:styleId="CharCharCharCharCharCharChar">
    <w:name w:val="Char Char Char Char Char Char Char"/>
    <w:basedOn w:val="a1"/>
    <w:qFormat/>
    <w:pPr>
      <w:ind w:firstLineChars="257" w:firstLine="617"/>
    </w:pPr>
    <w:rPr>
      <w:rFonts w:ascii="仿宋_GB2312" w:eastAsia="仿宋_GB2312" w:hAnsi="Tahoma" w:cs="Arial"/>
      <w:sz w:val="24"/>
    </w:rPr>
  </w:style>
  <w:style w:type="paragraph" w:customStyle="1" w:styleId="Char">
    <w:name w:val="Char"/>
    <w:basedOn w:val="a1"/>
    <w:qFormat/>
    <w:pPr>
      <w:spacing w:line="360" w:lineRule="auto"/>
    </w:pPr>
    <w:rPr>
      <w:rFonts w:ascii="宋体" w:hAnsi="宋体"/>
      <w:snapToGrid w:val="0"/>
      <w:kern w:val="0"/>
      <w:sz w:val="24"/>
    </w:rPr>
  </w:style>
  <w:style w:type="paragraph" w:customStyle="1" w:styleId="Char1">
    <w:name w:val="Char1"/>
    <w:basedOn w:val="a1"/>
    <w:qFormat/>
    <w:pPr>
      <w:snapToGrid w:val="0"/>
      <w:spacing w:line="360" w:lineRule="auto"/>
      <w:ind w:firstLineChars="200" w:firstLine="200"/>
    </w:pPr>
    <w:rPr>
      <w:rFonts w:eastAsia="仿宋_GB2312"/>
      <w:sz w:val="24"/>
    </w:rPr>
  </w:style>
  <w:style w:type="paragraph" w:customStyle="1" w:styleId="font5">
    <w:name w:val="font5"/>
    <w:basedOn w:val="a1"/>
    <w:qFormat/>
    <w:pPr>
      <w:widowControl/>
      <w:spacing w:before="100" w:beforeAutospacing="1" w:after="100" w:afterAutospacing="1"/>
      <w:jc w:val="left"/>
    </w:pPr>
    <w:rPr>
      <w:rFonts w:ascii="宋体" w:hAnsi="宋体" w:cs="Arial Unicode MS" w:hint="eastAsia"/>
      <w:kern w:val="0"/>
      <w:sz w:val="18"/>
      <w:szCs w:val="18"/>
    </w:rPr>
  </w:style>
  <w:style w:type="paragraph" w:customStyle="1" w:styleId="font6">
    <w:name w:val="font6"/>
    <w:basedOn w:val="a1"/>
    <w:qFormat/>
    <w:pPr>
      <w:widowControl/>
      <w:spacing w:before="100" w:beforeAutospacing="1" w:after="100" w:afterAutospacing="1"/>
      <w:jc w:val="left"/>
    </w:pPr>
    <w:rPr>
      <w:rFonts w:ascii="宋体" w:hAnsi="宋体" w:cs="Arial Unicode MS" w:hint="eastAsia"/>
      <w:b/>
      <w:bCs/>
      <w:kern w:val="0"/>
      <w:sz w:val="20"/>
      <w:szCs w:val="20"/>
    </w:rPr>
  </w:style>
  <w:style w:type="paragraph" w:customStyle="1" w:styleId="font7">
    <w:name w:val="font7"/>
    <w:basedOn w:val="a1"/>
    <w:qFormat/>
    <w:pPr>
      <w:widowControl/>
      <w:spacing w:before="100" w:beforeAutospacing="1" w:after="100" w:afterAutospacing="1"/>
      <w:jc w:val="left"/>
    </w:pPr>
    <w:rPr>
      <w:rFonts w:eastAsia="Arial Unicode MS"/>
      <w:b/>
      <w:bCs/>
      <w:kern w:val="0"/>
      <w:sz w:val="20"/>
      <w:szCs w:val="20"/>
    </w:rPr>
  </w:style>
  <w:style w:type="paragraph" w:customStyle="1" w:styleId="font8">
    <w:name w:val="font8"/>
    <w:basedOn w:val="a1"/>
    <w:qFormat/>
    <w:pPr>
      <w:widowControl/>
      <w:spacing w:before="100" w:beforeAutospacing="1" w:after="100" w:afterAutospacing="1"/>
      <w:jc w:val="left"/>
    </w:pPr>
    <w:rPr>
      <w:rFonts w:ascii="Arial Unicode MS" w:eastAsia="Arial Unicode MS" w:hAnsi="Arial Unicode MS" w:cs="Arial Unicode MS" w:hint="eastAsia"/>
      <w:b/>
      <w:bCs/>
      <w:kern w:val="0"/>
      <w:sz w:val="18"/>
      <w:szCs w:val="18"/>
    </w:rPr>
  </w:style>
  <w:style w:type="paragraph" w:customStyle="1" w:styleId="font9">
    <w:name w:val="font9"/>
    <w:basedOn w:val="a1"/>
    <w:qFormat/>
    <w:pPr>
      <w:widowControl/>
      <w:spacing w:before="100" w:beforeAutospacing="1" w:after="100" w:afterAutospacing="1"/>
      <w:jc w:val="left"/>
    </w:pPr>
    <w:rPr>
      <w:rFonts w:eastAsia="Arial Unicode MS"/>
      <w:b/>
      <w:bCs/>
      <w:kern w:val="0"/>
      <w:sz w:val="18"/>
      <w:szCs w:val="18"/>
    </w:rPr>
  </w:style>
  <w:style w:type="paragraph" w:customStyle="1" w:styleId="xl24">
    <w:name w:val="xl24"/>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hint="eastAsia"/>
      <w:b/>
      <w:bCs/>
      <w:kern w:val="0"/>
      <w:sz w:val="20"/>
      <w:szCs w:val="20"/>
    </w:rPr>
  </w:style>
  <w:style w:type="paragraph" w:customStyle="1" w:styleId="xl25">
    <w:name w:val="xl25"/>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xl26">
    <w:name w:val="xl26"/>
    <w:basedOn w:val="a1"/>
    <w:qFormat/>
    <w:pPr>
      <w:widowControl/>
      <w:pBdr>
        <w:bottom w:val="single" w:sz="4" w:space="0" w:color="auto"/>
      </w:pBdr>
      <w:spacing w:before="100" w:beforeAutospacing="1" w:after="100" w:afterAutospacing="1"/>
      <w:jc w:val="center"/>
    </w:pPr>
    <w:rPr>
      <w:rFonts w:eastAsia="Arial Unicode MS"/>
      <w:b/>
      <w:bCs/>
      <w:kern w:val="0"/>
      <w:sz w:val="20"/>
      <w:szCs w:val="20"/>
    </w:rPr>
  </w:style>
  <w:style w:type="paragraph" w:customStyle="1" w:styleId="xl27">
    <w:name w:val="xl2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sz w:val="20"/>
      <w:szCs w:val="20"/>
    </w:rPr>
  </w:style>
  <w:style w:type="paragraph" w:customStyle="1" w:styleId="xl28">
    <w:name w:val="xl2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0"/>
      <w:szCs w:val="20"/>
    </w:rPr>
  </w:style>
  <w:style w:type="paragraph" w:customStyle="1" w:styleId="xl29">
    <w:name w:val="xl2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0"/>
      <w:szCs w:val="20"/>
    </w:rPr>
  </w:style>
  <w:style w:type="paragraph" w:customStyle="1" w:styleId="xl30">
    <w:name w:val="xl3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1">
    <w:name w:val="xl3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sz w:val="20"/>
      <w:szCs w:val="20"/>
    </w:rPr>
  </w:style>
  <w:style w:type="paragraph" w:customStyle="1" w:styleId="xl32">
    <w:name w:val="xl32"/>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xl33">
    <w:name w:val="xl33"/>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hint="eastAsia"/>
      <w:b/>
      <w:bCs/>
      <w:kern w:val="0"/>
      <w:sz w:val="18"/>
      <w:szCs w:val="18"/>
    </w:rPr>
  </w:style>
  <w:style w:type="paragraph" w:customStyle="1" w:styleId="xl34">
    <w:name w:val="xl3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4"/>
    </w:rPr>
  </w:style>
  <w:style w:type="paragraph" w:customStyle="1" w:styleId="xl35">
    <w:name w:val="xl35"/>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6">
    <w:name w:val="xl36"/>
    <w:basedOn w:val="a1"/>
    <w:qFormat/>
    <w:pPr>
      <w:widowControl/>
      <w:pBdr>
        <w:bottom w:val="single" w:sz="4" w:space="0" w:color="auto"/>
      </w:pBdr>
      <w:spacing w:before="100" w:beforeAutospacing="1" w:after="100" w:afterAutospacing="1"/>
      <w:jc w:val="center"/>
    </w:pPr>
    <w:rPr>
      <w:rFonts w:ascii="Arial Unicode MS" w:eastAsia="Arial Unicode MS" w:hAnsi="Arial Unicode MS" w:cs="Arial Unicode MS"/>
      <w:b/>
      <w:bCs/>
      <w:kern w:val="0"/>
      <w:sz w:val="28"/>
      <w:szCs w:val="28"/>
    </w:rPr>
  </w:style>
  <w:style w:type="paragraph" w:customStyle="1" w:styleId="xl37">
    <w:name w:val="xl37"/>
    <w:basedOn w:val="a1"/>
    <w:qFormat/>
    <w:pPr>
      <w:widowControl/>
      <w:numPr>
        <w:numId w:val="1"/>
      </w:numPr>
      <w:pBdr>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b/>
      <w:bCs/>
      <w:kern w:val="0"/>
      <w:sz w:val="28"/>
      <w:szCs w:val="28"/>
    </w:rPr>
  </w:style>
  <w:style w:type="paragraph" w:customStyle="1" w:styleId="xl38">
    <w:name w:val="xl38"/>
    <w:basedOn w:val="a1"/>
    <w:qFormat/>
    <w:pPr>
      <w:widowControl/>
      <w:numPr>
        <w:ilvl w:val="1"/>
        <w:numId w:val="1"/>
      </w:num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9">
    <w:name w:val="xl39"/>
    <w:basedOn w:val="a1"/>
    <w:qFormat/>
    <w:pPr>
      <w:widowControl/>
      <w:numPr>
        <w:ilvl w:val="2"/>
        <w:numId w:val="1"/>
      </w:numPr>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2">
    <w:name w:val="样式 标题 2 + 两端对齐"/>
    <w:basedOn w:val="20"/>
    <w:qFormat/>
    <w:pPr>
      <w:keepNext w:val="0"/>
      <w:keepLines w:val="0"/>
      <w:numPr>
        <w:ilvl w:val="4"/>
        <w:numId w:val="1"/>
      </w:numPr>
      <w:spacing w:beforeLines="100" w:before="312" w:afterLines="100" w:after="312" w:line="240" w:lineRule="auto"/>
    </w:pPr>
    <w:rPr>
      <w:rFonts w:ascii="Times New Roman" w:eastAsia="方正北魏楷书简体" w:hAnsi="Times New Roman" w:cs="宋体"/>
      <w:sz w:val="28"/>
      <w:szCs w:val="20"/>
    </w:rPr>
  </w:style>
  <w:style w:type="paragraph" w:customStyle="1" w:styleId="3">
    <w:name w:val="样式 标题 3 + 小四"/>
    <w:basedOn w:val="30"/>
    <w:qFormat/>
    <w:pPr>
      <w:numPr>
        <w:ilvl w:val="5"/>
        <w:numId w:val="1"/>
      </w:numPr>
      <w:spacing w:beforeLines="100" w:before="100" w:afterLines="100" w:after="100"/>
    </w:pPr>
    <w:rPr>
      <w:bCs/>
      <w:sz w:val="24"/>
    </w:rPr>
  </w:style>
  <w:style w:type="character" w:customStyle="1" w:styleId="text11">
    <w:name w:val="text11"/>
    <w:qFormat/>
    <w:rPr>
      <w:sz w:val="23"/>
      <w:szCs w:val="23"/>
    </w:rPr>
  </w:style>
  <w:style w:type="character" w:customStyle="1" w:styleId="text1">
    <w:name w:val="text1"/>
    <w:qFormat/>
    <w:rPr>
      <w:rFonts w:ascii="新宋体" w:eastAsia="新宋体" w:hAnsi="新宋体" w:hint="eastAsia"/>
      <w:sz w:val="21"/>
      <w:szCs w:val="21"/>
    </w:rPr>
  </w:style>
  <w:style w:type="paragraph" w:customStyle="1" w:styleId="Default">
    <w:name w:val="Default"/>
    <w:qFormat/>
    <w:pPr>
      <w:widowControl w:val="0"/>
      <w:autoSpaceDE w:val="0"/>
      <w:autoSpaceDN w:val="0"/>
      <w:adjustRightInd w:val="0"/>
    </w:pPr>
    <w:rPr>
      <w:rFonts w:ascii="黑体" w:eastAsia="黑体" w:cs="黑体"/>
      <w:color w:val="000000"/>
      <w:sz w:val="24"/>
      <w:szCs w:val="24"/>
    </w:rPr>
  </w:style>
  <w:style w:type="paragraph" w:customStyle="1" w:styleId="CM48">
    <w:name w:val="CM48"/>
    <w:basedOn w:val="Default"/>
    <w:next w:val="Default"/>
    <w:qFormat/>
    <w:pPr>
      <w:spacing w:after="140"/>
    </w:pPr>
    <w:rPr>
      <w:rFonts w:cs="Times New Roman"/>
      <w:color w:val="auto"/>
    </w:rPr>
  </w:style>
  <w:style w:type="paragraph" w:customStyle="1" w:styleId="aff5">
    <w:name w:val="附录标识"/>
    <w:basedOn w:val="a1"/>
    <w:qFormat/>
    <w:pPr>
      <w:widowControl/>
      <w:shd w:val="clear" w:color="FFFFFF" w:fill="FFFFFF"/>
      <w:tabs>
        <w:tab w:val="left" w:pos="6405"/>
      </w:tabs>
      <w:spacing w:before="640" w:after="200"/>
      <w:jc w:val="center"/>
      <w:outlineLvl w:val="0"/>
    </w:pPr>
    <w:rPr>
      <w:rFonts w:ascii="黑体" w:eastAsia="黑体"/>
      <w:kern w:val="0"/>
      <w:szCs w:val="20"/>
    </w:rPr>
  </w:style>
  <w:style w:type="paragraph" w:customStyle="1" w:styleId="aff6">
    <w:name w:val="附录章标题"/>
    <w:next w:val="a1"/>
    <w:qFormat/>
    <w:pPr>
      <w:wordWrap w:val="0"/>
      <w:overflowPunct w:val="0"/>
      <w:autoSpaceDE w:val="0"/>
      <w:spacing w:beforeLines="50" w:before="50" w:afterLines="50" w:after="50"/>
      <w:jc w:val="both"/>
      <w:textAlignment w:val="baseline"/>
      <w:outlineLvl w:val="1"/>
    </w:pPr>
    <w:rPr>
      <w:rFonts w:ascii="黑体" w:eastAsia="黑体"/>
      <w:kern w:val="21"/>
      <w:sz w:val="21"/>
    </w:rPr>
  </w:style>
  <w:style w:type="paragraph" w:customStyle="1" w:styleId="aff7">
    <w:name w:val="附录一级条标题"/>
    <w:basedOn w:val="aff6"/>
    <w:next w:val="a1"/>
    <w:qFormat/>
    <w:pPr>
      <w:autoSpaceDN w:val="0"/>
      <w:spacing w:beforeLines="0" w:before="0" w:afterLines="0" w:after="0"/>
      <w:outlineLvl w:val="2"/>
    </w:pPr>
  </w:style>
  <w:style w:type="paragraph" w:customStyle="1" w:styleId="a">
    <w:name w:val="附录二级条标题"/>
    <w:basedOn w:val="aff7"/>
    <w:next w:val="a1"/>
    <w:qFormat/>
    <w:pPr>
      <w:numPr>
        <w:ilvl w:val="3"/>
        <w:numId w:val="1"/>
      </w:numPr>
      <w:outlineLvl w:val="3"/>
    </w:pPr>
  </w:style>
  <w:style w:type="paragraph" w:customStyle="1" w:styleId="aff8">
    <w:name w:val="附录三级条标题"/>
    <w:basedOn w:val="a"/>
    <w:next w:val="a1"/>
    <w:qFormat/>
    <w:pPr>
      <w:numPr>
        <w:ilvl w:val="0"/>
        <w:numId w:val="0"/>
      </w:numPr>
      <w:outlineLvl w:val="4"/>
    </w:pPr>
  </w:style>
  <w:style w:type="paragraph" w:customStyle="1" w:styleId="aff9">
    <w:name w:val="附录四级条标题"/>
    <w:basedOn w:val="aff8"/>
    <w:next w:val="a1"/>
    <w:qFormat/>
    <w:pPr>
      <w:outlineLvl w:val="5"/>
    </w:pPr>
  </w:style>
  <w:style w:type="paragraph" w:customStyle="1" w:styleId="a0">
    <w:name w:val="附录五级条标题"/>
    <w:basedOn w:val="aff9"/>
    <w:next w:val="a1"/>
    <w:qFormat/>
    <w:pPr>
      <w:numPr>
        <w:ilvl w:val="6"/>
        <w:numId w:val="1"/>
      </w:numPr>
      <w:outlineLvl w:val="6"/>
    </w:pPr>
  </w:style>
  <w:style w:type="paragraph" w:customStyle="1" w:styleId="CharChar2Char">
    <w:name w:val="Char Char2 Char"/>
    <w:basedOn w:val="a1"/>
    <w:qFormat/>
    <w:pPr>
      <w:keepNext/>
      <w:keepLines/>
      <w:pageBreakBefore/>
      <w:tabs>
        <w:tab w:val="left" w:pos="390"/>
      </w:tabs>
      <w:ind w:left="390" w:hanging="390"/>
    </w:pPr>
    <w:rPr>
      <w:rFonts w:ascii="Tahoma" w:hAnsi="Tahoma"/>
      <w:sz w:val="24"/>
      <w:szCs w:val="20"/>
    </w:rPr>
  </w:style>
  <w:style w:type="paragraph" w:styleId="affa">
    <w:name w:val="No Spacing"/>
    <w:qFormat/>
    <w:pPr>
      <w:widowControl w:val="0"/>
      <w:jc w:val="both"/>
    </w:pPr>
    <w:rPr>
      <w:kern w:val="2"/>
      <w:sz w:val="21"/>
      <w:szCs w:val="24"/>
    </w:rPr>
  </w:style>
  <w:style w:type="paragraph" w:customStyle="1" w:styleId="affb">
    <w:name w:val="图文框"/>
    <w:basedOn w:val="a1"/>
    <w:qFormat/>
    <w:pPr>
      <w:spacing w:line="240" w:lineRule="atLeast"/>
    </w:pPr>
    <w:rPr>
      <w:szCs w:val="21"/>
    </w:rPr>
  </w:style>
  <w:style w:type="paragraph" w:customStyle="1" w:styleId="affc">
    <w:name w:val="表格"/>
    <w:basedOn w:val="a1"/>
    <w:qFormat/>
    <w:pPr>
      <w:spacing w:line="0" w:lineRule="atLeast"/>
    </w:pPr>
    <w:rPr>
      <w:rFonts w:eastAsia="仿宋_GB2312" w:cs="宋体"/>
      <w:szCs w:val="21"/>
    </w:rPr>
  </w:style>
  <w:style w:type="paragraph" w:customStyle="1" w:styleId="affd">
    <w:name w:val="前言、引言标题"/>
    <w:next w:val="a1"/>
    <w:qFormat/>
    <w:pPr>
      <w:shd w:val="clear" w:color="FFFFFF" w:fill="FFFFFF"/>
      <w:spacing w:before="640" w:after="560"/>
      <w:jc w:val="center"/>
      <w:outlineLvl w:val="0"/>
    </w:pPr>
    <w:rPr>
      <w:rFonts w:ascii="黑体" w:eastAsia="黑体"/>
      <w:sz w:val="32"/>
    </w:rPr>
  </w:style>
  <w:style w:type="paragraph" w:customStyle="1" w:styleId="affe">
    <w:name w:val="章标题"/>
    <w:next w:val="a1"/>
    <w:qFormat/>
    <w:pPr>
      <w:spacing w:beforeLines="50" w:before="50" w:afterLines="50" w:after="50"/>
      <w:jc w:val="both"/>
      <w:outlineLvl w:val="1"/>
    </w:pPr>
    <w:rPr>
      <w:rFonts w:ascii="黑体" w:eastAsia="黑体"/>
      <w:sz w:val="21"/>
    </w:rPr>
  </w:style>
  <w:style w:type="paragraph" w:customStyle="1" w:styleId="pos-nav-box1">
    <w:name w:val="pos-nav-box1"/>
    <w:basedOn w:val="a1"/>
    <w:qFormat/>
    <w:pPr>
      <w:widowControl/>
      <w:pBdr>
        <w:top w:val="single" w:sz="6" w:space="0" w:color="CCCCCC"/>
        <w:left w:val="single" w:sz="6" w:space="8" w:color="CCCCCC"/>
        <w:right w:val="single" w:sz="6" w:space="8" w:color="CCCCCC"/>
      </w:pBdr>
      <w:spacing w:before="100" w:beforeAutospacing="1" w:after="100" w:afterAutospacing="1" w:line="450" w:lineRule="atLeast"/>
      <w:jc w:val="left"/>
    </w:pPr>
    <w:rPr>
      <w:rFonts w:ascii="宋体" w:hAnsi="宋体" w:cs="宋体"/>
      <w:kern w:val="0"/>
      <w:sz w:val="24"/>
    </w:rPr>
  </w:style>
  <w:style w:type="character" w:customStyle="1" w:styleId="CharChar10">
    <w:name w:val="Char Char10"/>
    <w:qFormat/>
    <w:rPr>
      <w:rFonts w:ascii="宋体" w:eastAsia="宋体" w:hAnsi="Courier New"/>
      <w:kern w:val="2"/>
      <w:sz w:val="21"/>
      <w:lang w:val="en-US" w:eastAsia="zh-CN" w:bidi="ar-SA"/>
    </w:rPr>
  </w:style>
  <w:style w:type="character" w:customStyle="1" w:styleId="CharChar8">
    <w:name w:val="Char Char8"/>
    <w:qFormat/>
    <w:rPr>
      <w:rFonts w:eastAsia="宋体"/>
      <w:b/>
      <w:bCs/>
      <w:kern w:val="44"/>
      <w:sz w:val="44"/>
      <w:szCs w:val="44"/>
      <w:lang w:val="en-US" w:eastAsia="zh-CN" w:bidi="ar-SA"/>
    </w:rPr>
  </w:style>
  <w:style w:type="character" w:customStyle="1" w:styleId="CharChar1">
    <w:name w:val="Char Char1"/>
    <w:qFormat/>
    <w:rPr>
      <w:rFonts w:ascii="宋体" w:hAnsi="Courier New"/>
    </w:rPr>
  </w:style>
  <w:style w:type="character" w:customStyle="1" w:styleId="CharChar4">
    <w:name w:val="Char Char4"/>
    <w:qFormat/>
    <w:locked/>
    <w:rPr>
      <w:rFonts w:ascii="宋体" w:eastAsia="宋体" w:hAnsi="Courier New"/>
    </w:rPr>
  </w:style>
  <w:style w:type="character" w:customStyle="1" w:styleId="CharChar7">
    <w:name w:val="Char Char7"/>
    <w:qFormat/>
    <w:locked/>
    <w:rPr>
      <w:rFonts w:ascii="Cambria" w:eastAsia="宋体" w:hAnsi="Cambria" w:cs="Times New Roman"/>
      <w:b/>
      <w:bCs/>
      <w:sz w:val="32"/>
      <w:szCs w:val="32"/>
    </w:rPr>
  </w:style>
  <w:style w:type="character" w:customStyle="1" w:styleId="CharChar3">
    <w:name w:val="Char Char3"/>
    <w:qFormat/>
    <w:locked/>
    <w:rPr>
      <w:rFonts w:ascii="仿宋_GB2312" w:eastAsia="仿宋_GB2312"/>
      <w:sz w:val="24"/>
    </w:rPr>
  </w:style>
  <w:style w:type="character" w:customStyle="1" w:styleId="CharChar">
    <w:name w:val="Char Char"/>
    <w:qFormat/>
    <w:rPr>
      <w:rFonts w:ascii="宋体" w:eastAsia="宋体" w:hAnsi="Courier New"/>
      <w:lang w:bidi="ar-SA"/>
    </w:rPr>
  </w:style>
  <w:style w:type="character" w:customStyle="1" w:styleId="CharChar6">
    <w:name w:val="Char Char6"/>
    <w:locked/>
    <w:rPr>
      <w:rFonts w:eastAsia="宋体"/>
      <w:color w:val="000000"/>
      <w:sz w:val="18"/>
      <w:u w:color="000000"/>
    </w:rPr>
  </w:style>
  <w:style w:type="paragraph" w:styleId="afff">
    <w:name w:val="List Paragraph"/>
    <w:basedOn w:val="a1"/>
    <w:qFormat/>
    <w:pPr>
      <w:ind w:firstLineChars="200" w:firstLine="420"/>
    </w:pPr>
    <w:rPr>
      <w:rFonts w:ascii="Calibri" w:hAnsi="Calibri"/>
      <w:szCs w:val="22"/>
    </w:rPr>
  </w:style>
  <w:style w:type="character" w:customStyle="1" w:styleId="allhidden">
    <w:name w:val="all hidden"/>
    <w:qFormat/>
  </w:style>
  <w:style w:type="paragraph" w:customStyle="1" w:styleId="p0">
    <w:name w:val="p0"/>
    <w:basedOn w:val="a1"/>
    <w:pPr>
      <w:widowControl/>
    </w:pPr>
    <w:rPr>
      <w:kern w:val="0"/>
      <w:szCs w:val="21"/>
    </w:rPr>
  </w:style>
  <w:style w:type="character" w:customStyle="1" w:styleId="Char0">
    <w:name w:val="页脚 Char"/>
    <w:qFormat/>
    <w:locked/>
    <w:rPr>
      <w:rFonts w:ascii="Calibri" w:eastAsia="宋体" w:hAnsi="Calibri"/>
      <w:sz w:val="18"/>
      <w:szCs w:val="18"/>
      <w:lang w:bidi="ar-SA"/>
    </w:rPr>
  </w:style>
  <w:style w:type="paragraph" w:customStyle="1" w:styleId="TOC1">
    <w:name w:val="TOC 标题1"/>
    <w:basedOn w:val="1"/>
    <w:next w:val="a1"/>
    <w:qFormat/>
    <w:pPr>
      <w:widowControl/>
      <w:spacing w:before="480" w:after="0" w:line="276" w:lineRule="auto"/>
      <w:jc w:val="left"/>
      <w:outlineLvl w:val="9"/>
    </w:pPr>
    <w:rPr>
      <w:rFonts w:ascii="Cambria" w:hAnsi="Cambria"/>
      <w:color w:val="365F91"/>
      <w:kern w:val="0"/>
      <w:sz w:val="28"/>
      <w:szCs w:val="28"/>
    </w:rPr>
  </w:style>
  <w:style w:type="paragraph" w:customStyle="1" w:styleId="CharCharCharCharCharCharCharCharCharCharCharCharCharChar">
    <w:name w:val="Char Char Char Char Char Char Char Char Char Char Char Char Char Char"/>
    <w:qFormat/>
    <w:pPr>
      <w:widowControl w:val="0"/>
      <w:spacing w:line="480" w:lineRule="auto"/>
      <w:ind w:firstLineChars="200" w:firstLine="200"/>
      <w:jc w:val="both"/>
    </w:pPr>
    <w:rPr>
      <w:rFonts w:eastAsia="仿宋_GB2312"/>
      <w:kern w:val="2"/>
      <w:sz w:val="24"/>
      <w:szCs w:val="24"/>
    </w:rPr>
  </w:style>
  <w:style w:type="paragraph" w:customStyle="1" w:styleId="ListParagraph0">
    <w:name w:val="List Paragraph_0"/>
    <w:basedOn w:val="a1"/>
    <w:qFormat/>
    <w:pPr>
      <w:ind w:firstLineChars="200" w:firstLine="420"/>
    </w:pPr>
    <w:rPr>
      <w:rFonts w:ascii="Calibri" w:hAnsi="Calibri" w:cs="Calibri"/>
      <w:szCs w:val="21"/>
    </w:rPr>
  </w:style>
  <w:style w:type="paragraph" w:customStyle="1" w:styleId="CharCharCharChar1">
    <w:name w:val="Char Char Char Char1"/>
    <w:basedOn w:val="a1"/>
    <w:pPr>
      <w:spacing w:line="360" w:lineRule="auto"/>
    </w:pPr>
    <w:rPr>
      <w:rFonts w:ascii="宋体" w:hAnsi="宋体"/>
      <w:sz w:val="24"/>
      <w:szCs w:val="20"/>
    </w:rPr>
  </w:style>
  <w:style w:type="character" w:customStyle="1" w:styleId="CommentTextChar">
    <w:name w:val="Comment Text Char"/>
    <w:semiHidden/>
    <w:locked/>
    <w:rPr>
      <w:rFonts w:ascii="Calibri" w:eastAsia="宋体" w:hAnsi="Calibri" w:cs="Calibri"/>
      <w:kern w:val="2"/>
      <w:sz w:val="21"/>
      <w:szCs w:val="21"/>
      <w:lang w:val="en-US" w:eastAsia="zh-CN" w:bidi="ar-SA"/>
    </w:rPr>
  </w:style>
  <w:style w:type="character" w:customStyle="1" w:styleId="hei141">
    <w:name w:val="hei141"/>
    <w:qFormat/>
    <w:rPr>
      <w:rFonts w:ascii="宋体" w:eastAsia="宋体" w:hAnsi="宋体" w:cs="宋体"/>
      <w:color w:val="000000"/>
      <w:sz w:val="19"/>
      <w:szCs w:val="19"/>
      <w:u w:val="none"/>
    </w:rPr>
  </w:style>
  <w:style w:type="paragraph" w:customStyle="1" w:styleId="p15">
    <w:name w:val="p15"/>
    <w:basedOn w:val="a1"/>
    <w:qFormat/>
    <w:pPr>
      <w:widowControl/>
    </w:pPr>
    <w:rPr>
      <w:rFonts w:ascii="宋体" w:hAnsi="宋体" w:cs="宋体"/>
      <w:kern w:val="0"/>
      <w:szCs w:val="21"/>
    </w:rPr>
  </w:style>
  <w:style w:type="paragraph" w:customStyle="1" w:styleId="xl63">
    <w:name w:val="xl6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4">
    <w:name w:val="xl64"/>
    <w:basedOn w:val="a1"/>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5">
    <w:name w:val="xl6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6">
    <w:name w:val="xl6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7">
    <w:name w:val="xl6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8">
    <w:name w:val="xl68"/>
    <w:basedOn w:val="a1"/>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9">
    <w:name w:val="xl6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0">
    <w:name w:val="xl70"/>
    <w:basedOn w:val="a1"/>
    <w:pPr>
      <w:widowControl/>
      <w:shd w:val="clear" w:color="000000" w:fill="FFFFFF"/>
      <w:spacing w:before="100" w:beforeAutospacing="1" w:after="100" w:afterAutospacing="1"/>
      <w:jc w:val="center"/>
    </w:pPr>
    <w:rPr>
      <w:rFonts w:ascii="宋体" w:hAnsi="宋体" w:cs="宋体"/>
      <w:kern w:val="0"/>
      <w:sz w:val="24"/>
    </w:rPr>
  </w:style>
  <w:style w:type="paragraph" w:customStyle="1" w:styleId="xl71">
    <w:name w:val="xl71"/>
    <w:basedOn w:val="a1"/>
    <w:pPr>
      <w:widowControl/>
      <w:shd w:val="clear" w:color="000000" w:fill="FFFFFF"/>
      <w:spacing w:before="100" w:beforeAutospacing="1" w:after="100" w:afterAutospacing="1"/>
      <w:jc w:val="center"/>
    </w:pPr>
    <w:rPr>
      <w:rFonts w:ascii="宋体" w:hAnsi="宋体" w:cs="宋体"/>
      <w:kern w:val="0"/>
      <w:sz w:val="24"/>
    </w:rPr>
  </w:style>
  <w:style w:type="paragraph" w:customStyle="1" w:styleId="xl72">
    <w:name w:val="xl72"/>
    <w:basedOn w:val="a1"/>
    <w:pPr>
      <w:widowControl/>
      <w:shd w:val="clear" w:color="000000" w:fill="FFFF00"/>
      <w:spacing w:before="100" w:beforeAutospacing="1" w:after="100" w:afterAutospacing="1"/>
      <w:jc w:val="center"/>
    </w:pPr>
    <w:rPr>
      <w:rFonts w:ascii="宋体" w:hAnsi="宋体" w:cs="宋体"/>
      <w:kern w:val="0"/>
      <w:sz w:val="24"/>
    </w:rPr>
  </w:style>
  <w:style w:type="paragraph" w:customStyle="1" w:styleId="xl73">
    <w:name w:val="xl73"/>
    <w:basedOn w:val="a1"/>
    <w:pPr>
      <w:widowControl/>
      <w:shd w:val="clear" w:color="000000" w:fill="FFFF00"/>
      <w:spacing w:before="100" w:beforeAutospacing="1" w:after="100" w:afterAutospacing="1"/>
      <w:jc w:val="center"/>
    </w:pPr>
    <w:rPr>
      <w:rFonts w:ascii="宋体" w:hAnsi="宋体" w:cs="宋体"/>
      <w:kern w:val="0"/>
      <w:sz w:val="24"/>
    </w:rPr>
  </w:style>
  <w:style w:type="paragraph" w:customStyle="1" w:styleId="xl74">
    <w:name w:val="xl7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5">
    <w:name w:val="xl75"/>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6">
    <w:name w:val="xl76"/>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7">
    <w:name w:val="xl77"/>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8">
    <w:name w:val="xl78"/>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79">
    <w:name w:val="xl79"/>
    <w:basedOn w:val="a1"/>
    <w:qFormat/>
    <w:pPr>
      <w:widowControl/>
      <w:pBdr>
        <w:top w:val="single" w:sz="4" w:space="0" w:color="auto"/>
        <w:bottom w:val="single" w:sz="4" w:space="0" w:color="auto"/>
      </w:pBdr>
      <w:spacing w:before="100" w:beforeAutospacing="1" w:after="100" w:afterAutospacing="1"/>
      <w:jc w:val="left"/>
    </w:pPr>
    <w:rPr>
      <w:rFonts w:ascii="仿宋" w:eastAsia="仿宋" w:hAnsi="仿宋" w:cs="宋体"/>
      <w:kern w:val="0"/>
      <w:sz w:val="24"/>
    </w:rPr>
  </w:style>
  <w:style w:type="paragraph" w:customStyle="1" w:styleId="xl80">
    <w:name w:val="xl80"/>
    <w:basedOn w:val="a1"/>
    <w:pPr>
      <w:widowControl/>
      <w:pBdr>
        <w:top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4"/>
    </w:rPr>
  </w:style>
  <w:style w:type="paragraph" w:customStyle="1" w:styleId="xl81">
    <w:name w:val="xl81"/>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2">
    <w:name w:val="xl82"/>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3">
    <w:name w:val="xl83"/>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4">
    <w:name w:val="xl8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5">
    <w:name w:val="xl8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6">
    <w:name w:val="xl8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7">
    <w:name w:val="xl8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8">
    <w:name w:val="xl8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9">
    <w:name w:val="xl89"/>
    <w:basedOn w:val="a1"/>
    <w:pPr>
      <w:widowControl/>
      <w:spacing w:before="100" w:beforeAutospacing="1" w:after="100" w:afterAutospacing="1"/>
      <w:jc w:val="center"/>
    </w:pPr>
    <w:rPr>
      <w:rFonts w:ascii="仿宋" w:eastAsia="仿宋" w:hAnsi="仿宋" w:cs="宋体"/>
      <w:kern w:val="0"/>
      <w:sz w:val="24"/>
    </w:rPr>
  </w:style>
  <w:style w:type="paragraph" w:customStyle="1" w:styleId="xl90">
    <w:name w:val="xl90"/>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1">
    <w:name w:val="xl9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2">
    <w:name w:val="xl9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3">
    <w:name w:val="xl9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4">
    <w:name w:val="xl9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5">
    <w:name w:val="xl95"/>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6">
    <w:name w:val="xl9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7">
    <w:name w:val="xl97"/>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8">
    <w:name w:val="xl9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9">
    <w:name w:val="xl9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0">
    <w:name w:val="xl10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1">
    <w:name w:val="xl10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2">
    <w:name w:val="xl102"/>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3">
    <w:name w:val="xl103"/>
    <w:basedOn w:val="a1"/>
    <w:pPr>
      <w:widowControl/>
      <w:spacing w:before="100" w:beforeAutospacing="1" w:after="100" w:afterAutospacing="1"/>
      <w:jc w:val="center"/>
    </w:pPr>
    <w:rPr>
      <w:rFonts w:ascii="仿宋" w:eastAsia="仿宋" w:hAnsi="仿宋" w:cs="宋体"/>
      <w:kern w:val="0"/>
      <w:sz w:val="24"/>
    </w:rPr>
  </w:style>
  <w:style w:type="character" w:customStyle="1" w:styleId="PlainTextChar">
    <w:name w:val="Plain Text Char"/>
    <w:semiHidden/>
    <w:qFormat/>
    <w:locked/>
    <w:rPr>
      <w:rFonts w:ascii="宋体" w:eastAsia="宋体" w:hAnsi="Courier New" w:cs="宋体"/>
      <w:lang w:val="en-US" w:eastAsia="zh-CN" w:bidi="ar-SA"/>
    </w:rPr>
  </w:style>
  <w:style w:type="character" w:customStyle="1" w:styleId="FooterChar1">
    <w:name w:val="Footer Char1"/>
    <w:locked/>
    <w:rPr>
      <w:rFonts w:ascii="Calibri" w:eastAsia="宋体" w:hAnsi="Calibri" w:cs="Calibri"/>
      <w:kern w:val="2"/>
      <w:sz w:val="18"/>
      <w:szCs w:val="18"/>
      <w:lang w:val="en-US" w:eastAsia="zh-CN" w:bidi="ar-SA"/>
    </w:rPr>
  </w:style>
  <w:style w:type="paragraph" w:customStyle="1" w:styleId="12">
    <w:name w:val="正文缩进1"/>
    <w:basedOn w:val="a1"/>
    <w:qFormat/>
    <w:pPr>
      <w:ind w:firstLine="420"/>
    </w:pPr>
    <w:rPr>
      <w:szCs w:val="22"/>
    </w:rPr>
  </w:style>
  <w:style w:type="character" w:customStyle="1" w:styleId="af2">
    <w:name w:val="日期 字符"/>
    <w:link w:val="af1"/>
    <w:uiPriority w:val="99"/>
    <w:rPr>
      <w:kern w:val="2"/>
      <w:sz w:val="21"/>
      <w:szCs w:val="24"/>
    </w:rPr>
  </w:style>
  <w:style w:type="character" w:customStyle="1" w:styleId="26">
    <w:name w:val="正文首行缩进 2 字符"/>
    <w:link w:val="25"/>
    <w:rPr>
      <w:rFonts w:ascii="仿宋_GB2312" w:eastAsia="仿宋_GB2312"/>
      <w:kern w:val="2"/>
      <w:sz w:val="21"/>
      <w:szCs w:val="22"/>
      <w:lang w:val="en-US" w:eastAsia="zh-CN" w:bidi="ar-SA"/>
    </w:rPr>
  </w:style>
  <w:style w:type="paragraph" w:customStyle="1" w:styleId="BodyText1I2">
    <w:name w:val="BodyText1I2"/>
    <w:basedOn w:val="BodyTextIndent"/>
    <w:qFormat/>
    <w:pPr>
      <w:ind w:firstLineChars="200" w:firstLine="200"/>
    </w:pPr>
    <w:rPr>
      <w:rFonts w:eastAsia="仿宋"/>
      <w:kern w:val="0"/>
      <w:sz w:val="20"/>
      <w:szCs w:val="24"/>
    </w:rPr>
  </w:style>
  <w:style w:type="paragraph" w:customStyle="1" w:styleId="BodyTextIndent">
    <w:name w:val="BodyTextIndent"/>
    <w:basedOn w:val="a1"/>
    <w:qFormat/>
    <w:pPr>
      <w:spacing w:after="120"/>
      <w:ind w:leftChars="200" w:left="200"/>
      <w:textAlignment w:val="baseline"/>
    </w:pPr>
    <w:rPr>
      <w:rFonts w:ascii="等线" w:eastAsia="方正仿宋_GBK" w:hAnsi="等线" w:cs="Arial"/>
      <w:sz w:val="24"/>
      <w:szCs w:val="18"/>
    </w:rPr>
  </w:style>
  <w:style w:type="paragraph" w:customStyle="1" w:styleId="afff0">
    <w:name w:val="样式"/>
    <w:qFormat/>
    <w:pPr>
      <w:widowControl w:val="0"/>
      <w:autoSpaceDE w:val="0"/>
      <w:autoSpaceDN w:val="0"/>
      <w:adjustRightInd w:val="0"/>
    </w:pPr>
    <w:rPr>
      <w:rFonts w:ascii="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359</Words>
  <Characters>2051</Characters>
  <Application>Microsoft Office Word</Application>
  <DocSecurity>0</DocSecurity>
  <Lines>17</Lines>
  <Paragraphs>4</Paragraphs>
  <ScaleCrop>false</ScaleCrop>
  <Company>微软中国</Company>
  <LinksUpToDate>false</LinksUpToDate>
  <CharactersWithSpaces>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王丽</dc:creator>
  <cp:lastModifiedBy>梁栋</cp:lastModifiedBy>
  <cp:revision>2</cp:revision>
  <cp:lastPrinted>2023-12-01T16:49:00Z</cp:lastPrinted>
  <dcterms:created xsi:type="dcterms:W3CDTF">2023-11-16T10:28:00Z</dcterms:created>
  <dcterms:modified xsi:type="dcterms:W3CDTF">2023-12-07T04:45:00Z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FC8DE9A18B4140F1A8C9694A8ED49770</vt:lpwstr>
  </property>
  <property fmtid="{D5CDD505-2E9C-101B-9397-08002B2CF9AE}" pid="3" name="KSOProductBuildVer">
    <vt:lpwstr>2052-11.8.2.11718</vt:lpwstr>
  </property>
</Properties>
</file>