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overflowPunct w:val="0"/>
        <w:spacing w:line="594" w:lineRule="exact"/>
        <w:jc w:val="center"/>
        <w:rPr>
          <w:rFonts w:ascii="Times New Roman" w:hAnsi="Times New Roman" w:eastAsia="方正小标宋简体" w:cs="Times New Roman"/>
          <w:sz w:val="44"/>
        </w:rPr>
      </w:pPr>
      <w:r>
        <w:rPr>
          <w:rFonts w:ascii="Times New Roman" w:hAnsi="Times New Roman" w:eastAsia="方正小标宋简体" w:cs="Times New Roman"/>
          <w:sz w:val="44"/>
        </w:rPr>
        <w:t>桃江县金塘冲水库工程移民安置宅基地</w:t>
      </w:r>
    </w:p>
    <w:p>
      <w:pPr>
        <w:overflowPunct w:val="0"/>
        <w:spacing w:line="594" w:lineRule="exact"/>
        <w:jc w:val="center"/>
        <w:rPr>
          <w:rFonts w:ascii="Times New Roman" w:hAnsi="Times New Roman" w:eastAsia="方正小标宋简体" w:cs="Times New Roman"/>
          <w:sz w:val="44"/>
        </w:rPr>
      </w:pPr>
      <w:r>
        <w:rPr>
          <w:rFonts w:ascii="Times New Roman" w:hAnsi="Times New Roman" w:eastAsia="方正小标宋简体" w:cs="Times New Roman"/>
          <w:sz w:val="44"/>
        </w:rPr>
        <w:t>配 置 办 法</w:t>
      </w:r>
    </w:p>
    <w:p>
      <w:pPr>
        <w:overflowPunct w:val="0"/>
        <w:spacing w:line="594" w:lineRule="exact"/>
        <w:ind w:firstLine="643" w:firstLineChars="200"/>
        <w:jc w:val="both"/>
        <w:rPr>
          <w:rFonts w:ascii="Times New Roman" w:hAnsi="Times New Roman" w:cs="Times New Roman"/>
          <w:b/>
          <w:bCs/>
          <w:szCs w:val="32"/>
        </w:rPr>
      </w:pPr>
    </w:p>
    <w:p>
      <w:pPr>
        <w:topLinePunct/>
        <w:spacing w:before="156" w:beforeLines="50" w:after="156" w:afterLines="50" w:line="594" w:lineRule="exact"/>
        <w:jc w:val="center"/>
        <w:rPr>
          <w:rFonts w:ascii="Times New Roman" w:hAnsi="Times New Roman" w:eastAsia="黑体" w:cs="Times New Roman"/>
          <w:bCs/>
          <w:szCs w:val="32"/>
        </w:rPr>
      </w:pPr>
      <w:r>
        <w:rPr>
          <w:rFonts w:ascii="Times New Roman" w:hAnsi="Times New Roman" w:eastAsia="黑体" w:cs="Times New Roman"/>
          <w:bCs/>
          <w:szCs w:val="32"/>
        </w:rPr>
        <w:t>第一章  总  则</w:t>
      </w:r>
    </w:p>
    <w:p>
      <w:pPr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eastAsia="楷体_GB2312" w:cs="Times New Roman"/>
          <w:bCs/>
          <w:szCs w:val="32"/>
        </w:rPr>
        <w:t>第一条</w:t>
      </w:r>
      <w:r>
        <w:rPr>
          <w:rFonts w:hint="eastAsia" w:ascii="Times New Roman" w:hAnsi="Times New Roman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为做好移民搬迁集中安置点以及分散安置移</w:t>
      </w:r>
      <w:bookmarkStart w:id="0" w:name="_GoBack"/>
      <w:bookmarkEnd w:id="0"/>
      <w:r>
        <w:rPr>
          <w:rFonts w:ascii="Times New Roman" w:hAnsi="Times New Roman" w:cs="Times New Roman"/>
          <w:szCs w:val="32"/>
        </w:rPr>
        <w:t>民的宅基地分配工作，根据国务院《关于修改</w:t>
      </w:r>
      <w:r>
        <w:rPr>
          <w:rFonts w:hint="eastAsia" w:ascii="Times New Roman" w:hAnsi="Times New Roman" w:cs="Times New Roman"/>
          <w:szCs w:val="32"/>
        </w:rPr>
        <w:t>〈</w:t>
      </w:r>
      <w:r>
        <w:rPr>
          <w:rFonts w:ascii="Times New Roman" w:hAnsi="Times New Roman" w:cs="Times New Roman"/>
          <w:szCs w:val="32"/>
        </w:rPr>
        <w:t>大中型水利水电工程建设征地补偿和移民安置条例〉的决定》（第679号令）、《湖南省大中型水库移民条例》《金塘冲水库工程建设征地移民安置规划报告》、《益阳市人民政府办公室关于印发</w:t>
      </w:r>
      <w:r>
        <w:rPr>
          <w:rFonts w:hint="eastAsia" w:ascii="Times New Roman" w:hAnsi="Times New Roman" w:cs="Times New Roman"/>
          <w:szCs w:val="32"/>
        </w:rPr>
        <w:t>〈</w:t>
      </w:r>
      <w:r>
        <w:rPr>
          <w:rFonts w:ascii="Times New Roman" w:hAnsi="Times New Roman" w:cs="Times New Roman"/>
          <w:szCs w:val="32"/>
        </w:rPr>
        <w:t>金塘冲水库工程移民人口及移民户界定办法〉的通知》（益政办发〔2023〕25号）等法律法规文件精神，结合金塘冲水库工程移民安置工作实际，制定本办法。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eastAsia="楷体_GB2312" w:cs="Times New Roman"/>
          <w:bCs/>
          <w:szCs w:val="32"/>
        </w:rPr>
        <w:t>第二条</w:t>
      </w:r>
      <w:r>
        <w:rPr>
          <w:rFonts w:hint="eastAsia" w:ascii="Times New Roman" w:hAnsi="Times New Roman" w:eastAsia="楷体_GB2312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本细则适用于桃江县金塘冲水库工程移民集中安置</w:t>
      </w:r>
      <w:r>
        <w:rPr>
          <w:rFonts w:hint="eastAsia" w:ascii="Times New Roman" w:hAnsi="Times New Roman" w:cs="Times New Roman"/>
          <w:szCs w:val="32"/>
        </w:rPr>
        <w:t>点</w:t>
      </w:r>
      <w:r>
        <w:rPr>
          <w:rFonts w:ascii="Times New Roman" w:hAnsi="Times New Roman" w:cs="Times New Roman"/>
          <w:szCs w:val="32"/>
        </w:rPr>
        <w:t>和分散安置户的宅基地配置工作。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eastAsia="楷体_GB2312" w:cs="Times New Roman"/>
          <w:bCs/>
          <w:szCs w:val="32"/>
        </w:rPr>
        <w:t>第三条</w:t>
      </w:r>
      <w:r>
        <w:rPr>
          <w:rFonts w:hint="eastAsia" w:ascii="Times New Roman" w:hAnsi="Times New Roman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宅基地配置坚持以下基本原则：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>（一）依法、依规、依政策配置。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>（二）顾全大局，服从整体布局安排，兼顾国家、集体和个人利益。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>（三）统一规划，限额配置，节约用地。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  <w:u w:val="single"/>
        </w:rPr>
      </w:pPr>
      <w:r>
        <w:rPr>
          <w:rFonts w:ascii="Times New Roman" w:hAnsi="Times New Roman" w:cs="Times New Roman"/>
          <w:szCs w:val="32"/>
        </w:rPr>
        <w:t>（四）宅基地面积“以户按人”综合配置。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eastAsia="楷体_GB2312" w:cs="Times New Roman"/>
          <w:bCs/>
          <w:szCs w:val="32"/>
        </w:rPr>
        <w:t>第四条</w:t>
      </w:r>
      <w:r>
        <w:rPr>
          <w:rFonts w:hint="eastAsia" w:ascii="Times New Roman" w:hAnsi="Times New Roman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移民户的确定以《益阳市人民政府办公室关于印发</w:t>
      </w:r>
      <w:r>
        <w:rPr>
          <w:rFonts w:hint="eastAsia" w:ascii="Times New Roman" w:hAnsi="Times New Roman" w:cs="Times New Roman"/>
          <w:szCs w:val="32"/>
        </w:rPr>
        <w:t>〈</w:t>
      </w:r>
      <w:r>
        <w:rPr>
          <w:rFonts w:ascii="Times New Roman" w:hAnsi="Times New Roman" w:cs="Times New Roman"/>
          <w:szCs w:val="32"/>
        </w:rPr>
        <w:t>金塘冲水库工程移民人口及移民户界定办法〉的通知》（益政办发〔2023〕25号）为依据。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eastAsia="楷体_GB2312" w:cs="Times New Roman"/>
          <w:bCs/>
          <w:szCs w:val="32"/>
        </w:rPr>
        <w:t>第五条</w:t>
      </w:r>
      <w:r>
        <w:rPr>
          <w:rFonts w:hint="eastAsia" w:ascii="Times New Roman" w:hAnsi="Times New Roman" w:eastAsia="楷体_GB2312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下列人员不在集中安置点配置建房宅基地：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>（一）分散安置的移民户。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>（二）实物指标调查、公示、确认后至实施搬迁前出卖、赠与宅基地或房屋造成的无房户。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>（三）移民中的特困供养人员、孤儿自愿随户搬迁居住且有亲属赡（抚、扶）养的，不单独配置建房宅基地</w:t>
      </w:r>
      <w:r>
        <w:rPr>
          <w:rFonts w:hint="eastAsia" w:ascii="Times New Roman" w:hAnsi="Times New Roman" w:cs="Times New Roman"/>
          <w:szCs w:val="32"/>
        </w:rPr>
        <w:t>，增加</w:t>
      </w:r>
      <w:r>
        <w:rPr>
          <w:rFonts w:ascii="Times New Roman" w:hAnsi="Times New Roman" w:cs="Times New Roman"/>
          <w:szCs w:val="32"/>
        </w:rPr>
        <w:t>随户家庭</w:t>
      </w:r>
      <w:r>
        <w:rPr>
          <w:rFonts w:hint="eastAsia" w:ascii="Times New Roman" w:hAnsi="Times New Roman" w:cs="Times New Roman"/>
          <w:szCs w:val="32"/>
        </w:rPr>
        <w:t>宅基地面积</w:t>
      </w:r>
      <w:r>
        <w:rPr>
          <w:rFonts w:ascii="Times New Roman" w:hAnsi="Times New Roman" w:cs="Times New Roman"/>
          <w:szCs w:val="32"/>
        </w:rPr>
        <w:t>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>（四）其他不符合建房宅基地配置的移民户。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eastAsia="楷体_GB2312" w:cs="Times New Roman"/>
          <w:bCs/>
          <w:szCs w:val="32"/>
        </w:rPr>
        <w:t>第六条</w:t>
      </w:r>
      <w:r>
        <w:rPr>
          <w:rFonts w:hint="eastAsia" w:ascii="Times New Roman" w:hAnsi="Times New Roman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在桃江县金塘冲水库项目建设指挥部（以下简称县指挥部）统一领导下，由乡镇人民政府负责组织实施建房宅基地配置工作，相关职能部门参与配合。</w:t>
      </w:r>
    </w:p>
    <w:p>
      <w:pPr>
        <w:topLinePunct/>
        <w:spacing w:before="156" w:beforeLines="50" w:after="156" w:afterLines="50" w:line="594" w:lineRule="exact"/>
        <w:jc w:val="center"/>
        <w:rPr>
          <w:rFonts w:ascii="Times New Roman" w:hAnsi="Times New Roman" w:eastAsia="黑体" w:cs="Times New Roman"/>
          <w:bCs/>
          <w:szCs w:val="32"/>
        </w:rPr>
      </w:pPr>
      <w:r>
        <w:rPr>
          <w:rFonts w:ascii="Times New Roman" w:hAnsi="Times New Roman" w:eastAsia="黑体" w:cs="Times New Roman"/>
          <w:bCs/>
          <w:szCs w:val="32"/>
        </w:rPr>
        <w:t>第二章 宅基地配置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eastAsia="楷体_GB2312" w:cs="Times New Roman"/>
          <w:bCs/>
          <w:szCs w:val="32"/>
        </w:rPr>
        <w:t>第七条</w:t>
      </w:r>
      <w:r>
        <w:rPr>
          <w:rFonts w:hint="eastAsia" w:ascii="Times New Roman" w:hAnsi="Times New Roman" w:eastAsia="楷体_GB2312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移民选择在王家咀点安置的，按照“三统一”（统一规划、统一设计和统一验收）原则予以实施。移民宅基地配置标准为一户一宅基地，1-2人户配置88</w:t>
      </w:r>
      <w:r>
        <w:rPr>
          <w:rFonts w:ascii="Times New Roman" w:hAnsi="Times New Roman" w:eastAsia="宋体" w:cs="Times New Roman"/>
          <w:szCs w:val="32"/>
        </w:rPr>
        <w:t>㎡</w:t>
      </w:r>
      <w:r>
        <w:rPr>
          <w:rFonts w:ascii="Times New Roman" w:hAnsi="Times New Roman" w:cs="Times New Roman"/>
          <w:szCs w:val="32"/>
        </w:rPr>
        <w:t>宅基地，3-4人户配置132</w:t>
      </w:r>
      <w:r>
        <w:rPr>
          <w:rFonts w:ascii="Times New Roman" w:hAnsi="Times New Roman" w:eastAsia="宋体" w:cs="Times New Roman"/>
          <w:szCs w:val="32"/>
        </w:rPr>
        <w:t>㎡</w:t>
      </w:r>
      <w:r>
        <w:rPr>
          <w:rFonts w:ascii="Times New Roman" w:hAnsi="Times New Roman" w:cs="Times New Roman"/>
          <w:szCs w:val="32"/>
        </w:rPr>
        <w:t>宅基地，5-6人户以上配置176</w:t>
      </w:r>
      <w:r>
        <w:rPr>
          <w:rFonts w:ascii="Times New Roman" w:hAnsi="Times New Roman" w:eastAsia="仿宋" w:cs="Times New Roman"/>
          <w:szCs w:val="32"/>
        </w:rPr>
        <w:t>㎡</w:t>
      </w:r>
      <w:r>
        <w:rPr>
          <w:rFonts w:ascii="Times New Roman" w:hAnsi="Times New Roman" w:cs="Times New Roman"/>
          <w:szCs w:val="32"/>
        </w:rPr>
        <w:t>宅基地，特困供养人员</w:t>
      </w:r>
      <w:r>
        <w:rPr>
          <w:rFonts w:hint="eastAsia" w:ascii="Times New Roman" w:hAnsi="Times New Roman" w:cs="Times New Roman"/>
          <w:szCs w:val="32"/>
        </w:rPr>
        <w:t>和</w:t>
      </w:r>
      <w:r>
        <w:rPr>
          <w:rFonts w:ascii="Times New Roman" w:hAnsi="Times New Roman" w:cs="Times New Roman"/>
          <w:szCs w:val="32"/>
        </w:rPr>
        <w:t>孤儿</w:t>
      </w:r>
      <w:r>
        <w:rPr>
          <w:rFonts w:hint="eastAsia" w:ascii="Times New Roman" w:hAnsi="Times New Roman" w:cs="Times New Roman"/>
          <w:szCs w:val="32"/>
        </w:rPr>
        <w:t>户</w:t>
      </w:r>
      <w:r>
        <w:rPr>
          <w:rFonts w:ascii="Times New Roman" w:hAnsi="Times New Roman" w:cs="Times New Roman"/>
          <w:szCs w:val="32"/>
        </w:rPr>
        <w:t>配置44</w:t>
      </w:r>
      <w:r>
        <w:rPr>
          <w:rFonts w:ascii="Times New Roman" w:hAnsi="Times New Roman" w:eastAsia="仿宋" w:cs="Times New Roman"/>
          <w:szCs w:val="32"/>
        </w:rPr>
        <w:t>㎡</w:t>
      </w:r>
      <w:r>
        <w:rPr>
          <w:rFonts w:ascii="Times New Roman" w:hAnsi="Times New Roman" w:cs="Times New Roman"/>
          <w:szCs w:val="32"/>
        </w:rPr>
        <w:t>宅基地。按照《益阳市农村建房管理办法》政策每户宅基地不超过180</w:t>
      </w:r>
      <w:r>
        <w:rPr>
          <w:rFonts w:ascii="Times New Roman" w:hAnsi="Times New Roman" w:eastAsia="仿宋" w:cs="Times New Roman"/>
          <w:szCs w:val="32"/>
        </w:rPr>
        <w:t>㎡</w:t>
      </w:r>
      <w:r>
        <w:rPr>
          <w:rFonts w:ascii="Times New Roman" w:hAnsi="Times New Roman" w:cs="Times New Roman"/>
          <w:szCs w:val="32"/>
        </w:rPr>
        <w:t>。</w:t>
      </w:r>
    </w:p>
    <w:p>
      <w:pPr>
        <w:topLinePunct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>移民安置房建设</w:t>
      </w:r>
      <w:r>
        <w:rPr>
          <w:rFonts w:hint="eastAsia" w:ascii="Times New Roman" w:hAnsi="Times New Roman" w:cs="Times New Roman"/>
          <w:szCs w:val="32"/>
        </w:rPr>
        <w:t>，在当地乡镇人民政府的指导下，</w:t>
      </w:r>
      <w:r>
        <w:rPr>
          <w:rFonts w:ascii="Times New Roman" w:hAnsi="Times New Roman" w:cs="Times New Roman"/>
          <w:szCs w:val="32"/>
        </w:rPr>
        <w:t>由移民村组组织业主成立建房理事会。建房理事会按照《湖南省居民自建房安全管理若干规定》和相关程序组织移民户联建，全过程监督房屋进度和工程质量。</w:t>
      </w:r>
    </w:p>
    <w:p>
      <w:pPr>
        <w:topLinePunct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hint="eastAsia" w:ascii="楷体_GB2312" w:hAnsi="Times New Roman" w:eastAsia="楷体_GB2312" w:cs="Times New Roman"/>
          <w:bCs/>
          <w:szCs w:val="32"/>
        </w:rPr>
        <w:t>第八条</w:t>
      </w:r>
      <w:r>
        <w:rPr>
          <w:rFonts w:hint="eastAsia" w:ascii="Times New Roman" w:hAnsi="Times New Roman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已确认为分散安置移民的宅基地，按一户一宅基地配置。原则上由移民户在本组内自找建房宅基地，选址应当符合乡镇国土空间规划、村庄规划，位于20年一遇洪水位以上和水库防洪高水位80.8m以上，并避开不良地质地段建房。每户宅基地面积标准按2022年3月1日起施行的《益阳市农村村民住房建设管理条例》予以保障。</w:t>
      </w:r>
    </w:p>
    <w:p>
      <w:pPr>
        <w:topLinePunct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hint="eastAsia" w:ascii="楷体_GB2312" w:hAnsi="Times New Roman" w:eastAsia="楷体_GB2312" w:cs="Times New Roman"/>
          <w:bCs/>
          <w:szCs w:val="32"/>
        </w:rPr>
        <w:t>第九条</w:t>
      </w:r>
      <w:r>
        <w:rPr>
          <w:rFonts w:hint="eastAsia" w:ascii="Times New Roman" w:hAnsi="Times New Roman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选择集中安置和房票安置的移民户，保留其原有集体经济组织权益，但不再享有集体土地上申请使用宅基地建房的权利。</w:t>
      </w:r>
    </w:p>
    <w:p>
      <w:pPr>
        <w:overflowPunct w:val="0"/>
        <w:spacing w:line="594" w:lineRule="exact"/>
        <w:ind w:firstLine="640" w:firstLineChars="200"/>
        <w:jc w:val="both"/>
        <w:rPr>
          <w:rFonts w:hint="eastAsia" w:ascii="Times New Roman" w:hAnsi="Times New Roman" w:cs="Times New Roman"/>
          <w:szCs w:val="32"/>
        </w:rPr>
      </w:pPr>
      <w:r>
        <w:rPr>
          <w:rFonts w:hint="eastAsia" w:ascii="楷体_GB2312" w:hAnsi="Times New Roman" w:eastAsia="楷体_GB2312" w:cs="Times New Roman"/>
          <w:bCs/>
          <w:szCs w:val="32"/>
        </w:rPr>
        <w:t>第十条</w:t>
      </w:r>
      <w:r>
        <w:rPr>
          <w:rFonts w:hint="eastAsia" w:ascii="Times New Roman" w:hAnsi="Times New Roman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移民户宅基地配置程序</w:t>
      </w:r>
    </w:p>
    <w:p>
      <w:pPr>
        <w:overflowPunct w:val="0"/>
        <w:spacing w:line="594" w:lineRule="exact"/>
        <w:ind w:firstLine="640" w:firstLineChars="200"/>
        <w:jc w:val="both"/>
        <w:rPr>
          <w:rFonts w:ascii="仿宋" w:hAnsi="仿宋" w:eastAsia="仿宋" w:cs="Times New Roman"/>
          <w:color w:val="000000"/>
          <w:szCs w:val="32"/>
        </w:rPr>
      </w:pPr>
      <w:r>
        <w:rPr>
          <w:rFonts w:hint="eastAsia" w:ascii="仿宋" w:hAnsi="仿宋" w:eastAsia="仿宋" w:cs="宋体"/>
          <w:color w:val="000000"/>
        </w:rPr>
        <w:t>集中安置点由当地乡镇人民政府审定移民户数、人数、面积、层数，根据安置点规划情况，负责组织对相同户型分组</w:t>
      </w:r>
      <w:r>
        <w:rPr>
          <w:rFonts w:ascii="仿宋" w:hAnsi="仿宋" w:eastAsia="仿宋" w:cs="Times New Roman"/>
          <w:color w:val="000000"/>
          <w:szCs w:val="32"/>
        </w:rPr>
        <w:t>抽签，确定各移民户建房宅基地宗地块编号。选择在同一区域建造相同结构和层数的移民户，可以根据自愿的原则组团抽签分配宅基地，并及时公示抽签分配宅基地情况。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hint="eastAsia" w:ascii="楷体_GB2312" w:hAnsi="Times New Roman" w:eastAsia="楷体_GB2312" w:cs="Times New Roman"/>
          <w:bCs/>
          <w:szCs w:val="32"/>
        </w:rPr>
        <w:t>第十一条</w:t>
      </w:r>
      <w:r>
        <w:rPr>
          <w:rFonts w:hint="eastAsia" w:ascii="Times New Roman" w:hAnsi="Times New Roman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对于既选择在集中安置点安置，又不参加抽签的，抽签工作完成后，在剩余宅基地中由政府予以分配。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hint="eastAsia" w:ascii="楷体_GB2312" w:hAnsi="Times New Roman" w:eastAsia="楷体_GB2312" w:cs="Times New Roman"/>
          <w:bCs/>
          <w:szCs w:val="32"/>
        </w:rPr>
        <w:t>第十二条</w:t>
      </w:r>
      <w:r>
        <w:rPr>
          <w:rFonts w:hint="eastAsia" w:ascii="Times New Roman" w:hAnsi="Times New Roman" w:cs="Times New Roman"/>
          <w:b/>
          <w:bCs/>
          <w:szCs w:val="32"/>
        </w:rPr>
        <w:t>　</w:t>
      </w:r>
      <w:r>
        <w:rPr>
          <w:rFonts w:ascii="Times New Roman" w:hAnsi="Times New Roman" w:cs="Times New Roman"/>
          <w:szCs w:val="32"/>
        </w:rPr>
        <w:t>抽签工作由安置点所在乡镇人民政府具体组织实施，县指挥部、</w:t>
      </w:r>
      <w:r>
        <w:rPr>
          <w:rFonts w:hint="eastAsia" w:ascii="Times New Roman" w:hAnsi="Times New Roman" w:cs="Times New Roman"/>
          <w:szCs w:val="32"/>
        </w:rPr>
        <w:t>县库区</w:t>
      </w:r>
      <w:r>
        <w:rPr>
          <w:rFonts w:ascii="Times New Roman" w:hAnsi="Times New Roman" w:cs="Times New Roman"/>
          <w:szCs w:val="32"/>
        </w:rPr>
        <w:t>移民事务中心、移民</w:t>
      </w:r>
      <w:r>
        <w:rPr>
          <w:rFonts w:hint="eastAsia" w:ascii="Times New Roman" w:hAnsi="Times New Roman" w:cs="Times New Roman"/>
          <w:szCs w:val="32"/>
        </w:rPr>
        <w:t>监督评估</w:t>
      </w:r>
      <w:r>
        <w:rPr>
          <w:rFonts w:ascii="Times New Roman" w:hAnsi="Times New Roman" w:cs="Times New Roman"/>
          <w:szCs w:val="32"/>
        </w:rPr>
        <w:t>机构、县公证处对移民宅基地抽签过程进行全程监督和公证。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hint="eastAsia" w:ascii="楷体_GB2312" w:hAnsi="Times New Roman" w:eastAsia="楷体_GB2312" w:cs="Times New Roman"/>
          <w:bCs/>
          <w:szCs w:val="32"/>
        </w:rPr>
        <w:t>第十三条</w:t>
      </w:r>
      <w:r>
        <w:rPr>
          <w:rFonts w:hint="eastAsia" w:ascii="Times New Roman" w:hAnsi="Times New Roman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移民户选定宅基地</w:t>
      </w:r>
      <w:r>
        <w:rPr>
          <w:rFonts w:hint="eastAsia" w:ascii="Times New Roman" w:hAnsi="Times New Roman" w:cs="Times New Roman"/>
          <w:szCs w:val="32"/>
        </w:rPr>
        <w:t>后，经</w:t>
      </w:r>
      <w:r>
        <w:rPr>
          <w:rFonts w:ascii="Times New Roman" w:hAnsi="Times New Roman" w:cs="Times New Roman"/>
          <w:szCs w:val="32"/>
        </w:rPr>
        <w:t>村（居）民委员会同意，</w:t>
      </w:r>
      <w:r>
        <w:rPr>
          <w:rFonts w:hint="eastAsia" w:ascii="Times New Roman" w:hAnsi="Times New Roman" w:cs="Times New Roman"/>
          <w:szCs w:val="32"/>
        </w:rPr>
        <w:t>按程序</w:t>
      </w:r>
      <w:r>
        <w:rPr>
          <w:rFonts w:ascii="Times New Roman" w:hAnsi="Times New Roman" w:cs="Times New Roman"/>
          <w:szCs w:val="32"/>
        </w:rPr>
        <w:t>审批后方可建房。</w:t>
      </w:r>
    </w:p>
    <w:p>
      <w:pPr>
        <w:topLinePunct/>
        <w:spacing w:before="156" w:beforeLines="50" w:after="156" w:afterLines="50" w:line="594" w:lineRule="exact"/>
        <w:jc w:val="center"/>
        <w:rPr>
          <w:rFonts w:ascii="Times New Roman" w:hAnsi="Times New Roman" w:eastAsia="黑体" w:cs="Times New Roman"/>
          <w:bCs/>
          <w:szCs w:val="32"/>
        </w:rPr>
      </w:pPr>
      <w:r>
        <w:rPr>
          <w:rFonts w:ascii="Times New Roman" w:hAnsi="Times New Roman" w:eastAsia="黑体" w:cs="Times New Roman"/>
          <w:bCs/>
          <w:szCs w:val="32"/>
        </w:rPr>
        <w:t>第三章  附  则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hint="eastAsia" w:ascii="楷体_GB2312" w:hAnsi="Times New Roman" w:eastAsia="楷体_GB2312" w:cs="Times New Roman"/>
          <w:bCs/>
          <w:szCs w:val="32"/>
        </w:rPr>
        <w:t>第十四条</w:t>
      </w:r>
      <w:r>
        <w:rPr>
          <w:rFonts w:hint="eastAsia" w:ascii="楷体_GB2312" w:hAnsi="Times New Roman" w:eastAsia="楷体_GB2312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凡享受集中安置的移民户，应按照政府规定的建房期限、搬迁时间完成房屋建设和搬迁入住，否则依法处置。</w:t>
      </w:r>
    </w:p>
    <w:p>
      <w:pPr>
        <w:overflowPunct w:val="0"/>
        <w:spacing w:line="594" w:lineRule="exact"/>
        <w:ind w:firstLine="640" w:firstLineChars="200"/>
        <w:jc w:val="both"/>
        <w:rPr>
          <w:rFonts w:ascii="Times New Roman" w:hAnsi="Times New Roman" w:cs="Times New Roman"/>
          <w:szCs w:val="32"/>
        </w:rPr>
      </w:pPr>
      <w:r>
        <w:rPr>
          <w:rFonts w:hint="eastAsia" w:ascii="楷体_GB2312" w:hAnsi="Times New Roman" w:eastAsia="楷体_GB2312" w:cs="Times New Roman"/>
          <w:bCs/>
          <w:szCs w:val="32"/>
        </w:rPr>
        <w:t>第十五条</w:t>
      </w:r>
      <w:r>
        <w:rPr>
          <w:rFonts w:hint="eastAsia" w:ascii="Times New Roman" w:hAnsi="Times New Roman" w:cs="Times New Roman"/>
          <w:szCs w:val="32"/>
        </w:rPr>
        <w:t>　集中安置</w:t>
      </w:r>
      <w:r>
        <w:rPr>
          <w:rFonts w:ascii="Times New Roman" w:hAnsi="Times New Roman" w:cs="Times New Roman"/>
          <w:szCs w:val="32"/>
        </w:rPr>
        <w:t>原则上不能更换宅基地，确有实际困难的，在宅基地落实到户后，移民经双方自愿协商同意，宅基地可进行互换，但双方必须一同到安置点</w:t>
      </w:r>
      <w:r>
        <w:rPr>
          <w:rFonts w:hint="eastAsia" w:ascii="Times New Roman" w:hAnsi="Times New Roman" w:cs="Times New Roman"/>
          <w:szCs w:val="32"/>
        </w:rPr>
        <w:t>当地</w:t>
      </w:r>
      <w:r>
        <w:rPr>
          <w:rFonts w:ascii="Times New Roman" w:hAnsi="Times New Roman" w:cs="Times New Roman"/>
          <w:szCs w:val="32"/>
        </w:rPr>
        <w:t>乡镇人民政府办理宅基地互换手续，并由乡镇报县指挥部备案。</w:t>
      </w:r>
    </w:p>
    <w:p>
      <w:r>
        <w:rPr>
          <w:rFonts w:hint="eastAsia" w:ascii="楷体_GB2312" w:hAnsi="Times New Roman" w:eastAsia="楷体_GB2312" w:cs="Times New Roman"/>
          <w:bCs/>
          <w:szCs w:val="32"/>
        </w:rPr>
        <w:t>第十六条</w:t>
      </w:r>
      <w:r>
        <w:rPr>
          <w:rFonts w:hint="eastAsia" w:ascii="Times New Roman" w:hAnsi="Times New Roman" w:cs="Times New Roman"/>
          <w:szCs w:val="32"/>
        </w:rPr>
        <w:t>　</w:t>
      </w:r>
      <w:r>
        <w:rPr>
          <w:rFonts w:ascii="Times New Roman" w:hAnsi="Times New Roman" w:cs="Times New Roman"/>
          <w:szCs w:val="32"/>
        </w:rPr>
        <w:t>本办法自公布之日起施行。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gxMzJkNmI0NTE3NTQ0ZGZlOTBiYjczYTZiNGM2Y2UifQ=="/>
    <w:docVar w:name="KSO_WPS_MARK_KEY" w:val="eb6e4eaa-6cb9-427f-a945-4b45e1cbdc10"/>
  </w:docVars>
  <w:rsids>
    <w:rsidRoot w:val="36100522"/>
    <w:rsid w:val="36100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</w:pPr>
    <w:rPr>
      <w:rFonts w:ascii="仿宋_GB2312" w:hAnsi="仿宋_GB2312" w:eastAsia="仿宋_GB2312" w:cs="仿宋_GB2312"/>
      <w:kern w:val="2"/>
      <w:sz w:val="32"/>
      <w:szCs w:val="4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2024-04-22T08:24:00Z</dcterms:created>
  <dc:creator>SHARONL</dc:creator>
  <cp:lastModifiedBy>SHARONL</cp:lastModifiedBy>
  <dcterms:modified xsi:type="dcterms:W3CDTF">2024-04-22T08:24:55Z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3198DB233A724645B16D3AA9029234E3_11</vt:lpwstr>
  </property>
</Properties>
</file>