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center"/>
        <w:rPr>
          <w:rFonts w:ascii="Times New Roman" w:hAnsi="Times New Roman" w:eastAsia="方正小标宋简体" w:cs="Times New Roman"/>
          <w:sz w:val="44"/>
        </w:rPr>
      </w:pPr>
      <w:r>
        <w:rPr>
          <w:rFonts w:ascii="Times New Roman" w:hAnsi="Times New Roman" w:eastAsia="方正小标宋简体" w:cs="Times New Roman"/>
          <w:sz w:val="44"/>
        </w:rPr>
        <w:t>桃江县金塘冲水库</w:t>
      </w:r>
    </w:p>
    <w:p>
      <w:pPr>
        <w:spacing w:line="594" w:lineRule="exact"/>
        <w:jc w:val="center"/>
        <w:rPr>
          <w:rFonts w:ascii="Times New Roman" w:hAnsi="Times New Roman" w:eastAsia="方正小标宋简体" w:cs="Times New Roman"/>
          <w:sz w:val="44"/>
        </w:rPr>
      </w:pPr>
      <w:r>
        <w:rPr>
          <w:rFonts w:ascii="Times New Roman" w:hAnsi="Times New Roman" w:eastAsia="方正小标宋简体" w:cs="Times New Roman"/>
          <w:sz w:val="44"/>
        </w:rPr>
        <w:t>工程建设征地拆迁和移民安置补偿标准</w:t>
      </w:r>
    </w:p>
    <w:p>
      <w:pPr>
        <w:spacing w:line="594" w:lineRule="exact"/>
        <w:ind w:firstLine="640" w:firstLineChars="200"/>
        <w:rPr>
          <w:rFonts w:ascii="Times New Roman" w:hAnsi="Times New Roman" w:eastAsia="仿宋" w:cs="Times New Roman"/>
          <w:szCs w:val="32"/>
        </w:rPr>
      </w:pPr>
    </w:p>
    <w:p>
      <w:pPr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桃江县金塘冲水库工程建设征地</w:t>
      </w:r>
      <w:r>
        <w:rPr>
          <w:rFonts w:hint="eastAsia" w:ascii="Times New Roman" w:hAnsi="Times New Roman" w:cs="Times New Roman"/>
          <w:szCs w:val="32"/>
        </w:rPr>
        <w:t>拆迁</w:t>
      </w:r>
      <w:r>
        <w:rPr>
          <w:rFonts w:ascii="Times New Roman" w:hAnsi="Times New Roman" w:cs="Times New Roman"/>
          <w:szCs w:val="32"/>
        </w:rPr>
        <w:t>和移民安置补偿参照《湖南省人民政府关于调整湖南省征地补偿标准的通知》（湘政发〔2024〕1号）、《益阳市人民政府关于印发〈益阳市集体土地征收与房屋拆迁补偿安置办法〉的通知》（益政发〔2022〕21号）、《益阳市人民政府关于调整益阳市征地补偿标准的通知》（益政发〔2024〕3号）等文件规定执行，具体标准如下：</w:t>
      </w:r>
    </w:p>
    <w:p>
      <w:pPr>
        <w:widowControl/>
        <w:kinsoku w:val="0"/>
        <w:autoSpaceDE w:val="0"/>
        <w:autoSpaceDN w:val="0"/>
        <w:adjustRightInd w:val="0"/>
        <w:snapToGrid w:val="0"/>
        <w:spacing w:line="600" w:lineRule="exact"/>
        <w:ind w:firstLine="640" w:firstLineChars="200"/>
        <w:textAlignment w:val="baseline"/>
        <w:rPr>
          <w:rFonts w:ascii="Times New Roman" w:hAnsi="Times New Roman" w:eastAsia="黑体" w:cs="Times New Roman"/>
          <w:szCs w:val="32"/>
        </w:rPr>
      </w:pPr>
      <w:r>
        <w:rPr>
          <w:rFonts w:ascii="Times New Roman" w:hAnsi="Times New Roman" w:eastAsia="黑体" w:cs="Times New Roman"/>
          <w:szCs w:val="32"/>
        </w:rPr>
        <w:t>一、永久征收土地补偿标准</w:t>
      </w:r>
    </w:p>
    <w:tbl>
      <w:tblPr>
        <w:tblStyle w:val="3"/>
        <w:tblW w:w="4990" w:type="pct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33"/>
        <w:gridCol w:w="985"/>
        <w:gridCol w:w="919"/>
        <w:gridCol w:w="735"/>
        <w:gridCol w:w="744"/>
        <w:gridCol w:w="788"/>
        <w:gridCol w:w="744"/>
        <w:gridCol w:w="853"/>
        <w:gridCol w:w="788"/>
        <w:gridCol w:w="72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  <w:jc w:val="center"/>
        </w:trPr>
        <w:tc>
          <w:tcPr>
            <w:tcW w:w="1215" w:type="pct"/>
            <w:gridSpan w:val="2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</w:rPr>
              <w:t>补偿标准</w:t>
            </w:r>
          </w:p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黑体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</w:rPr>
              <w:t>（元/亩）</w:t>
            </w:r>
          </w:p>
        </w:tc>
        <w:tc>
          <w:tcPr>
            <w:tcW w:w="3785" w:type="pct"/>
            <w:gridSpan w:val="8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sz w:val="24"/>
                <w:szCs w:val="24"/>
              </w:rPr>
              <w:t>地类修正系数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  <w:jc w:val="center"/>
        </w:trPr>
        <w:tc>
          <w:tcPr>
            <w:tcW w:w="622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sz w:val="24"/>
                <w:szCs w:val="24"/>
              </w:rPr>
              <w:t>Ⅰ</w:t>
            </w: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区</w:t>
            </w:r>
          </w:p>
        </w:tc>
        <w:tc>
          <w:tcPr>
            <w:tcW w:w="593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宋体" w:hAnsi="宋体" w:eastAsia="宋体" w:cs="Times New Roman"/>
                <w:sz w:val="24"/>
                <w:szCs w:val="24"/>
              </w:rPr>
              <w:t>Ⅱ</w:t>
            </w: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区</w:t>
            </w:r>
          </w:p>
        </w:tc>
        <w:tc>
          <w:tcPr>
            <w:tcW w:w="553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永久基本农田</w:t>
            </w:r>
          </w:p>
        </w:tc>
        <w:tc>
          <w:tcPr>
            <w:tcW w:w="442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水田</w:t>
            </w:r>
          </w:p>
        </w:tc>
        <w:tc>
          <w:tcPr>
            <w:tcW w:w="448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旱地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园地</w:t>
            </w:r>
          </w:p>
        </w:tc>
        <w:tc>
          <w:tcPr>
            <w:tcW w:w="448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林地</w:t>
            </w:r>
          </w:p>
        </w:tc>
        <w:tc>
          <w:tcPr>
            <w:tcW w:w="513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其他农用地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建设</w:t>
            </w:r>
          </w:p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用地</w:t>
            </w:r>
          </w:p>
        </w:tc>
        <w:tc>
          <w:tcPr>
            <w:tcW w:w="432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未利</w:t>
            </w:r>
          </w:p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用地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  <w:jc w:val="center"/>
        </w:trPr>
        <w:tc>
          <w:tcPr>
            <w:tcW w:w="622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79900</w:t>
            </w:r>
          </w:p>
        </w:tc>
        <w:tc>
          <w:tcPr>
            <w:tcW w:w="593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72000</w:t>
            </w:r>
          </w:p>
        </w:tc>
        <w:tc>
          <w:tcPr>
            <w:tcW w:w="553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1.68</w:t>
            </w:r>
          </w:p>
        </w:tc>
        <w:tc>
          <w:tcPr>
            <w:tcW w:w="442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1</w:t>
            </w:r>
          </w:p>
        </w:tc>
        <w:tc>
          <w:tcPr>
            <w:tcW w:w="448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0.84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0.84</w:t>
            </w:r>
          </w:p>
        </w:tc>
        <w:tc>
          <w:tcPr>
            <w:tcW w:w="448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0.67</w:t>
            </w:r>
          </w:p>
        </w:tc>
        <w:tc>
          <w:tcPr>
            <w:tcW w:w="513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0.84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0.84</w:t>
            </w:r>
          </w:p>
        </w:tc>
        <w:tc>
          <w:tcPr>
            <w:tcW w:w="432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0.5</w:t>
            </w:r>
          </w:p>
        </w:tc>
      </w:tr>
    </w:tbl>
    <w:p>
      <w:pPr>
        <w:spacing w:line="600" w:lineRule="exact"/>
        <w:ind w:firstLine="640" w:firstLineChars="200"/>
        <w:rPr>
          <w:rFonts w:hint="eastAsia" w:ascii="Times New Roman" w:hAnsi="Times New Roman" w:eastAsia="黑体" w:cs="Times New Roman"/>
          <w:szCs w:val="32"/>
        </w:rPr>
      </w:pPr>
    </w:p>
    <w:p>
      <w:pPr>
        <w:spacing w:line="600" w:lineRule="exact"/>
        <w:ind w:firstLine="640" w:firstLineChars="200"/>
        <w:rPr>
          <w:rFonts w:hint="eastAsia" w:ascii="Times New Roman" w:hAnsi="Times New Roman" w:eastAsia="黑体" w:cs="Times New Roman"/>
          <w:szCs w:val="32"/>
        </w:rPr>
      </w:pPr>
    </w:p>
    <w:p>
      <w:pPr>
        <w:spacing w:line="600" w:lineRule="exact"/>
        <w:ind w:firstLine="640" w:firstLineChars="200"/>
        <w:rPr>
          <w:rFonts w:hint="eastAsia" w:ascii="Times New Roman" w:hAnsi="Times New Roman" w:eastAsia="黑体" w:cs="Times New Roman"/>
          <w:szCs w:val="32"/>
        </w:rPr>
      </w:pPr>
    </w:p>
    <w:p>
      <w:pPr>
        <w:spacing w:line="600" w:lineRule="exact"/>
        <w:ind w:firstLine="640" w:firstLineChars="200"/>
        <w:rPr>
          <w:rFonts w:hint="eastAsia" w:ascii="Times New Roman" w:hAnsi="Times New Roman" w:eastAsia="黑体" w:cs="Times New Roman"/>
          <w:szCs w:val="32"/>
        </w:rPr>
      </w:pPr>
    </w:p>
    <w:p>
      <w:pPr>
        <w:pStyle w:val="5"/>
        <w:rPr>
          <w:rFonts w:hint="eastAsia"/>
        </w:rPr>
      </w:pPr>
    </w:p>
    <w:p>
      <w:pPr>
        <w:spacing w:line="600" w:lineRule="exact"/>
        <w:ind w:firstLine="640" w:firstLineChars="200"/>
        <w:rPr>
          <w:rFonts w:hint="eastAsia" w:ascii="Times New Roman" w:hAnsi="Times New Roman" w:eastAsia="黑体" w:cs="Times New Roman"/>
          <w:szCs w:val="32"/>
        </w:rPr>
      </w:pPr>
    </w:p>
    <w:p>
      <w:pPr>
        <w:spacing w:line="600" w:lineRule="exact"/>
        <w:ind w:firstLine="640" w:firstLineChars="20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二</w:t>
      </w:r>
      <w:r>
        <w:rPr>
          <w:rFonts w:ascii="Times New Roman" w:hAnsi="Times New Roman" w:eastAsia="黑体" w:cs="Times New Roman"/>
          <w:szCs w:val="32"/>
        </w:rPr>
        <w:t>、青苗及地上附属设施补偿标准</w:t>
      </w:r>
    </w:p>
    <w:p>
      <w:pPr>
        <w:spacing w:line="600" w:lineRule="exact"/>
        <w:jc w:val="center"/>
        <w:rPr>
          <w:rFonts w:ascii="Times New Roman" w:hAnsi="Times New Roman" w:eastAsia="仿宋" w:cs="Times New Roman"/>
          <w:b/>
          <w:szCs w:val="32"/>
        </w:rPr>
      </w:pPr>
      <w:r>
        <w:rPr>
          <w:rFonts w:ascii="Times New Roman" w:hAnsi="Times New Roman" w:eastAsia="仿宋" w:cs="Times New Roman"/>
          <w:b/>
          <w:szCs w:val="32"/>
        </w:rPr>
        <w:t>青苗补偿标准（一）</w:t>
      </w:r>
    </w:p>
    <w:tbl>
      <w:tblPr>
        <w:tblStyle w:val="3"/>
        <w:tblW w:w="5000" w:type="pct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605"/>
        <w:gridCol w:w="1882"/>
        <w:gridCol w:w="483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土地种类</w:t>
            </w:r>
          </w:p>
        </w:tc>
        <w:tc>
          <w:tcPr>
            <w:tcW w:w="1130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补偿标准</w:t>
            </w:r>
          </w:p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（元/亩）</w:t>
            </w:r>
          </w:p>
        </w:tc>
        <w:tc>
          <w:tcPr>
            <w:tcW w:w="290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说    明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水田</w:t>
            </w:r>
          </w:p>
        </w:tc>
        <w:tc>
          <w:tcPr>
            <w:tcW w:w="1130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3300</w:t>
            </w:r>
          </w:p>
        </w:tc>
        <w:tc>
          <w:tcPr>
            <w:tcW w:w="290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firstLine="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在插秧前已投成本的，按补偿标准的50%补 偿；插秧后按统一补偿标准补偿；套养鱼鳖、龟、蛙、虾、蟹等按补偿标准的120%- 140%补偿。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旱（菜）地</w:t>
            </w:r>
          </w:p>
        </w:tc>
        <w:tc>
          <w:tcPr>
            <w:tcW w:w="1130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3300</w:t>
            </w:r>
          </w:p>
        </w:tc>
        <w:tc>
          <w:tcPr>
            <w:tcW w:w="290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修建有固定温室和高标准大棚，具有高产出的 菜地按150%补偿。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藕田（塘）</w:t>
            </w:r>
          </w:p>
        </w:tc>
        <w:tc>
          <w:tcPr>
            <w:tcW w:w="1130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3520</w:t>
            </w:r>
          </w:p>
        </w:tc>
        <w:tc>
          <w:tcPr>
            <w:tcW w:w="290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河流、湖泊等自然水域的按50%补偿。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鱼塘</w:t>
            </w:r>
          </w:p>
        </w:tc>
        <w:tc>
          <w:tcPr>
            <w:tcW w:w="1130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3520</w:t>
            </w:r>
          </w:p>
        </w:tc>
        <w:tc>
          <w:tcPr>
            <w:tcW w:w="290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鱼苗池、鱼种池、亲鱼培育池按补偿标准的120%予以补偿。鳖、龟、蛙、虾、蟹等特种养殖按补偿标准的140%-160%补偿。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水塘</w:t>
            </w:r>
          </w:p>
        </w:tc>
        <w:tc>
          <w:tcPr>
            <w:tcW w:w="1130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2470</w:t>
            </w:r>
          </w:p>
        </w:tc>
        <w:tc>
          <w:tcPr>
            <w:tcW w:w="290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未进行二次改造的自然水面，按鱼塘补偿标准的70%补偿。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水库湖泊</w:t>
            </w:r>
          </w:p>
        </w:tc>
        <w:tc>
          <w:tcPr>
            <w:tcW w:w="1130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1760</w:t>
            </w:r>
          </w:p>
        </w:tc>
        <w:tc>
          <w:tcPr>
            <w:tcW w:w="290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按鱼塘补偿标准的50%补偿。</w:t>
            </w:r>
          </w:p>
        </w:tc>
      </w:tr>
    </w:tbl>
    <w:p>
      <w:pPr>
        <w:pStyle w:val="2"/>
        <w:spacing w:line="600" w:lineRule="exact"/>
        <w:jc w:val="center"/>
        <w:rPr>
          <w:rFonts w:ascii="Times New Roman" w:hAnsi="Times New Roman" w:eastAsia="仿宋" w:cs="Times New Roman"/>
          <w:b/>
          <w:sz w:val="31"/>
          <w:szCs w:val="31"/>
        </w:rPr>
      </w:pPr>
      <w:r>
        <w:rPr>
          <w:rFonts w:ascii="Times New Roman" w:hAnsi="Times New Roman" w:cs="Times New Roman"/>
          <w:b/>
          <w:szCs w:val="32"/>
        </w:rPr>
        <w:t>青苗补偿标准（二）</w:t>
      </w:r>
    </w:p>
    <w:tbl>
      <w:tblPr>
        <w:tblStyle w:val="3"/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21"/>
        <w:gridCol w:w="2476"/>
        <w:gridCol w:w="1457"/>
        <w:gridCol w:w="387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799" w:type="pct"/>
            <w:gridSpan w:val="2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类 别</w:t>
            </w:r>
          </w:p>
        </w:tc>
        <w:tc>
          <w:tcPr>
            <w:tcW w:w="875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 xml:space="preserve">补偿标准 </w:t>
            </w:r>
          </w:p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（元/亩）</w:t>
            </w:r>
          </w:p>
        </w:tc>
        <w:tc>
          <w:tcPr>
            <w:tcW w:w="2326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说    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313" w:type="pct"/>
            <w:vMerge w:val="restart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果    园</w:t>
            </w:r>
          </w:p>
        </w:tc>
        <w:tc>
          <w:tcPr>
            <w:tcW w:w="14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苗期、</w:t>
            </w:r>
          </w:p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管理期</w:t>
            </w:r>
          </w:p>
        </w:tc>
        <w:tc>
          <w:tcPr>
            <w:tcW w:w="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6600</w:t>
            </w:r>
          </w:p>
        </w:tc>
        <w:tc>
          <w:tcPr>
            <w:tcW w:w="2326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1.苗期种植密度1000株/亩以上，管理期种植密度400株/亩以上。2.产果期含初果期、盛果期和衰老期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,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初果期和衰老期下浮30%。3.桔类种植密度按80株/亩，桃、苹果、李柚、奈李、板栗按100株/亩；葡萄按200株/亩。4.未达到规定种植密度和不成片的按以上规定密度予以折算补偿。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313" w:type="pct"/>
            <w:vMerge w:val="continue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产果期</w:t>
            </w:r>
          </w:p>
        </w:tc>
        <w:tc>
          <w:tcPr>
            <w:tcW w:w="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14400</w:t>
            </w:r>
          </w:p>
        </w:tc>
        <w:tc>
          <w:tcPr>
            <w:tcW w:w="2326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799" w:type="pct"/>
            <w:gridSpan w:val="2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一般茶叶、油茶、油桐、金银 花、木本药材等经济作物</w:t>
            </w:r>
          </w:p>
        </w:tc>
        <w:tc>
          <w:tcPr>
            <w:tcW w:w="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5400</w:t>
            </w:r>
          </w:p>
        </w:tc>
        <w:tc>
          <w:tcPr>
            <w:tcW w:w="2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1.新植良种油茶林，标准化茶园补偿标准上 浮30%。2.以省定油茶育苗定点单位或县（市区）以上林木种苗站发放的“良种苗合格证”为认定依据。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313" w:type="pct"/>
            <w:vMerge w:val="restart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林 地</w:t>
            </w:r>
          </w:p>
        </w:tc>
        <w:tc>
          <w:tcPr>
            <w:tcW w:w="14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竹林和人工营造用材林</w:t>
            </w:r>
          </w:p>
        </w:tc>
        <w:tc>
          <w:tcPr>
            <w:tcW w:w="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5000</w:t>
            </w:r>
          </w:p>
        </w:tc>
        <w:tc>
          <w:tcPr>
            <w:tcW w:w="2326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竹林需立竹达到150根/亩。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313" w:type="pct"/>
            <w:vMerge w:val="continue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天然松、杉、阔用材林</w:t>
            </w:r>
          </w:p>
        </w:tc>
        <w:tc>
          <w:tcPr>
            <w:tcW w:w="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3600</w:t>
            </w:r>
          </w:p>
        </w:tc>
        <w:tc>
          <w:tcPr>
            <w:tcW w:w="2326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313" w:type="pct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487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疏残林</w:t>
            </w:r>
          </w:p>
        </w:tc>
        <w:tc>
          <w:tcPr>
            <w:tcW w:w="875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1800</w:t>
            </w:r>
          </w:p>
        </w:tc>
        <w:tc>
          <w:tcPr>
            <w:tcW w:w="2326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</w:tbl>
    <w:p>
      <w:pPr>
        <w:spacing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三</w:t>
      </w:r>
      <w:r>
        <w:rPr>
          <w:rFonts w:ascii="Times New Roman" w:hAnsi="Times New Roman" w:eastAsia="黑体" w:cs="Times New Roman"/>
          <w:szCs w:val="32"/>
        </w:rPr>
        <w:t>、花卉苗木基地搬迁补助标准</w:t>
      </w:r>
    </w:p>
    <w:p>
      <w:pPr>
        <w:pStyle w:val="2"/>
        <w:spacing w:line="600" w:lineRule="exact"/>
        <w:jc w:val="center"/>
        <w:rPr>
          <w:rFonts w:ascii="Times New Roman" w:hAnsi="Times New Roman" w:eastAsia="仿宋" w:cs="Times New Roman"/>
          <w:b/>
          <w:sz w:val="31"/>
          <w:szCs w:val="31"/>
        </w:rPr>
      </w:pPr>
      <w:r>
        <w:rPr>
          <w:rFonts w:ascii="Times New Roman" w:hAnsi="Times New Roman" w:cs="Times New Roman"/>
          <w:b/>
          <w:szCs w:val="32"/>
        </w:rPr>
        <w:t>（一）搬迁补助表</w:t>
      </w:r>
    </w:p>
    <w:tbl>
      <w:tblPr>
        <w:tblStyle w:val="3"/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740"/>
        <w:gridCol w:w="2103"/>
        <w:gridCol w:w="1327"/>
        <w:gridCol w:w="315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胸径</w:t>
            </w:r>
          </w:p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（厘米）</w:t>
            </w:r>
          </w:p>
        </w:tc>
        <w:tc>
          <w:tcPr>
            <w:tcW w:w="1263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补助标准</w:t>
            </w:r>
          </w:p>
        </w:tc>
        <w:tc>
          <w:tcPr>
            <w:tcW w:w="797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 xml:space="preserve">种植密度 </w:t>
            </w:r>
          </w:p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（株/亩）</w:t>
            </w:r>
          </w:p>
        </w:tc>
        <w:tc>
          <w:tcPr>
            <w:tcW w:w="1895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firstLine="240" w:firstLineChars="100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φ3及以下</w:t>
            </w:r>
          </w:p>
        </w:tc>
        <w:tc>
          <w:tcPr>
            <w:tcW w:w="1263" w:type="pct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8500元/亩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700株以上</w:t>
            </w:r>
          </w:p>
        </w:tc>
        <w:tc>
          <w:tcPr>
            <w:tcW w:w="1895" w:type="pct"/>
            <w:vMerge w:val="restart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1.胸径：取树高离地0.8-1.2米直径。</w:t>
            </w:r>
          </w:p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2.人工绿化花坛及其他绿化造型，按绿地面积50元/平方米的标准补偿。</w:t>
            </w:r>
          </w:p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3.按亩算需达到规定株数，未达到规定株数的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,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按实际数量打折。</w:t>
            </w:r>
          </w:p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4.有营业执照的花卉苗木公司或经有权单位批准备案的苗木种植户。</w:t>
            </w:r>
          </w:p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5.美化、绿化环境的移栽苗木、花卉。</w:t>
            </w:r>
          </w:p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6.抢栽抢种不予补偿；死树不予补偿。</w:t>
            </w:r>
          </w:p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7.零星花卉苗木可按此标准折算成面积进行补偿。</w:t>
            </w:r>
          </w:p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8.异地移植的地点由被征地单位（个人）自行解决，不另补偿其他费用 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φ4及以下</w:t>
            </w:r>
          </w:p>
        </w:tc>
        <w:tc>
          <w:tcPr>
            <w:tcW w:w="1263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500株以上</w:t>
            </w: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φ5及以下</w:t>
            </w:r>
          </w:p>
        </w:tc>
        <w:tc>
          <w:tcPr>
            <w:tcW w:w="1263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400株以上</w:t>
            </w: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φ6及以下</w:t>
            </w:r>
          </w:p>
        </w:tc>
        <w:tc>
          <w:tcPr>
            <w:tcW w:w="1263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300株以上</w:t>
            </w: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φ7及以下</w:t>
            </w:r>
          </w:p>
        </w:tc>
        <w:tc>
          <w:tcPr>
            <w:tcW w:w="1263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797" w:type="pct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200株以上</w:t>
            </w: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φ8及以下</w:t>
            </w:r>
          </w:p>
        </w:tc>
        <w:tc>
          <w:tcPr>
            <w:tcW w:w="1263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797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φ9及以下</w:t>
            </w:r>
          </w:p>
        </w:tc>
        <w:tc>
          <w:tcPr>
            <w:tcW w:w="1263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797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φ10及以下</w:t>
            </w:r>
          </w:p>
        </w:tc>
        <w:tc>
          <w:tcPr>
            <w:tcW w:w="1263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797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φ11-20及以下</w:t>
            </w:r>
          </w:p>
        </w:tc>
        <w:tc>
          <w:tcPr>
            <w:tcW w:w="1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15000元/亩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150株以上</w:t>
            </w: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φ21-30及以下</w:t>
            </w:r>
          </w:p>
        </w:tc>
        <w:tc>
          <w:tcPr>
            <w:tcW w:w="1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22000元/亩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100株以上</w:t>
            </w: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045" w:type="pct"/>
            <w:tcBorders>
              <w:top w:val="single" w:color="000000" w:sz="4" w:space="0"/>
              <w:left w:val="single" w:color="auto" w:sz="8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φ30以上</w:t>
            </w:r>
          </w:p>
        </w:tc>
        <w:tc>
          <w:tcPr>
            <w:tcW w:w="1263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28000元/亩</w:t>
            </w:r>
          </w:p>
        </w:tc>
        <w:tc>
          <w:tcPr>
            <w:tcW w:w="797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50株以上</w:t>
            </w:r>
          </w:p>
        </w:tc>
        <w:tc>
          <w:tcPr>
            <w:tcW w:w="1895" w:type="pct"/>
            <w:vMerge w:val="continue"/>
            <w:tcBorders>
              <w:top w:val="nil"/>
              <w:left w:val="single" w:color="000000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</w:tbl>
    <w:p>
      <w:pPr>
        <w:spacing w:before="156" w:beforeLines="50" w:after="156" w:afterLines="50" w:line="600" w:lineRule="exact"/>
        <w:jc w:val="center"/>
        <w:rPr>
          <w:rFonts w:ascii="Times New Roman" w:hAnsi="Times New Roman" w:eastAsia="仿宋" w:cs="Times New Roman"/>
          <w:b/>
          <w:szCs w:val="32"/>
        </w:rPr>
      </w:pPr>
      <w:r>
        <w:rPr>
          <w:rFonts w:ascii="Times New Roman" w:hAnsi="Times New Roman" w:eastAsia="仿宋" w:cs="Times New Roman"/>
          <w:b/>
          <w:szCs w:val="32"/>
        </w:rPr>
        <w:t>（二）苗木移栽后养护补助表</w:t>
      </w:r>
    </w:p>
    <w:tbl>
      <w:tblPr>
        <w:tblStyle w:val="3"/>
        <w:tblW w:w="5000" w:type="pct"/>
        <w:tblInd w:w="-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390"/>
        <w:gridCol w:w="2248"/>
        <w:gridCol w:w="368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35" w:type="pct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移栽月份</w:t>
            </w:r>
          </w:p>
        </w:tc>
        <w:tc>
          <w:tcPr>
            <w:tcW w:w="1350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按总额补偿</w:t>
            </w:r>
          </w:p>
        </w:tc>
        <w:tc>
          <w:tcPr>
            <w:tcW w:w="2215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435" w:type="pct"/>
            <w:tcBorders>
              <w:top w:val="single" w:color="000000" w:sz="4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6、7、8、9</w:t>
            </w:r>
          </w:p>
        </w:tc>
        <w:tc>
          <w:tcPr>
            <w:tcW w:w="13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30%</w:t>
            </w:r>
          </w:p>
        </w:tc>
        <w:tc>
          <w:tcPr>
            <w:tcW w:w="2215" w:type="pct"/>
            <w:vMerge w:val="restart"/>
            <w:tcBorders>
              <w:top w:val="nil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按苗木移栽季节给予苗木移栽后的培育养护补助，补助标准按苗木移栽补偿额为基数计算；经技术部门认定移栽成活率低、养护成本高的个别花卉苗木，可据实适当提高养护补助。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22" w:hRule="atLeast"/>
        </w:trPr>
        <w:tc>
          <w:tcPr>
            <w:tcW w:w="1435" w:type="pct"/>
            <w:tcBorders>
              <w:top w:val="single" w:color="000000" w:sz="4" w:space="0"/>
              <w:left w:val="single" w:color="auto" w:sz="8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其余时段</w:t>
            </w:r>
          </w:p>
        </w:tc>
        <w:tc>
          <w:tcPr>
            <w:tcW w:w="1350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44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10%</w:t>
            </w:r>
          </w:p>
        </w:tc>
        <w:tc>
          <w:tcPr>
            <w:tcW w:w="2215" w:type="pct"/>
            <w:vMerge w:val="continue"/>
            <w:tcBorders>
              <w:top w:val="nil"/>
              <w:left w:val="single" w:color="000000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</w:tbl>
    <w:p>
      <w:pPr>
        <w:spacing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四</w:t>
      </w:r>
      <w:r>
        <w:rPr>
          <w:rFonts w:ascii="Times New Roman" w:hAnsi="Times New Roman" w:eastAsia="黑体" w:cs="Times New Roman"/>
          <w:szCs w:val="32"/>
        </w:rPr>
        <w:t>、房屋拆迁补偿标准</w:t>
      </w:r>
    </w:p>
    <w:tbl>
      <w:tblPr>
        <w:tblStyle w:val="3"/>
        <w:tblW w:w="5000" w:type="pct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47"/>
        <w:gridCol w:w="796"/>
        <w:gridCol w:w="5252"/>
        <w:gridCol w:w="123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62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结构</w:t>
            </w:r>
          </w:p>
        </w:tc>
        <w:tc>
          <w:tcPr>
            <w:tcW w:w="478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类别</w:t>
            </w:r>
          </w:p>
        </w:tc>
        <w:tc>
          <w:tcPr>
            <w:tcW w:w="3153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  <w:lang w:eastAsia="zh-CN"/>
              </w:rPr>
              <w:t>主体结构装饰装修要求</w:t>
            </w:r>
          </w:p>
        </w:tc>
        <w:tc>
          <w:tcPr>
            <w:tcW w:w="73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补偿标准</w:t>
            </w:r>
          </w:p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（元/m²）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62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ind w:firstLine="120"/>
              <w:jc w:val="center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厂房</w:t>
            </w:r>
          </w:p>
          <w:p>
            <w:pPr>
              <w:pStyle w:val="6"/>
              <w:widowControl w:val="0"/>
              <w:spacing w:line="300" w:lineRule="exact"/>
              <w:ind w:firstLine="120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（砖混）</w:t>
            </w:r>
          </w:p>
        </w:tc>
        <w:tc>
          <w:tcPr>
            <w:tcW w:w="478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一</w:t>
            </w:r>
          </w:p>
        </w:tc>
        <w:tc>
          <w:tcPr>
            <w:tcW w:w="3153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24厘米眠墙，标准梁、柱；内外墙粉水泥灰；现浇钢 丝网屋面；水泥地面；双开门、三开玻璃窗；现浇天 沟；砖砌明沟排水；横跨度在8m以上；室内水电齐全；高度4.5m以上。</w:t>
            </w:r>
          </w:p>
        </w:tc>
        <w:tc>
          <w:tcPr>
            <w:tcW w:w="73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1210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62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ind w:firstLine="120"/>
              <w:jc w:val="center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 xml:space="preserve">厂房 </w:t>
            </w:r>
          </w:p>
          <w:p>
            <w:pPr>
              <w:pStyle w:val="6"/>
              <w:widowControl w:val="0"/>
              <w:spacing w:line="300" w:lineRule="exact"/>
              <w:ind w:firstLine="120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（砖木）</w:t>
            </w:r>
          </w:p>
        </w:tc>
        <w:tc>
          <w:tcPr>
            <w:tcW w:w="478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二</w:t>
            </w:r>
          </w:p>
        </w:tc>
        <w:tc>
          <w:tcPr>
            <w:tcW w:w="3153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24厘米眠墙；内墙粉水泥灰；普通木屋架；双开门三开玻璃窗；瓦屋面；水泥地面；砖砌明沟排水；室 内水电齐全；高度4.5m以上。</w:t>
            </w:r>
          </w:p>
        </w:tc>
        <w:tc>
          <w:tcPr>
            <w:tcW w:w="73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750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62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砖混</w:t>
            </w:r>
          </w:p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（部分框</w:t>
            </w:r>
          </w:p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架 ）</w:t>
            </w:r>
          </w:p>
        </w:tc>
        <w:tc>
          <w:tcPr>
            <w:tcW w:w="478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三</w:t>
            </w:r>
          </w:p>
        </w:tc>
        <w:tc>
          <w:tcPr>
            <w:tcW w:w="3153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ind w:left="96" w:leftChars="30" w:firstLine="2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1.桩基础或深度在2.5米以上的开挖基础，承台、圈梁结构。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2.全部为眠砖、水泥或混合砂浆砌筑；现浇楼梯、客厅、厨房、卫生间地面；有圈梁、过梁、挑梁、砼柱、天沟；有隔热层，现浇屋面或坡屋面盖瓦；房屋结构完整，标准层高为3.2米以上。</w:t>
            </w:r>
          </w:p>
          <w:p>
            <w:pPr>
              <w:pStyle w:val="6"/>
              <w:widowControl w:val="0"/>
              <w:spacing w:line="30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3.外墙满贴外墙砖，有琉璃饰物及石质材料贴面。</w:t>
            </w:r>
          </w:p>
          <w:p>
            <w:pPr>
              <w:pStyle w:val="6"/>
              <w:widowControl w:val="0"/>
              <w:spacing w:line="300" w:lineRule="exact"/>
              <w:ind w:left="96" w:leftChars="30"/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 xml:space="preserve">4.客厅、卧室为实木地面；其余为石质或瓷砖地面。 </w:t>
            </w:r>
          </w:p>
          <w:p>
            <w:pPr>
              <w:pStyle w:val="6"/>
              <w:widowControl w:val="0"/>
              <w:spacing w:line="30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5.木制或石膏、金属装饰吊顶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;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木制墙裙；固定壁柜；门、窗套装饰。</w:t>
            </w:r>
          </w:p>
          <w:p>
            <w:pPr>
              <w:pStyle w:val="6"/>
              <w:widowControl w:val="0"/>
              <w:spacing w:line="30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6.防盗门、防盗窗、铝合金门窗。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2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7.厨房、卫生间设施配套齐全，室内水、电、卫设施齐全。</w:t>
            </w:r>
          </w:p>
          <w:p>
            <w:pPr>
              <w:pStyle w:val="6"/>
              <w:widowControl w:val="0"/>
              <w:spacing w:line="30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8.进户水、电，及排水设施齐全。</w:t>
            </w:r>
          </w:p>
        </w:tc>
        <w:tc>
          <w:tcPr>
            <w:tcW w:w="73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1450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62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砖混</w:t>
            </w:r>
          </w:p>
        </w:tc>
        <w:tc>
          <w:tcPr>
            <w:tcW w:w="478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四</w:t>
            </w:r>
          </w:p>
        </w:tc>
        <w:tc>
          <w:tcPr>
            <w:tcW w:w="3153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ind w:left="96" w:leftChars="30" w:firstLine="2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1.桩基础或深度在1.5米以上的砼、砖石基础，承台或圈梁结构。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2.全部为眠砖、混合砂浆砌筑；现浇楼梯、厨房、卫生间地板，其余为预制构件；有圈梁、过梁、挑梁、砼柱、天沟；有隔热层，现浇屋面或坡屋面盖瓦；房屋结构完整，标准层高为3.2米以上。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3.外墙全粉饰部分贴外墙砖；有琉璃饰物及石质材料 贴面。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11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4.客厅、卧室、生活配套房地面为瓷砖或石质材料贴 面；部分实木地面。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5.木制或石膏角线；木制或其他材料墙裙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;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固定壁柜：有门、窗套装饰。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6.防盗门、防盗窗、铝合金门窗</w:t>
            </w:r>
            <w:r>
              <w:rPr>
                <w:rFonts w:hint="eastAsia"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;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部分木制门窗带纱。</w:t>
            </w:r>
          </w:p>
          <w:p>
            <w:pPr>
              <w:pStyle w:val="6"/>
              <w:widowControl w:val="0"/>
              <w:spacing w:line="300" w:lineRule="exact"/>
              <w:ind w:left="96" w:leftChars="30"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7.厨房、卫生间设施配套齐全，室内水、电、卫设施齐全。</w:t>
            </w:r>
          </w:p>
          <w:p>
            <w:pPr>
              <w:pStyle w:val="6"/>
              <w:widowControl w:val="0"/>
              <w:spacing w:line="300" w:lineRule="exact"/>
              <w:ind w:left="96" w:leftChars="3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8.进户水、电、及排水设施齐全。</w:t>
            </w:r>
          </w:p>
        </w:tc>
        <w:tc>
          <w:tcPr>
            <w:tcW w:w="739" w:type="pct"/>
            <w:noWrap w:val="0"/>
            <w:vAlign w:val="center"/>
          </w:tcPr>
          <w:p>
            <w:pPr>
              <w:pStyle w:val="6"/>
              <w:widowControl w:val="0"/>
              <w:spacing w:line="30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1330</w:t>
            </w:r>
          </w:p>
        </w:tc>
      </w:tr>
    </w:tbl>
    <w:p>
      <w:pPr>
        <w:pStyle w:val="6"/>
        <w:widowControl w:val="0"/>
        <w:spacing w:line="300" w:lineRule="exact"/>
        <w:ind w:left="96" w:leftChars="30" w:firstLine="20"/>
        <w:rPr>
          <w:rFonts w:ascii="Times New Roman" w:hAnsi="Times New Roman" w:eastAsia="宋体" w:cs="Times New Roman"/>
          <w:color w:val="auto"/>
          <w:sz w:val="24"/>
          <w:szCs w:val="24"/>
        </w:rPr>
      </w:pPr>
    </w:p>
    <w:p>
      <w:pPr>
        <w:pStyle w:val="6"/>
        <w:widowControl w:val="0"/>
        <w:spacing w:line="300" w:lineRule="exact"/>
        <w:jc w:val="center"/>
        <w:rPr>
          <w:rFonts w:ascii="Times New Roman" w:hAnsi="Times New Roman" w:eastAsia="宋体" w:cs="Times New Roman"/>
          <w:color w:val="auto"/>
          <w:sz w:val="24"/>
          <w:szCs w:val="24"/>
        </w:rPr>
      </w:pPr>
    </w:p>
    <w:p>
      <w:pPr>
        <w:rPr>
          <w:rFonts w:ascii="Times New Roman" w:hAnsi="Times New Roman" w:cs="Times New Roman"/>
          <w:vanish/>
          <w:sz w:val="24"/>
          <w:szCs w:val="24"/>
        </w:rPr>
      </w:pPr>
    </w:p>
    <w:tbl>
      <w:tblPr>
        <w:tblStyle w:val="3"/>
        <w:tblW w:w="5000" w:type="pct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044"/>
        <w:gridCol w:w="789"/>
        <w:gridCol w:w="5147"/>
        <w:gridCol w:w="134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4" w:hRule="atLeast"/>
          <w:tblHeader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结构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类别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  <w:lang w:eastAsia="zh-CN"/>
              </w:rPr>
              <w:t>主体结构装饰装修要求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补偿标准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（元/m²）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77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砖混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五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10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1.深度在1.5米以上的砼、砖石基础，承台或圈梁结构。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2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2.眠砖墙、部分空斗砖墙，现浇楼梯、厨房、卫生间 地板，其余为预制构件；有圈墙、过梁、挑梁、砼或砖柱、天沟；有隔热层或坡屋面盖瓦，房屋结构完整，标准层高3.2米以上。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3.外墙部分粉饰，有瓷砖或石质材料贴面。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4.客厅、卧室、生活配套房地面为瓷砖或石质材料贴面，部分为水泥或其他饰面材料地面。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5.木制角线或石膏线，有固定壁柜，部分墙裙、门套；木制门、窗带纱，普通防盗门、窗，部分铝合金窗 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5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6.厨房、卫生间设施齐全，室内外水、电、及排水设 施齐全。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1210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7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砖混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六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10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1.深度在1.5米以上的砼、砖石基础，承台或圈梁结 构。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4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2.眠砖墙、部分空斗砖墙，现浇楼梯、厨房、卫生间地板，其余为预制构件；有圈墙、过梁、挑梁、砼或 砖柱、天沟；有隔热层或坡屋面盖瓦，房屋结构完整，标准层高3.2米以上。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3.外墙部分粉饰。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4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4.客厅、卧室、生活配套房部分为水泥或其他饰面材 料地面。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5.普通防盗门、窗。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3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6.厨房、卫生间设施齐全，室内外水、电、及排水设 施齐全。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990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12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砖木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七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left="9" w:hanging="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1.深度在1.5米以上砼、砖石基础，承台或圈梁结构。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5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2.空斗砖墙，部分眠砖墙；有圈梁、过梁、挑梁、砖 柱结构；天沟、隔热层或坡屋面盖瓦；房屋结构完整，标准层高3.4米以上。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3.客厅、卧室、生活配套房水泥地面或部分瓷砖，石材贴面，外墙有部分粉饰或瓷砖贴面。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6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4.普通内墙面、顶棚装饰、木制门窗带纱；防盗网：部分铝合金窗。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ind w:firstLine="49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5.厨房、卫生间设施齐全，室内外水、电、及排水设 施齐全。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950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80" w:hRule="atLeast"/>
        </w:trPr>
        <w:tc>
          <w:tcPr>
            <w:tcW w:w="627" w:type="pct"/>
            <w:noWrap w:val="0"/>
            <w:vAlign w:val="center"/>
          </w:tcPr>
          <w:p>
            <w:pPr>
              <w:wordWrap w:val="0"/>
              <w:topLinePunct/>
              <w:spacing w:line="260" w:lineRule="exact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sz w:val="24"/>
                <w:szCs w:val="24"/>
              </w:rPr>
              <w:t>砖木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八</w:t>
            </w:r>
          </w:p>
        </w:tc>
        <w:tc>
          <w:tcPr>
            <w:tcW w:w="3091" w:type="pct"/>
            <w:noWrap w:val="0"/>
            <w:vAlign w:val="top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ind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1.深度在1.2米以上砼、砖石基础，承台或圈梁结构。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2.空斗砖墙，部分眠砖墙，有圈梁、过梁、挑梁、砖 柱结构；天沟、隔热层或坡屋面盖瓦，房屋结构完整，标准层高3.4米以上。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ind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3.客厅、卧室、生活配套房水泥地面或部分瓷砖，石 材贴面，外墙有粉饰。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4.普通内墙粉饰、木制门窗带纱；有防盗网，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ind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5.厨房、卫生间设施齐全，室内外水、电、及排水设 施齐全。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wordWrap w:val="0"/>
              <w:topLinePunct/>
              <w:spacing w:line="260" w:lineRule="exact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  <w:p>
            <w:pPr>
              <w:wordWrap w:val="0"/>
              <w:topLinePunct/>
              <w:spacing w:line="260" w:lineRule="exact"/>
              <w:jc w:val="center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750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砖（土）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木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九</w:t>
            </w:r>
          </w:p>
        </w:tc>
        <w:tc>
          <w:tcPr>
            <w:tcW w:w="3091" w:type="pct"/>
            <w:noWrap w:val="0"/>
            <w:vAlign w:val="top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1.深度在1.2米以上砖石基础，有圈梁或承台。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ind w:firstLine="1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2.空斗砖墙，部分眠砖或土砖、土筑墙；有隔热层， 坡屋面盖瓦；房屋结构完整，标准层高在3.4米以上。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3.室内地面为水泥或部分瓷砖；外墙有粉饰；门窗齐 全带纱；室内粉饰，带防盗网。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ind w:left="20" w:hanging="2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4.厨房、卫生间设施齐全；室内外水、电、及排水设施齐全。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660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5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土（全） 木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十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1.深度在1.2米以上砖石基础，有圈梁或承台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2.空斗砖墙，土砖、土筑墙；有隔热层、坡屋面盖 瓦；房屋结构完整，标准层高在3.4米以上。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3.室内地面为水泥或部分瓷砖；门窗齐全带纱；室内 粉饰。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4.有厨房、卫生间设施；水、电、及排水设施齐全，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4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杂屋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十一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1.基础深度1米以上，砖石基础，有圈梁。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2.各类材料砌筑墙体；室内外有粉刷；水泥或部分瓷砖地面；门窗齐全；有隔热层，屋面完整，高度3米以上。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3.水、电、及排水设施齐全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棚屋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十二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1.基础深度1米以上，砖石基础。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2.一方或一方以上有围护墙；屋面完整，平均高度在2.5米以上，有水、电在使用。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3.水泥地面或其他地面。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200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1" w:hRule="atLeast"/>
        </w:trPr>
        <w:tc>
          <w:tcPr>
            <w:tcW w:w="627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棚子</w:t>
            </w:r>
          </w:p>
        </w:tc>
        <w:tc>
          <w:tcPr>
            <w:tcW w:w="474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十三</w:t>
            </w:r>
          </w:p>
        </w:tc>
        <w:tc>
          <w:tcPr>
            <w:tcW w:w="3091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1.平均高度2米以上。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2.屋面完整。</w:t>
            </w:r>
          </w:p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3.水泥或其他地面。</w:t>
            </w:r>
          </w:p>
        </w:tc>
        <w:tc>
          <w:tcPr>
            <w:tcW w:w="808" w:type="pct"/>
            <w:noWrap w:val="0"/>
            <w:vAlign w:val="center"/>
          </w:tcPr>
          <w:p>
            <w:pPr>
              <w:pStyle w:val="6"/>
              <w:widowControl w:val="0"/>
              <w:kinsoku/>
              <w:wordWrap w:val="0"/>
              <w:topLinePunct/>
              <w:autoSpaceDE/>
              <w:autoSpaceDN/>
              <w:spacing w:line="26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110</w:t>
            </w:r>
          </w:p>
        </w:tc>
      </w:tr>
    </w:tbl>
    <w:p>
      <w:pPr>
        <w:pStyle w:val="2"/>
        <w:spacing w:after="0" w:line="320" w:lineRule="exact"/>
        <w:ind w:left="1203" w:leftChars="151" w:hanging="720" w:hangingChars="300"/>
        <w:rPr>
          <w:rFonts w:ascii="华文楷体" w:hAnsi="华文楷体" w:eastAsia="华文楷体" w:cs="Times New Roman"/>
          <w:sz w:val="24"/>
          <w:szCs w:val="24"/>
        </w:rPr>
      </w:pPr>
      <w:r>
        <w:rPr>
          <w:rFonts w:ascii="华文楷体" w:hAnsi="华文楷体" w:eastAsia="华文楷体" w:cs="Times New Roman"/>
          <w:sz w:val="24"/>
          <w:szCs w:val="24"/>
        </w:rPr>
        <w:t>注：1. 本补偿标准含室内外装饰、装修。房屋主体结构或装修装饰每缺少一项</w:t>
      </w:r>
      <w:r>
        <w:rPr>
          <w:rFonts w:hint="eastAsia" w:ascii="华文楷体" w:hAnsi="华文楷体" w:eastAsia="华文楷体" w:cs="Times New Roman"/>
          <w:sz w:val="24"/>
          <w:szCs w:val="24"/>
        </w:rPr>
        <w:t>,</w:t>
      </w:r>
      <w:r>
        <w:rPr>
          <w:rFonts w:ascii="华文楷体" w:hAnsi="华文楷体" w:eastAsia="华文楷体" w:cs="Times New Roman"/>
          <w:sz w:val="24"/>
          <w:szCs w:val="24"/>
        </w:rPr>
        <w:t>其补偿扣减30—50元/平方米。</w:t>
      </w:r>
    </w:p>
    <w:p>
      <w:pPr>
        <w:pStyle w:val="2"/>
        <w:spacing w:after="0" w:line="320" w:lineRule="exact"/>
        <w:ind w:left="1203" w:leftChars="301" w:hanging="240" w:hangingChars="100"/>
        <w:rPr>
          <w:rFonts w:ascii="华文楷体" w:hAnsi="华文楷体" w:eastAsia="华文楷体" w:cs="Times New Roman"/>
          <w:sz w:val="24"/>
          <w:szCs w:val="24"/>
        </w:rPr>
      </w:pPr>
      <w:r>
        <w:rPr>
          <w:rFonts w:ascii="华文楷体" w:hAnsi="华文楷体" w:eastAsia="华文楷体" w:cs="Times New Roman"/>
          <w:sz w:val="24"/>
          <w:szCs w:val="24"/>
        </w:rPr>
        <w:t>2. 结构标准符合等级要求，但装饰标准有二项以上达不到标准的，套用下一个类别。装饰标准符合类别等级，但结构标准有一项以上达不到标准的，套用下一个类别。</w:t>
      </w:r>
    </w:p>
    <w:p>
      <w:pPr>
        <w:pStyle w:val="2"/>
        <w:spacing w:after="0" w:line="320" w:lineRule="exact"/>
        <w:ind w:left="1203" w:leftChars="301" w:hanging="240" w:hangingChars="100"/>
        <w:rPr>
          <w:rFonts w:ascii="华文楷体" w:hAnsi="华文楷体" w:eastAsia="华文楷体" w:cs="Times New Roman"/>
          <w:sz w:val="24"/>
          <w:szCs w:val="24"/>
        </w:rPr>
      </w:pPr>
      <w:r>
        <w:rPr>
          <w:rFonts w:ascii="华文楷体" w:hAnsi="华文楷体" w:eastAsia="华文楷体" w:cs="Times New Roman"/>
          <w:sz w:val="24"/>
          <w:szCs w:val="24"/>
        </w:rPr>
        <w:t>3. 房屋拆迁补偿标准，视被征拆房屋的不同结构和所属类别，结合成色计算补偿：成色折算&lt;20年的按100%、&gt;20年的按90%。</w:t>
      </w:r>
    </w:p>
    <w:p>
      <w:pPr>
        <w:spacing w:line="320" w:lineRule="exact"/>
        <w:ind w:left="1203" w:leftChars="301" w:hanging="240" w:hangingChars="100"/>
        <w:rPr>
          <w:rFonts w:ascii="华文楷体" w:hAnsi="华文楷体" w:eastAsia="华文楷体" w:cs="Times New Roman"/>
          <w:sz w:val="24"/>
          <w:szCs w:val="24"/>
        </w:rPr>
      </w:pPr>
      <w:r>
        <w:rPr>
          <w:rFonts w:ascii="华文楷体" w:hAnsi="华文楷体" w:eastAsia="华文楷体" w:cs="Times New Roman"/>
          <w:sz w:val="24"/>
          <w:szCs w:val="24"/>
        </w:rPr>
        <w:t>4. 被征拆房屋属单层建筑（平房）的，不论其高度多少，均按一层计算面积。</w:t>
      </w:r>
    </w:p>
    <w:p>
      <w:pPr>
        <w:spacing w:line="600" w:lineRule="exact"/>
        <w:ind w:firstLine="640" w:firstLineChars="200"/>
        <w:outlineLvl w:val="0"/>
        <w:rPr>
          <w:rFonts w:hint="eastAsia" w:ascii="Times New Roman" w:hAnsi="Times New Roman" w:eastAsia="黑体" w:cs="Times New Roman"/>
          <w:szCs w:val="32"/>
        </w:rPr>
      </w:pPr>
    </w:p>
    <w:p>
      <w:pPr>
        <w:spacing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五</w:t>
      </w:r>
      <w:r>
        <w:rPr>
          <w:rFonts w:ascii="Times New Roman" w:hAnsi="Times New Roman" w:eastAsia="黑体" w:cs="Times New Roman"/>
          <w:szCs w:val="32"/>
        </w:rPr>
        <w:t>、家禽畜类动物规模化养殖转运补助标准</w:t>
      </w:r>
    </w:p>
    <w:tbl>
      <w:tblPr>
        <w:tblStyle w:val="3"/>
        <w:tblW w:w="5000" w:type="pct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59"/>
        <w:gridCol w:w="1492"/>
        <w:gridCol w:w="2511"/>
        <w:gridCol w:w="28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771" w:type="pct"/>
            <w:gridSpan w:val="2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品  种</w:t>
            </w:r>
          </w:p>
        </w:tc>
        <w:tc>
          <w:tcPr>
            <w:tcW w:w="1508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补助标准</w:t>
            </w:r>
          </w:p>
        </w:tc>
        <w:tc>
          <w:tcPr>
            <w:tcW w:w="1720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备  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876" w:type="pct"/>
            <w:vMerge w:val="restart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生猪</w:t>
            </w:r>
          </w:p>
        </w:tc>
        <w:tc>
          <w:tcPr>
            <w:tcW w:w="8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幼崽</w:t>
            </w:r>
          </w:p>
        </w:tc>
        <w:tc>
          <w:tcPr>
            <w:tcW w:w="1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30元/头</w:t>
            </w:r>
          </w:p>
        </w:tc>
        <w:tc>
          <w:tcPr>
            <w:tcW w:w="1720" w:type="pct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left="210" w:leftChars="50" w:hanging="5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1.该补偿只限于规模化专业养殖场;</w:t>
            </w:r>
          </w:p>
          <w:p>
            <w:pPr>
              <w:pStyle w:val="6"/>
              <w:widowControl w:val="0"/>
              <w:spacing w:line="320" w:lineRule="exact"/>
              <w:ind w:left="210" w:leftChars="50" w:hanging="5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2.养殖规模在标准以下的不予补助;</w:t>
            </w:r>
          </w:p>
          <w:p>
            <w:pPr>
              <w:pStyle w:val="6"/>
              <w:widowControl w:val="0"/>
              <w:spacing w:line="320" w:lineRule="exact"/>
              <w:ind w:left="210" w:leftChars="50" w:hanging="50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3.续养场所由被拆迁人自行解决，不另行补偿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876" w:type="pct"/>
            <w:vMerge w:val="continue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8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成年</w:t>
            </w:r>
          </w:p>
        </w:tc>
        <w:tc>
          <w:tcPr>
            <w:tcW w:w="15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80元/头</w:t>
            </w:r>
          </w:p>
        </w:tc>
        <w:tc>
          <w:tcPr>
            <w:tcW w:w="1720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876" w:type="pct"/>
            <w:vMerge w:val="continue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8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孕期</w:t>
            </w:r>
          </w:p>
        </w:tc>
        <w:tc>
          <w:tcPr>
            <w:tcW w:w="1508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500元/头</w:t>
            </w:r>
          </w:p>
        </w:tc>
        <w:tc>
          <w:tcPr>
            <w:tcW w:w="1720" w:type="pct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771" w:type="pct"/>
            <w:gridSpan w:val="2"/>
            <w:tcBorders>
              <w:top w:val="single" w:color="000000" w:sz="4" w:space="0"/>
              <w:left w:val="single" w:color="auto" w:sz="8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鸡、鸭、鹅等家禽类</w:t>
            </w:r>
          </w:p>
        </w:tc>
        <w:tc>
          <w:tcPr>
            <w:tcW w:w="1508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2元/只</w:t>
            </w:r>
          </w:p>
        </w:tc>
        <w:tc>
          <w:tcPr>
            <w:tcW w:w="172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</w:tbl>
    <w:p>
      <w:pPr>
        <w:pStyle w:val="2"/>
        <w:spacing w:after="0" w:line="400" w:lineRule="exact"/>
        <w:ind w:firstLine="561"/>
        <w:rPr>
          <w:rFonts w:ascii="Times New Roman" w:hAnsi="Times New Roman" w:eastAsia="楷体_GB2312" w:cs="Times New Roman"/>
          <w:sz w:val="24"/>
          <w:szCs w:val="24"/>
        </w:rPr>
      </w:pPr>
      <w:r>
        <w:rPr>
          <w:rFonts w:ascii="Times New Roman" w:hAnsi="Times New Roman" w:eastAsia="楷体_GB2312" w:cs="Times New Roman"/>
          <w:sz w:val="24"/>
          <w:szCs w:val="24"/>
        </w:rPr>
        <w:t>注：其他畜类的转运费参照生猪的补助标准；其他禽类的转运费参照鸡、鸭、鹅的补助标准。</w:t>
      </w:r>
    </w:p>
    <w:p>
      <w:pPr>
        <w:spacing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六</w:t>
      </w:r>
      <w:r>
        <w:rPr>
          <w:rFonts w:ascii="Times New Roman" w:hAnsi="Times New Roman" w:eastAsia="黑体" w:cs="Times New Roman"/>
          <w:szCs w:val="32"/>
        </w:rPr>
        <w:t>、迁坟补助标准</w:t>
      </w:r>
    </w:p>
    <w:tbl>
      <w:tblPr>
        <w:tblStyle w:val="3"/>
        <w:tblW w:w="5000" w:type="pct"/>
        <w:tblInd w:w="-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66"/>
        <w:gridCol w:w="3142"/>
        <w:gridCol w:w="1627"/>
        <w:gridCol w:w="229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760" w:type="pct"/>
            <w:tcBorders>
              <w:top w:val="single" w:color="auto" w:sz="8" w:space="0"/>
              <w:left w:val="single" w:color="auto" w:sz="8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项  目</w:t>
            </w:r>
          </w:p>
        </w:tc>
        <w:tc>
          <w:tcPr>
            <w:tcW w:w="1887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名  称</w:t>
            </w:r>
          </w:p>
        </w:tc>
        <w:tc>
          <w:tcPr>
            <w:tcW w:w="977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单 位</w:t>
            </w:r>
          </w:p>
        </w:tc>
        <w:tc>
          <w:tcPr>
            <w:tcW w:w="1376" w:type="pct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补助金额（元）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760" w:type="pct"/>
            <w:vMerge w:val="restart"/>
            <w:tcBorders>
              <w:top w:val="nil"/>
              <w:left w:val="single" w:color="auto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迁  坟</w:t>
            </w:r>
          </w:p>
        </w:tc>
        <w:tc>
          <w:tcPr>
            <w:tcW w:w="1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棺木坟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单冢</w:t>
            </w:r>
          </w:p>
        </w:tc>
        <w:tc>
          <w:tcPr>
            <w:tcW w:w="137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3300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760" w:type="pct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887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骨灰盒（坛）坟</w:t>
            </w:r>
          </w:p>
        </w:tc>
        <w:tc>
          <w:tcPr>
            <w:tcW w:w="977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000000" w:sz="4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个</w:t>
            </w:r>
          </w:p>
        </w:tc>
        <w:tc>
          <w:tcPr>
            <w:tcW w:w="1376" w:type="pct"/>
            <w:tcBorders>
              <w:top w:val="single" w:color="000000" w:sz="4" w:space="0"/>
              <w:left w:val="single" w:color="000000" w:sz="4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1300</w:t>
            </w:r>
          </w:p>
        </w:tc>
      </w:tr>
    </w:tbl>
    <w:p>
      <w:pPr>
        <w:spacing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七</w:t>
      </w:r>
      <w:r>
        <w:rPr>
          <w:rFonts w:ascii="Times New Roman" w:hAnsi="Times New Roman" w:eastAsia="黑体" w:cs="Times New Roman"/>
          <w:szCs w:val="32"/>
        </w:rPr>
        <w:t xml:space="preserve"> 、室外其他设施补偿标准</w:t>
      </w:r>
    </w:p>
    <w:tbl>
      <w:tblPr>
        <w:tblStyle w:val="3"/>
        <w:tblW w:w="5000" w:type="pct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950"/>
        <w:gridCol w:w="1161"/>
        <w:gridCol w:w="1309"/>
        <w:gridCol w:w="2884"/>
        <w:gridCol w:w="2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项  目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单 位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补偿标准</w:t>
            </w:r>
          </w:p>
          <w:p>
            <w:pPr>
              <w:pStyle w:val="6"/>
              <w:widowControl w:val="0"/>
              <w:spacing w:line="320" w:lineRule="exact"/>
              <w:ind w:left="260" w:hanging="260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（元）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说    明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24眠墙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24有眠斗墙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70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13墙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60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土筑墙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38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粉灰墙面刮瓷涂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8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墙面贴瓷（釉）面砖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80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12" w:type="pct"/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墙面贴马赛克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80</w:t>
            </w:r>
          </w:p>
        </w:tc>
        <w:tc>
          <w:tcPr>
            <w:tcW w:w="173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不锈钢围栏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745" w:type="pct"/>
            <w:gridSpan w:val="2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欧式围墙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180</w:t>
            </w:r>
          </w:p>
        </w:tc>
        <w:tc>
          <w:tcPr>
            <w:tcW w:w="1745" w:type="pct"/>
            <w:gridSpan w:val="2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177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铁网围栏</w:t>
            </w:r>
          </w:p>
        </w:tc>
        <w:tc>
          <w:tcPr>
            <w:tcW w:w="69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786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30</w:t>
            </w:r>
          </w:p>
        </w:tc>
        <w:tc>
          <w:tcPr>
            <w:tcW w:w="1745" w:type="pct"/>
            <w:gridSpan w:val="2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限于主体建筑以外</w:t>
            </w:r>
          </w:p>
        </w:tc>
      </w:tr>
    </w:tbl>
    <w:p>
      <w:pPr>
        <w:spacing w:line="480" w:lineRule="exact"/>
        <w:ind w:firstLine="480" w:firstLineChars="200"/>
        <w:jc w:val="both"/>
        <w:rPr>
          <w:rFonts w:ascii="Times New Roman" w:hAnsi="Times New Roman" w:eastAsia="楷体_GB2312" w:cs="Times New Roman"/>
          <w:sz w:val="24"/>
          <w:szCs w:val="24"/>
        </w:rPr>
      </w:pPr>
      <w:r>
        <w:rPr>
          <w:rFonts w:ascii="Times New Roman" w:hAnsi="Times New Roman" w:eastAsia="楷体_GB2312" w:cs="Times New Roman"/>
          <w:sz w:val="24"/>
          <w:szCs w:val="24"/>
        </w:rPr>
        <w:t>注：凡利用旧砖、节砖、泥浆砌墙体，按各单项标准的30%减扣。</w:t>
      </w:r>
    </w:p>
    <w:p>
      <w:pPr>
        <w:spacing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八</w:t>
      </w:r>
      <w:r>
        <w:rPr>
          <w:rFonts w:ascii="Times New Roman" w:hAnsi="Times New Roman" w:eastAsia="黑体" w:cs="Times New Roman"/>
          <w:szCs w:val="32"/>
        </w:rPr>
        <w:t>、其他地上附着物补偿标准</w:t>
      </w:r>
    </w:p>
    <w:tbl>
      <w:tblPr>
        <w:tblStyle w:val="3"/>
        <w:tblW w:w="5000" w:type="pct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8"/>
        <w:gridCol w:w="2071"/>
        <w:gridCol w:w="1159"/>
        <w:gridCol w:w="1376"/>
        <w:gridCol w:w="289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tblHeader/>
        </w:trPr>
        <w:tc>
          <w:tcPr>
            <w:tcW w:w="50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项目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名    称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单 位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left="260" w:hanging="260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补偿标准</w:t>
            </w:r>
          </w:p>
          <w:p>
            <w:pPr>
              <w:pStyle w:val="6"/>
              <w:widowControl w:val="0"/>
              <w:spacing w:line="320" w:lineRule="exact"/>
              <w:ind w:left="260" w:hanging="260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（元）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说    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restar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晒    坪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水泥坪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厚度不少于8厘米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沥青坪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150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firstLine="29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沥青层厚度不少于6厘米， 补偿含垫层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三合土坪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厚度不少于8厘米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土坪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restar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道   路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土路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只限机耕道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泥沙卵石道路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炉碴碎石道路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38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砼道路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130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厚度不少于20厘米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沥青道路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220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firstLine="39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沥青层厚度不少于6厘米， 补偿含垫层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restar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砌    石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片石砌挡土墙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220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浆砌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片石砌挡土墙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170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干砌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片石护坡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92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浆砌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片石护坡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74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干砌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窖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座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600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restar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池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水池、粪池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立方米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150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砖砌粉水泥，5m³以内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水池、粪池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平方米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130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砖砌粉水泥，5m³以上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三砂池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立方米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ind w:left="1437" w:hanging="1437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10m³以上部分按30元/m³计 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不锈钢水塔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个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拆装费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restar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井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沼气池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套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4000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包括管道、气表等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红砖水井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300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包括抽水设备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土井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180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钻孔井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个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4000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包括抽水设备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restar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室 外 排 水 设 施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砖砌暗沟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80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离主体建筑物1米以上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暗砼涵管φ30厘米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离主体建筑物1米以上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暗砼涵管</w:t>
            </w:r>
            <w:r>
              <w:rPr>
                <w:rFonts w:hAnsi="Times New Roman" w:eastAsia="宋体" w:cs="Times New Roman"/>
                <w:color w:val="auto"/>
                <w:sz w:val="24"/>
                <w:szCs w:val="24"/>
              </w:rPr>
              <w:t>①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50厘米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98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离主体建筑物1米以上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暗砼涵管中80厘米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125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离主体建筑物1米以上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铸铁管</w:t>
            </w:r>
            <w:r>
              <w:rPr>
                <w:rFonts w:hAnsi="Times New Roman" w:eastAsia="宋体" w:cs="Times New Roman"/>
                <w:color w:val="auto"/>
                <w:sz w:val="24"/>
                <w:szCs w:val="24"/>
              </w:rPr>
              <w:t>①</w:t>
            </w: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10厘米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105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离主体建筑物1米以上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塑料管φ10厘米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离主体建筑物1米以上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restar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家用室外用电 设施</w:t>
            </w: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电杆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照明线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5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503" w:type="pct"/>
            <w:vMerge w:val="continue"/>
            <w:noWrap w:val="0"/>
            <w:vAlign w:val="center"/>
          </w:tcPr>
          <w:p>
            <w:pPr>
              <w:spacing w:line="320" w:lineRule="exac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  <w:tc>
          <w:tcPr>
            <w:tcW w:w="124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动力线</w:t>
            </w:r>
          </w:p>
        </w:tc>
        <w:tc>
          <w:tcPr>
            <w:tcW w:w="69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米</w:t>
            </w:r>
          </w:p>
        </w:tc>
        <w:tc>
          <w:tcPr>
            <w:tcW w:w="82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20</w:t>
            </w:r>
          </w:p>
        </w:tc>
        <w:tc>
          <w:tcPr>
            <w:tcW w:w="173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</w:tbl>
    <w:p>
      <w:pPr>
        <w:spacing w:line="480" w:lineRule="exact"/>
        <w:ind w:firstLine="480" w:firstLineChars="200"/>
        <w:rPr>
          <w:rFonts w:ascii="Times New Roman" w:hAnsi="Times New Roman" w:eastAsia="楷体_GB2312" w:cs="Times New Roman"/>
          <w:sz w:val="24"/>
          <w:szCs w:val="24"/>
        </w:rPr>
      </w:pPr>
      <w:r>
        <w:rPr>
          <w:rFonts w:ascii="Times New Roman" w:hAnsi="Times New Roman" w:eastAsia="楷体_GB2312" w:cs="Times New Roman"/>
          <w:sz w:val="24"/>
          <w:szCs w:val="24"/>
        </w:rPr>
        <w:t>注：对达不到灰、浆砌体和粉灰要求的水泥池，按各单项标准的30 %扣减。</w:t>
      </w:r>
    </w:p>
    <w:p>
      <w:pPr>
        <w:spacing w:before="156" w:beforeLines="50" w:after="156" w:afterLines="50"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九</w:t>
      </w:r>
      <w:r>
        <w:rPr>
          <w:rFonts w:ascii="Times New Roman" w:hAnsi="Times New Roman" w:eastAsia="黑体" w:cs="Times New Roman"/>
          <w:szCs w:val="32"/>
        </w:rPr>
        <w:t>、网络、有线电视、空调装移等补偿标准</w:t>
      </w:r>
    </w:p>
    <w:tbl>
      <w:tblPr>
        <w:tblStyle w:val="3"/>
        <w:tblW w:w="5000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6"/>
        <w:gridCol w:w="990"/>
        <w:gridCol w:w="1971"/>
        <w:gridCol w:w="293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tblHeader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名  称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单位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补偿金额（元）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bCs/>
                <w:color w:val="auto"/>
                <w:sz w:val="24"/>
                <w:szCs w:val="24"/>
              </w:rPr>
              <w:t>说    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有线电视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户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  <w:t>移装费一次性包干补偿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网络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户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空调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台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三相电表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户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6000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燃气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户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2800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太阳能热水器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台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400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水电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户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2000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卫星电视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户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220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家用太阳能灯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个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200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太阳能路灯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个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600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监控（探头）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个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100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广告牌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个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1200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石碑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个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500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打米机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bCs/>
                <w:sz w:val="24"/>
                <w:szCs w:val="24"/>
              </w:rPr>
            </w:pP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300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制茶机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台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300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  <w:jc w:val="center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粮仓</w:t>
            </w:r>
          </w:p>
        </w:tc>
        <w:tc>
          <w:tcPr>
            <w:tcW w:w="594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个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240</w:t>
            </w:r>
          </w:p>
        </w:tc>
        <w:tc>
          <w:tcPr>
            <w:tcW w:w="1763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同上</w:t>
            </w:r>
          </w:p>
        </w:tc>
      </w:tr>
    </w:tbl>
    <w:p>
      <w:pPr>
        <w:spacing w:before="156" w:beforeLines="50" w:after="156" w:afterLines="50"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ascii="Times New Roman" w:hAnsi="Times New Roman" w:eastAsia="黑体" w:cs="Times New Roman"/>
          <w:szCs w:val="32"/>
        </w:rPr>
        <w:t>十、零星树木补偿</w:t>
      </w:r>
    </w:p>
    <w:tbl>
      <w:tblPr>
        <w:tblStyle w:val="3"/>
        <w:tblW w:w="5000" w:type="pct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6"/>
        <w:gridCol w:w="986"/>
        <w:gridCol w:w="1971"/>
        <w:gridCol w:w="294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1" w:hRule="atLeast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  <w:t>名  称</w:t>
            </w:r>
          </w:p>
        </w:tc>
        <w:tc>
          <w:tcPr>
            <w:tcW w:w="59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  <w:t>单位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  <w:t>补偿金额</w:t>
            </w:r>
          </w:p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  <w:t>（元）</w:t>
            </w:r>
          </w:p>
        </w:tc>
        <w:tc>
          <w:tcPr>
            <w:tcW w:w="176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  <w:szCs w:val="24"/>
              </w:rPr>
              <w:t>说    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幼树</w:t>
            </w:r>
          </w:p>
        </w:tc>
        <w:tc>
          <w:tcPr>
            <w:tcW w:w="59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棵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57</w:t>
            </w:r>
          </w:p>
        </w:tc>
        <w:tc>
          <w:tcPr>
            <w:tcW w:w="176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  <w:lang w:eastAsia="zh-CN"/>
              </w:rPr>
              <w:t>未结果，按直径小于等于 8cm计算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</w:trPr>
        <w:tc>
          <w:tcPr>
            <w:tcW w:w="146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成树</w:t>
            </w:r>
          </w:p>
        </w:tc>
        <w:tc>
          <w:tcPr>
            <w:tcW w:w="591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棵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</w:rPr>
              <w:t>220</w:t>
            </w:r>
          </w:p>
        </w:tc>
        <w:tc>
          <w:tcPr>
            <w:tcW w:w="1765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bCs/>
                <w:color w:val="auto"/>
                <w:sz w:val="24"/>
                <w:szCs w:val="24"/>
                <w:lang w:eastAsia="zh-CN"/>
              </w:rPr>
              <w:t>结果，按直径8cm至12cm计算</w:t>
            </w:r>
          </w:p>
        </w:tc>
      </w:tr>
    </w:tbl>
    <w:p>
      <w:pPr>
        <w:spacing w:before="156" w:beforeLines="50" w:after="156" w:afterLines="50" w:line="600" w:lineRule="exact"/>
        <w:ind w:firstLine="640" w:firstLineChars="200"/>
        <w:outlineLvl w:val="0"/>
        <w:rPr>
          <w:rFonts w:ascii="Times New Roman" w:hAnsi="Times New Roman" w:eastAsia="黑体" w:cs="Times New Roman"/>
          <w:szCs w:val="32"/>
        </w:rPr>
      </w:pPr>
      <w:r>
        <w:rPr>
          <w:rFonts w:ascii="Times New Roman" w:hAnsi="Times New Roman" w:eastAsia="黑体" w:cs="Times New Roman"/>
          <w:szCs w:val="32"/>
        </w:rPr>
        <w:t>十</w:t>
      </w:r>
      <w:r>
        <w:rPr>
          <w:rFonts w:hint="eastAsia" w:ascii="Times New Roman" w:hAnsi="Times New Roman" w:eastAsia="黑体" w:cs="Times New Roman"/>
          <w:szCs w:val="32"/>
        </w:rPr>
        <w:t>一</w:t>
      </w:r>
      <w:r>
        <w:rPr>
          <w:rFonts w:ascii="Times New Roman" w:hAnsi="Times New Roman" w:eastAsia="黑体" w:cs="Times New Roman"/>
          <w:szCs w:val="32"/>
        </w:rPr>
        <w:t>、能源设施补助标准</w:t>
      </w:r>
    </w:p>
    <w:tbl>
      <w:tblPr>
        <w:tblStyle w:val="3"/>
        <w:tblW w:w="5000" w:type="pct"/>
        <w:tblInd w:w="-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37"/>
        <w:gridCol w:w="981"/>
        <w:gridCol w:w="1971"/>
        <w:gridCol w:w="294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8" w:hRule="atLeast"/>
        </w:trPr>
        <w:tc>
          <w:tcPr>
            <w:tcW w:w="146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</w:rPr>
              <w:t>名  称</w:t>
            </w:r>
          </w:p>
        </w:tc>
        <w:tc>
          <w:tcPr>
            <w:tcW w:w="588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</w:rPr>
              <w:t>单位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  <w:szCs w:val="27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</w:rPr>
              <w:t>补偿金额</w:t>
            </w:r>
          </w:p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</w:rPr>
            </w:pPr>
            <w:r>
              <w:rPr>
                <w:rFonts w:ascii="黑体" w:hAnsi="黑体" w:eastAsia="黑体" w:cs="Times New Roman"/>
                <w:bCs/>
                <w:color w:val="auto"/>
                <w:sz w:val="24"/>
              </w:rPr>
              <w:t>（元）</w:t>
            </w:r>
          </w:p>
        </w:tc>
        <w:tc>
          <w:tcPr>
            <w:tcW w:w="1767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ascii="黑体" w:hAnsi="黑体" w:eastAsia="黑体" w:cs="Times New Roman"/>
                <w:bCs/>
                <w:color w:val="auto"/>
                <w:sz w:val="24"/>
              </w:rPr>
            </w:pPr>
            <w:r>
              <w:rPr>
                <w:rFonts w:hint="eastAsia" w:ascii="黑体" w:hAnsi="黑体" w:eastAsia="黑体" w:cs="Times New Roman"/>
                <w:bCs/>
                <w:color w:val="auto"/>
                <w:sz w:val="24"/>
                <w:lang w:eastAsia="zh-CN"/>
              </w:rPr>
              <w:t>说</w:t>
            </w:r>
            <w:r>
              <w:rPr>
                <w:rFonts w:ascii="黑体" w:hAnsi="黑体" w:eastAsia="黑体" w:cs="Times New Roman"/>
                <w:bCs/>
                <w:color w:val="auto"/>
                <w:sz w:val="24"/>
              </w:rPr>
              <w:t xml:space="preserve">   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5" w:hRule="atLeast"/>
        </w:trPr>
        <w:tc>
          <w:tcPr>
            <w:tcW w:w="146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eastAsia="宋体" w:cs="Times New Roman"/>
                <w:bCs/>
                <w:color w:val="auto"/>
                <w:sz w:val="24"/>
              </w:rPr>
            </w:pPr>
            <w:r>
              <w:rPr>
                <w:rFonts w:eastAsia="宋体" w:cs="Times New Roman"/>
                <w:bCs/>
                <w:color w:val="auto"/>
                <w:sz w:val="24"/>
              </w:rPr>
              <w:t>能源设施补助</w:t>
            </w:r>
          </w:p>
        </w:tc>
        <w:tc>
          <w:tcPr>
            <w:tcW w:w="588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eastAsia="宋体" w:cs="Times New Roman"/>
                <w:bCs/>
                <w:color w:val="auto"/>
                <w:sz w:val="24"/>
              </w:rPr>
            </w:pPr>
            <w:r>
              <w:rPr>
                <w:rFonts w:eastAsia="宋体" w:cs="Times New Roman"/>
                <w:bCs/>
                <w:color w:val="auto"/>
                <w:sz w:val="24"/>
              </w:rPr>
              <w:t>户</w:t>
            </w:r>
          </w:p>
        </w:tc>
        <w:tc>
          <w:tcPr>
            <w:tcW w:w="1182" w:type="pct"/>
            <w:noWrap w:val="0"/>
            <w:vAlign w:val="center"/>
          </w:tcPr>
          <w:p>
            <w:pPr>
              <w:pStyle w:val="6"/>
              <w:widowControl w:val="0"/>
              <w:spacing w:line="320" w:lineRule="exact"/>
              <w:jc w:val="center"/>
              <w:rPr>
                <w:rFonts w:eastAsia="宋体" w:cs="Times New Roman"/>
                <w:bCs/>
                <w:color w:val="auto"/>
                <w:sz w:val="24"/>
              </w:rPr>
            </w:pPr>
            <w:r>
              <w:rPr>
                <w:rFonts w:eastAsia="宋体" w:cs="Times New Roman"/>
                <w:bCs/>
                <w:color w:val="auto"/>
                <w:sz w:val="24"/>
              </w:rPr>
              <w:t>1000</w:t>
            </w:r>
          </w:p>
        </w:tc>
        <w:tc>
          <w:tcPr>
            <w:tcW w:w="1767" w:type="pc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仿宋" w:cs="Times New Roman"/>
                <w:bCs/>
                <w:sz w:val="28"/>
                <w:szCs w:val="28"/>
              </w:rPr>
            </w:pPr>
          </w:p>
        </w:tc>
      </w:tr>
    </w:tbl>
    <w:p>
      <w:pPr>
        <w:spacing w:line="600" w:lineRule="exact"/>
        <w:ind w:firstLine="640" w:firstLineChars="200"/>
        <w:rPr>
          <w:rFonts w:hint="eastAsia" w:ascii="Times New Roman" w:hAnsi="Times New Roman" w:eastAsia="黑体" w:cs="Times New Roman"/>
          <w:szCs w:val="32"/>
        </w:rPr>
      </w:pPr>
      <w:r>
        <w:rPr>
          <w:rFonts w:hint="eastAsia" w:ascii="Times New Roman" w:hAnsi="Times New Roman" w:eastAsia="黑体" w:cs="Times New Roman"/>
          <w:szCs w:val="32"/>
        </w:rPr>
        <w:t>十二</w:t>
      </w:r>
      <w:r>
        <w:rPr>
          <w:rFonts w:ascii="Times New Roman" w:hAnsi="Times New Roman" w:eastAsia="黑体" w:cs="Times New Roman"/>
          <w:szCs w:val="32"/>
        </w:rPr>
        <w:t>、</w:t>
      </w:r>
      <w:r>
        <w:rPr>
          <w:rFonts w:hint="eastAsia" w:ascii="Times New Roman" w:hAnsi="Times New Roman" w:eastAsia="黑体" w:cs="Times New Roman"/>
          <w:szCs w:val="32"/>
        </w:rPr>
        <w:t>其他事项</w:t>
      </w:r>
    </w:p>
    <w:p>
      <w:pPr>
        <w:spacing w:line="600" w:lineRule="exact"/>
        <w:ind w:firstLine="643" w:firstLineChars="200"/>
        <w:jc w:val="center"/>
        <w:rPr>
          <w:rFonts w:ascii="仿宋" w:hAnsi="仿宋" w:eastAsia="仿宋" w:cs="Times New Roman"/>
          <w:b/>
          <w:szCs w:val="32"/>
        </w:rPr>
      </w:pPr>
      <w:r>
        <w:rPr>
          <w:rFonts w:ascii="仿宋" w:hAnsi="仿宋" w:eastAsia="仿宋" w:cs="Times New Roman"/>
          <w:b/>
          <w:szCs w:val="32"/>
        </w:rPr>
        <w:t>临时征用土地</w:t>
      </w:r>
      <w:r>
        <w:rPr>
          <w:rFonts w:hint="eastAsia" w:ascii="仿宋" w:hAnsi="仿宋" w:eastAsia="仿宋" w:cs="Times New Roman"/>
          <w:b/>
          <w:szCs w:val="32"/>
        </w:rPr>
        <w:t>补偿标准</w:t>
      </w:r>
    </w:p>
    <w:tbl>
      <w:tblPr>
        <w:tblStyle w:val="3"/>
        <w:tblW w:w="5035" w:type="pct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941"/>
        <w:gridCol w:w="2220"/>
        <w:gridCol w:w="322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175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黑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color w:val="auto"/>
                <w:spacing w:val="6"/>
                <w:sz w:val="24"/>
                <w:szCs w:val="24"/>
              </w:rPr>
              <w:t>地类</w:t>
            </w:r>
          </w:p>
        </w:tc>
        <w:tc>
          <w:tcPr>
            <w:tcW w:w="132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黑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黑体" w:cs="Times New Roman"/>
                <w:color w:val="auto"/>
                <w:spacing w:val="3"/>
                <w:sz w:val="24"/>
                <w:szCs w:val="24"/>
                <w:lang w:eastAsia="zh-CN"/>
              </w:rPr>
              <w:t>补偿标准</w:t>
            </w:r>
          </w:p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黑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黑体" w:cs="Times New Roman"/>
                <w:color w:val="auto"/>
                <w:spacing w:val="8"/>
                <w:sz w:val="24"/>
                <w:szCs w:val="24"/>
                <w:lang w:eastAsia="zh-CN"/>
              </w:rPr>
              <w:t>（元/亩·年）</w:t>
            </w:r>
          </w:p>
        </w:tc>
        <w:tc>
          <w:tcPr>
            <w:tcW w:w="1923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黑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黑体" w:cs="Times New Roman"/>
                <w:color w:val="auto"/>
                <w:spacing w:val="15"/>
                <w:sz w:val="24"/>
                <w:szCs w:val="24"/>
              </w:rPr>
              <w:t>说</w:t>
            </w:r>
            <w:r>
              <w:rPr>
                <w:rFonts w:hint="eastAsia" w:ascii="Times New Roman" w:hAnsi="Times New Roman" w:eastAsia="黑体" w:cs="Times New Roman"/>
                <w:color w:val="auto"/>
                <w:spacing w:val="15"/>
                <w:sz w:val="24"/>
                <w:szCs w:val="24"/>
                <w:lang w:eastAsia="zh-CN"/>
              </w:rPr>
              <w:t xml:space="preserve">  </w:t>
            </w:r>
            <w:r>
              <w:rPr>
                <w:rFonts w:ascii="Times New Roman" w:hAnsi="Times New Roman" w:eastAsia="黑体" w:cs="Times New Roman"/>
                <w:color w:val="auto"/>
                <w:spacing w:val="15"/>
                <w:sz w:val="24"/>
                <w:szCs w:val="24"/>
              </w:rPr>
              <w:t>明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1753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18"/>
                <w:sz w:val="24"/>
                <w:szCs w:val="24"/>
              </w:rPr>
              <w:t>水田</w:t>
            </w:r>
          </w:p>
        </w:tc>
        <w:tc>
          <w:tcPr>
            <w:tcW w:w="132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-3"/>
                <w:sz w:val="24"/>
                <w:szCs w:val="24"/>
              </w:rPr>
              <w:t>800</w:t>
            </w:r>
          </w:p>
        </w:tc>
        <w:tc>
          <w:tcPr>
            <w:tcW w:w="1923" w:type="pct"/>
            <w:vMerge w:val="restart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按市“同库同政策”精神执行。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175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5"/>
                <w:sz w:val="24"/>
                <w:szCs w:val="24"/>
                <w:lang w:eastAsia="zh-CN"/>
              </w:rPr>
              <w:t>旱土（园地、坑塘水面）</w:t>
            </w:r>
          </w:p>
        </w:tc>
        <w:tc>
          <w:tcPr>
            <w:tcW w:w="132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-4"/>
                <w:sz w:val="24"/>
                <w:szCs w:val="24"/>
              </w:rPr>
              <w:t>700</w:t>
            </w:r>
          </w:p>
        </w:tc>
        <w:tc>
          <w:tcPr>
            <w:tcW w:w="1923" w:type="pct"/>
            <w:vMerge w:val="continue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175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-3"/>
                <w:sz w:val="24"/>
                <w:szCs w:val="24"/>
                <w:lang w:eastAsia="zh-CN"/>
              </w:rPr>
              <w:t>竹林和人工营造的乔木林</w:t>
            </w:r>
          </w:p>
        </w:tc>
        <w:tc>
          <w:tcPr>
            <w:tcW w:w="132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-3"/>
                <w:sz w:val="24"/>
                <w:szCs w:val="24"/>
              </w:rPr>
              <w:t>600</w:t>
            </w:r>
          </w:p>
        </w:tc>
        <w:tc>
          <w:tcPr>
            <w:tcW w:w="1923" w:type="pct"/>
            <w:vMerge w:val="continue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175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3"/>
                <w:sz w:val="24"/>
                <w:szCs w:val="24"/>
              </w:rPr>
              <w:t>灌木林</w:t>
            </w:r>
          </w:p>
        </w:tc>
        <w:tc>
          <w:tcPr>
            <w:tcW w:w="1324" w:type="pct"/>
            <w:noWrap w:val="0"/>
            <w:vAlign w:val="center"/>
          </w:tcPr>
          <w:p>
            <w:pPr>
              <w:pStyle w:val="6"/>
              <w:spacing w:line="320" w:lineRule="exact"/>
              <w:jc w:val="center"/>
              <w:rPr>
                <w:rFonts w:ascii="Times New Roman" w:hAnsi="Times New Roman" w:eastAsia="宋体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宋体" w:cs="Times New Roman"/>
                <w:color w:val="auto"/>
                <w:spacing w:val="-3"/>
                <w:sz w:val="24"/>
                <w:szCs w:val="24"/>
              </w:rPr>
              <w:t>600</w:t>
            </w:r>
          </w:p>
        </w:tc>
        <w:tc>
          <w:tcPr>
            <w:tcW w:w="1923" w:type="pct"/>
            <w:vMerge w:val="continue"/>
            <w:noWrap w:val="0"/>
            <w:vAlign w:val="center"/>
          </w:tcPr>
          <w:p>
            <w:pPr>
              <w:kinsoku w:val="0"/>
              <w:autoSpaceDE w:val="0"/>
              <w:autoSpaceDN w:val="0"/>
              <w:adjustRightInd w:val="0"/>
              <w:snapToGrid w:val="0"/>
              <w:spacing w:line="320" w:lineRule="exact"/>
              <w:jc w:val="center"/>
              <w:textAlignment w:val="baseline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</w:tbl>
    <w:p>
      <w:r>
        <w:rPr>
          <w:rFonts w:ascii="Times New Roman" w:hAnsi="Times New Roman" w:eastAsia="仿宋" w:cs="Times New Roman"/>
          <w:szCs w:val="32"/>
        </w:rPr>
        <w:t xml:space="preserve">  </w:t>
      </w:r>
      <w:r>
        <w:rPr>
          <w:rFonts w:ascii="Times New Roman" w:hAnsi="Times New Roman" w:cs="Times New Roman"/>
          <w:szCs w:val="32"/>
        </w:rPr>
        <w:t xml:space="preserve">  文件中未涉及补偿补助标准事宜按项目执行时的上级最新 标准执行。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MzJkNmI0NTE3NTQ0ZGZlOTBiYjczYTZiNGM2Y2UifQ=="/>
    <w:docVar w:name="KSO_WPS_MARK_KEY" w:val="e1e26854-9f3e-4fda-8b7f-a9ee399fba97"/>
  </w:docVars>
  <w:rsids>
    <w:rsidRoot w:val="5D9244E5"/>
    <w:rsid w:val="5D924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</w:pPr>
    <w:rPr>
      <w:rFonts w:ascii="仿宋_GB2312" w:hAnsi="仿宋_GB2312" w:eastAsia="仿宋_GB2312" w:cs="仿宋_GB2312"/>
      <w:kern w:val="2"/>
      <w:sz w:val="32"/>
      <w:szCs w:val="4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uiPriority w:val="0"/>
    <w:pPr>
      <w:widowControl w:val="0"/>
      <w:spacing w:after="120" w:afterLines="0" w:afterAutospacing="0" w:line="560" w:lineRule="exact"/>
    </w:pPr>
    <w:rPr>
      <w:rFonts w:ascii="仿宋_GB2312" w:hAnsi="仿宋_GB2312" w:eastAsia="仿宋_GB2312" w:cs="仿宋_GB2312"/>
      <w:kern w:val="2"/>
      <w:sz w:val="32"/>
      <w:szCs w:val="44"/>
      <w:lang w:val="en-US" w:eastAsia="zh-CN" w:bidi="ar-SA"/>
    </w:rPr>
  </w:style>
  <w:style w:type="paragraph" w:customStyle="1" w:styleId="5">
    <w:name w:val="目录 11"/>
    <w:next w:val="1"/>
    <w:qFormat/>
    <w:uiPriority w:val="0"/>
    <w:pPr>
      <w:widowControl w:val="0"/>
      <w:spacing w:line="560" w:lineRule="exact"/>
    </w:pPr>
    <w:rPr>
      <w:rFonts w:ascii="仿宋_GB2312" w:hAnsi="仿宋_GB2312" w:eastAsia="仿宋_GB2312" w:cs="仿宋_GB2312"/>
      <w:color w:val="FF0000"/>
      <w:kern w:val="2"/>
      <w:sz w:val="32"/>
      <w:szCs w:val="44"/>
      <w:lang w:val="en-US" w:eastAsia="zh-CN" w:bidi="ar-SA"/>
    </w:rPr>
  </w:style>
  <w:style w:type="paragraph" w:customStyle="1" w:styleId="6">
    <w:name w:val="Table Text"/>
    <w:semiHidden/>
    <w:qFormat/>
    <w:uiPriority w:val="0"/>
    <w:pPr>
      <w:widowControl/>
      <w:kinsoku w:val="0"/>
      <w:autoSpaceDE w:val="0"/>
      <w:autoSpaceDN w:val="0"/>
      <w:adjustRightInd w:val="0"/>
      <w:snapToGrid w:val="0"/>
      <w:spacing w:line="560" w:lineRule="exact"/>
      <w:jc w:val="left"/>
      <w:textAlignment w:val="baseline"/>
    </w:pPr>
    <w:rPr>
      <w:rFonts w:ascii="宋体" w:hAnsi="宋体" w:eastAsia="仿宋_GB2312" w:cs="宋体"/>
      <w:snapToGrid w:val="0"/>
      <w:color w:val="000000"/>
      <w:kern w:val="0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2024-04-22T08:23:00Z</dcterms:created>
  <dc:creator>SHARONL</dc:creator>
  <cp:lastModifiedBy>SHARONL</cp:lastModifiedBy>
  <dcterms:modified xsi:type="dcterms:W3CDTF">2024-04-22T08:23:22Z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18599129C76742B3AF5646952C22F174_11</vt:lpwstr>
  </property>
</Properties>
</file>