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等线" w:hAnsi="等线" w:eastAsia="等线" w:cs="等线"/>
          <w:kern w:val="2"/>
          <w:sz w:val="44"/>
          <w:szCs w:val="44"/>
        </w:rPr>
        <w:t>202</w:t>
      </w:r>
      <w:r>
        <w:rPr>
          <w:rFonts w:hint="eastAsia" w:cs="等线"/>
          <w:kern w:val="2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  <w:t>年部门整体支出绩效目标表</w:t>
      </w:r>
    </w:p>
    <w:p>
      <w:pPr>
        <w:spacing w:line="594" w:lineRule="exact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</w:p>
    <w:tbl>
      <w:tblPr>
        <w:tblStyle w:val="3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564"/>
        <w:gridCol w:w="1705"/>
        <w:gridCol w:w="2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部门名称</w:t>
            </w:r>
          </w:p>
        </w:tc>
        <w:tc>
          <w:tcPr>
            <w:tcW w:w="708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桃江县社会保险服务中心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年度预算申请</w:t>
            </w:r>
          </w:p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等线" w:hAnsi="等线" w:eastAsia="等线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资金总额：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354.83元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按收入性质分：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其中：一般公共预算：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354.83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其中：基本支出：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308.83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政府性基金拨款：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项目支出：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纳入专户管理的非税收入拨款：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其他资金：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部门职能</w:t>
            </w:r>
          </w:p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职责概述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1、贯彻执行上级基本养老保险等方面的方针政策，拟定经办管理办法、规划计划并组织实施。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2、负责全县基本养老保险的经办管理和服务；负责全县统筹外待遇的经办管理和给付；负责规定范围内被征地农民养老保险的经办工作。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3、负责拟定全县基本养老保险基金的收支计划，按照上级有关要求编制基金预决算，管理全县基本养老保险基金和统筹外代发资金。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4、负责职业年金、企业年金的归集、经办和领取待遇资格符合工作。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5、负责全县参保对象领取养老保险待遇资格的确认、待遇标准的核定和给付。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6、负责全县离退休人员的社会化管理服务，负责领取基本养老保险金资格的审核。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7、负责全县基本养老保险基金和经办业务的稽核工作。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8、负责全县基本养老保险业务统计和养老保险信息系统数据维护工作。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9、负责全县基本养老保险档案管理和社会化查询服务。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10、承办上级主管部门和县委、县政府交办的其他事项。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整体绩效目标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贯彻执行上级基本养老保险等方面的方针政策，做好全县基本养老保险的经办管理和服务；负责规定范围内被征地农民养老保险的经办工作；按月归集职业年金；按月发放养老保险待遇；对因未及时进行认证的人员下发乡镇进行核实；对虚报冒领养老金进行查处追缴等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" w:afterAutospacing="0" w:line="360" w:lineRule="exact"/>
              <w:ind w:left="0" w:right="0" w:firstLine="641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3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部门整体支出年度绩效指标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一级指标</w:t>
            </w:r>
          </w:p>
        </w:tc>
        <w:tc>
          <w:tcPr>
            <w:tcW w:w="4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（有效指标</w:t>
            </w:r>
            <w:r>
              <w:rPr>
                <w:rFonts w:hint="default" w:ascii="等线" w:hAnsi="宋体" w:eastAsia="宋体" w:cs="Times New Roman"/>
                <w:kern w:val="2"/>
                <w:sz w:val="24"/>
                <w:szCs w:val="24"/>
              </w:rPr>
              <w:t>≧</w:t>
            </w:r>
            <w:r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个，包括数量指标、质量指标、时效指标、成本指标）</w:t>
            </w:r>
          </w:p>
        </w:tc>
        <w:tc>
          <w:tcPr>
            <w:tcW w:w="4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数量指标：参保人数</w:t>
            </w:r>
            <w:r>
              <w:rPr>
                <w:rFonts w:hint="default" w:ascii="Arial" w:hAnsi="Arial" w:eastAsia="宋体" w:cs="Arial"/>
                <w:kern w:val="2"/>
                <w:sz w:val="24"/>
                <w:szCs w:val="24"/>
              </w:rPr>
              <w:t>≥</w:t>
            </w:r>
            <w:r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  <w:t>4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万人；</w:t>
            </w:r>
          </w:p>
          <w:p>
            <w:pPr>
              <w:spacing w:line="280" w:lineRule="exact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质量指标：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缴费人数</w:t>
            </w:r>
            <w:r>
              <w:rPr>
                <w:rFonts w:hint="default" w:ascii="Arial" w:hAnsi="Arial" w:eastAsia="宋体" w:cs="Arial"/>
                <w:kern w:val="2"/>
                <w:sz w:val="24"/>
                <w:szCs w:val="24"/>
              </w:rPr>
              <w:t>≥</w:t>
            </w:r>
            <w:r>
              <w:rPr>
                <w:rFonts w:hint="eastAsia" w:cs="等线"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万人</w:t>
            </w:r>
          </w:p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时效指标：养老待遇发放每月按时发放；缴费补助即时计入个人账户；职业年金按月上解。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203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（有效指标</w:t>
            </w:r>
            <w:r>
              <w:rPr>
                <w:rFonts w:hint="default" w:ascii="等线" w:hAnsi="宋体" w:eastAsia="宋体" w:cs="Times New Roman"/>
                <w:kern w:val="2"/>
                <w:sz w:val="24"/>
                <w:szCs w:val="24"/>
              </w:rPr>
              <w:t>≧</w:t>
            </w:r>
            <w:r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个，包括经济效益指标、社会效益指标、生态效益指标、可持续影响指标、社会公众或服务对象满意度）</w:t>
            </w:r>
          </w:p>
        </w:tc>
        <w:tc>
          <w:tcPr>
            <w:tcW w:w="451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经济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效益指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严格按上级文件精神进行退休人员工资调整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hint="default" w:ascii="等线" w:hAnsi="等线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社会公众或服务对象满意度</w:t>
            </w:r>
            <w:r>
              <w:rPr>
                <w:rFonts w:hint="default" w:ascii="Arial" w:hAnsi="Arial" w:eastAsia="宋体" w:cs="Arial"/>
                <w:kern w:val="2"/>
                <w:sz w:val="24"/>
                <w:szCs w:val="24"/>
              </w:rPr>
              <w:t>≥</w:t>
            </w:r>
            <w:r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  <w:t>90%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。</w:t>
            </w:r>
          </w:p>
        </w:tc>
      </w:tr>
    </w:tbl>
    <w:p>
      <w:pPr>
        <w:spacing w:before="0" w:beforeAutospacing="0" w:after="2" w:afterAutospacing="0"/>
        <w:ind w:left="0" w:firstLine="660"/>
        <w:rPr>
          <w:rFonts w:hint="default" w:ascii="等线" w:hAnsi="等线" w:eastAsia="等线" w:cs="Times New Roman"/>
          <w:color w:val="000000"/>
          <w:kern w:val="2"/>
          <w:sz w:val="21"/>
          <w:szCs w:val="21"/>
        </w:rPr>
      </w:pPr>
      <w:r>
        <w:rPr>
          <w:rFonts w:hint="default" w:ascii="等线" w:hAnsi="等线" w:eastAsia="等线" w:cs="Times New Roman"/>
          <w:color w:val="000000"/>
          <w:kern w:val="2"/>
          <w:sz w:val="21"/>
          <w:szCs w:val="21"/>
        </w:rPr>
        <w:t xml:space="preserve"> </w:t>
      </w: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 xml:space="preserve"> </w:t>
      </w: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年项目支出绩效目标表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10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375"/>
        <w:gridCol w:w="1817"/>
        <w:gridCol w:w="2032"/>
        <w:gridCol w:w="2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部门名称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社保基金管理稽核工作经费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预算部门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桃江县社会保险服务中心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年度本级</w:t>
            </w:r>
          </w:p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预算金额</w:t>
            </w:r>
            <w:r>
              <w:rPr>
                <w:rFonts w:hint="eastAsia" w:eastAsia="黑体"/>
                <w:sz w:val="24"/>
              </w:rPr>
              <w:t>（万元）</w:t>
            </w:r>
          </w:p>
        </w:tc>
        <w:tc>
          <w:tcPr>
            <w:tcW w:w="23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46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该项目支出上级资金</w:t>
            </w:r>
            <w:r>
              <w:rPr>
                <w:rFonts w:hint="eastAsia" w:eastAsia="黑体"/>
                <w:sz w:val="24"/>
              </w:rPr>
              <w:t>（万元）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中央资金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省级资金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市级资金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项目支出实施期</w:t>
            </w:r>
          </w:p>
        </w:tc>
        <w:tc>
          <w:tcPr>
            <w:tcW w:w="82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实施期绩效目标</w:t>
            </w:r>
          </w:p>
        </w:tc>
        <w:tc>
          <w:tcPr>
            <w:tcW w:w="8257" w:type="dxa"/>
            <w:gridSpan w:val="4"/>
            <w:noWrap w:val="0"/>
            <w:vAlign w:val="top"/>
          </w:tcPr>
          <w:p>
            <w:pPr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做好全县养老保险基金稽核管理工作，及时停止死亡人员待遇发放、重复参保人员待遇追缴、服刑人员待遇追缴等，保障基金安全。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本年度绩效目标</w:t>
            </w:r>
          </w:p>
        </w:tc>
        <w:tc>
          <w:tcPr>
            <w:tcW w:w="8257" w:type="dxa"/>
            <w:gridSpan w:val="4"/>
            <w:noWrap w:val="0"/>
            <w:vAlign w:val="top"/>
          </w:tcPr>
          <w:p>
            <w:r>
              <w:rPr>
                <w:rFonts w:hint="eastAsia"/>
                <w:lang w:eastAsia="zh-CN"/>
              </w:rPr>
              <w:t>做好全县养老保险基金稽核管理工作，及时停止死亡人员待遇发放、重复参保人员待遇追缴、服刑人员待遇追缴等，保障基金安全。</w:t>
            </w: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</w:t>
            </w: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数量指示：全年认证人数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≥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11.19万人</w:t>
            </w:r>
          </w:p>
          <w:p>
            <w:pPr>
              <w:spacing w:line="280" w:lineRule="exact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质量指标：全年虚报冒领人数小于发放人数的0.01%</w:t>
            </w:r>
          </w:p>
          <w:p>
            <w:pPr>
              <w:spacing w:line="280" w:lineRule="exact"/>
              <w:rPr>
                <w:rFonts w:hint="default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时效指标：虚报冒领资金及时进行追缴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社会效益指标：保障养老金及时足额准确发放</w:t>
            </w:r>
          </w:p>
          <w:p>
            <w:pPr>
              <w:spacing w:line="28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服务对象满意度指标：社会公众满意度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≥</w:t>
            </w:r>
            <w:r>
              <w:rPr>
                <w:rFonts w:hint="eastAsia" w:eastAsia="宋体"/>
                <w:sz w:val="24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2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spacing w:before="0" w:beforeAutospacing="0" w:after="2" w:afterAutospacing="0"/>
        <w:ind w:left="0" w:firstLine="660"/>
        <w:rPr>
          <w:rStyle w:val="6"/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647898D-67DE-49FA-AB97-56A1801953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533370D-5EF1-443F-8475-835C5B8C2C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310295C4-8321-4DA2-A95B-25C2BE9696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FD592EA-0BA1-4AAA-B1A8-DAFABD09753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5" w:fontKey="{CEA72C58-9B37-48BE-BF37-232DB84ECC2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70E4618A-4CD9-4DE2-925B-0DD451B2A4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TkyZWZjNjM4ZjI0Nzc0ZDc5YTc4MjE5OWIxN2EifQ=="/>
  </w:docVars>
  <w:rsids>
    <w:rsidRoot w:val="462314CB"/>
    <w:rsid w:val="1FCB4AEA"/>
    <w:rsid w:val="26AB75C6"/>
    <w:rsid w:val="341E2E42"/>
    <w:rsid w:val="45A3190B"/>
    <w:rsid w:val="462314CB"/>
    <w:rsid w:val="650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普通(网站) Char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17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2293</Words>
  <Characters>2406</Characters>
  <Lines>0</Lines>
  <Paragraphs>0</Paragraphs>
  <TotalTime>8</TotalTime>
  <ScaleCrop>false</ScaleCrop>
  <LinksUpToDate>false</LinksUpToDate>
  <CharactersWithSpaces>2424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2022-08-22T08:28:00Z</dcterms:created>
  <dc:creator>y</dc:creator>
  <cp:lastModifiedBy>y</cp:lastModifiedBy>
  <dcterms:modified xsi:type="dcterms:W3CDTF">2024-01-31T00:58:11Z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4FBA330EE3F44843B7D6FB89B2B0DA39_13</vt:lpwstr>
  </property>
</Properties>
</file>