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theme="majorEastAsia"/>
          <w:b/>
          <w:bCs/>
          <w:sz w:val="32"/>
          <w:szCs w:val="32"/>
        </w:rPr>
      </w:pPr>
      <w:r>
        <w:rPr>
          <w:rFonts w:hint="eastAsia" w:ascii="仿宋" w:hAnsi="仿宋" w:eastAsia="仿宋" w:cstheme="majorEastAsia"/>
          <w:b/>
          <w:bCs/>
          <w:sz w:val="32"/>
          <w:szCs w:val="32"/>
        </w:rPr>
        <w:t>2021年卫生监督管理项目绩效自评报告</w:t>
      </w:r>
    </w:p>
    <w:p>
      <w:pPr>
        <w:spacing w:line="48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一、项目概况 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项目内容：包括公共场所卫生监督、医疗机构卫生监督、学校卫生监督管理、卫生监督信息化（行政执法终端）、执法普法宣传。</w:t>
      </w:r>
    </w:p>
    <w:p>
      <w:pPr>
        <w:spacing w:line="48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二、绩效目标完成情况分析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_GB2312"/>
          <w:spacing w:val="6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医疗机构卫生监督管理。</w:t>
      </w:r>
      <w:r>
        <w:rPr>
          <w:rFonts w:hint="eastAsia" w:ascii="仿宋" w:hAnsi="仿宋" w:eastAsia="仿宋" w:cs="仿宋_GB2312"/>
          <w:sz w:val="32"/>
          <w:szCs w:val="32"/>
        </w:rPr>
        <w:t>开展了桃江县新冠疫苗接种点、医疗机构“两废”处置、打击非法医疗美容服务、非法应用人类辅助生殖技术、打击非法行医专项整治等工作共</w:t>
      </w:r>
      <w:r>
        <w:rPr>
          <w:rFonts w:hint="eastAsia" w:ascii="仿宋" w:hAnsi="仿宋" w:eastAsia="仿宋" w:cs="仿宋_GB2312"/>
          <w:spacing w:val="6"/>
          <w:sz w:val="32"/>
          <w:szCs w:val="32"/>
        </w:rPr>
        <w:t>检查医疗机构511家，查处非法案件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无证行医14起，医疗卫生13起。</w:t>
      </w:r>
    </w:p>
    <w:p>
      <w:pPr>
        <w:spacing w:line="480" w:lineRule="exact"/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二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学校传染病监督管理。</w:t>
      </w:r>
      <w:r>
        <w:rPr>
          <w:rFonts w:hint="eastAsia" w:ascii="仿宋" w:hAnsi="仿宋" w:eastAsia="仿宋" w:cs="仿宋_GB2312"/>
          <w:bCs/>
          <w:sz w:val="32"/>
          <w:szCs w:val="32"/>
        </w:rPr>
        <w:t>2021年两次</w:t>
      </w:r>
      <w:r>
        <w:rPr>
          <w:rFonts w:hint="eastAsia" w:ascii="仿宋" w:hAnsi="仿宋" w:eastAsia="仿宋" w:cs="仿宋_GB2312"/>
          <w:sz w:val="32"/>
          <w:szCs w:val="32"/>
        </w:rPr>
        <w:t>对全县321所中小学校及公办（民办）幼儿园传染病防治和饮用水进行了监督检查。丰水、枯水两季对全县</w:t>
      </w:r>
      <w:bookmarkStart w:id="0" w:name="_GoBack"/>
      <w:r>
        <w:rPr>
          <w:rFonts w:hint="eastAsia" w:ascii="仿宋" w:hAnsi="仿宋" w:eastAsia="仿宋" w:cs="仿宋_GB2312"/>
          <w:sz w:val="32"/>
          <w:szCs w:val="32"/>
        </w:rPr>
        <w:t>135家</w:t>
      </w:r>
      <w:bookmarkEnd w:id="0"/>
      <w:r>
        <w:rPr>
          <w:rFonts w:hint="eastAsia" w:ascii="仿宋" w:hAnsi="仿宋" w:eastAsia="仿宋" w:cs="仿宋_GB2312"/>
          <w:sz w:val="32"/>
          <w:szCs w:val="32"/>
        </w:rPr>
        <w:t>农村安全饮水工程进行了两次卫生监督检查，查处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学校卫生（饮用水）案件23起。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三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公共场所卫生监督管理。</w:t>
      </w:r>
      <w:r>
        <w:rPr>
          <w:rFonts w:hint="eastAsia" w:ascii="仿宋" w:hAnsi="仿宋" w:eastAsia="仿宋" w:cs="仿宋_GB2312"/>
          <w:bCs/>
          <w:sz w:val="32"/>
          <w:szCs w:val="32"/>
        </w:rPr>
        <w:t>以创建国家文明、卫生县城为契机，</w:t>
      </w:r>
      <w:r>
        <w:rPr>
          <w:rFonts w:hint="eastAsia" w:ascii="仿宋" w:hAnsi="仿宋" w:eastAsia="仿宋" w:cs="仿宋_GB2312"/>
          <w:sz w:val="32"/>
          <w:szCs w:val="32"/>
        </w:rPr>
        <w:t>共建档案公共场所438户，开展了住宿场所和游泳场所、二次供水和集中空调系统的专项检查，</w:t>
      </w:r>
      <w:r>
        <w:rPr>
          <w:rFonts w:hint="eastAsia" w:ascii="仿宋" w:hAnsi="仿宋" w:eastAsia="仿宋" w:cs="仿宋_GB2312"/>
          <w:bCs/>
          <w:sz w:val="32"/>
          <w:szCs w:val="32"/>
        </w:rPr>
        <w:t>监督检查</w:t>
      </w:r>
      <w:r>
        <w:rPr>
          <w:rFonts w:hint="eastAsia" w:ascii="仿宋" w:hAnsi="仿宋" w:eastAsia="仿宋" w:cs="仿宋_GB2312"/>
          <w:sz w:val="32"/>
          <w:szCs w:val="32"/>
        </w:rPr>
        <w:t>2000多户次，对检查中发现的问题提出了整改意见，对120个承诺制办证公共场所开展了事中事后监督完善了许可资料。查处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公共场所卫生违法案件39起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（四）卫生监督信息化建设。落实省、市行政执法三项制度要求，强化行政执法全过程记录与信息上传。添置卫生监督执法终端25台。卫生监督信息化建设逐步完善。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（五）卫生法律法规的宣传。开展卫生监督协管员培训2次，开展宪法宣传日、饮用水宣传周等集中宣传5次，印刷谁执法谁普法宣传资料2万余册。</w:t>
      </w:r>
    </w:p>
    <w:p>
      <w:pPr>
        <w:spacing w:line="48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三、项目绩效情况分析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卫生监督管理，我县学校、公共场所、医疗机构公共卫生突发事件零发生，各项卫生监督工作均按质按量完成，我县医疗机构、公共场所、学校等行业卫生行为得到有效规范，卫生监督执法能力得到有效提升，确保了人民群众的身心健康和财产安全，履行了执法为民、护卫健康的职责。</w:t>
      </w:r>
    </w:p>
    <w:p>
      <w:pPr>
        <w:spacing w:line="48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四、存在的困难和建议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1、存在的困难。一是单位人员相对紧张，业务能力有待提高，特别是对大案要案的查处方面需进一步加强学习。二是项目内容涵盖广泛，监督对象多，国家中央下达的资金量相对较少，资金缺口大。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2、建议。进一步加强国家中央资金的下拨力度，确保资金相对能得到保障。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2U3ZjAwY2ZiMjc2NDU2NDE2OTMxYTlkZmVkMzkifQ=="/>
  </w:docVars>
  <w:rsids>
    <w:rsidRoot w:val="0019344E"/>
    <w:rsid w:val="000611E8"/>
    <w:rsid w:val="0019344E"/>
    <w:rsid w:val="00302632"/>
    <w:rsid w:val="0042658E"/>
    <w:rsid w:val="00557142"/>
    <w:rsid w:val="005D0701"/>
    <w:rsid w:val="00D83BB4"/>
    <w:rsid w:val="00F1507D"/>
    <w:rsid w:val="02255B97"/>
    <w:rsid w:val="02E9396F"/>
    <w:rsid w:val="09F44780"/>
    <w:rsid w:val="0A645E71"/>
    <w:rsid w:val="0D411E75"/>
    <w:rsid w:val="0DAE6BEE"/>
    <w:rsid w:val="1534545A"/>
    <w:rsid w:val="1631582C"/>
    <w:rsid w:val="19451BFC"/>
    <w:rsid w:val="1B867102"/>
    <w:rsid w:val="1C18030A"/>
    <w:rsid w:val="23D11605"/>
    <w:rsid w:val="26DA14E3"/>
    <w:rsid w:val="279A5B82"/>
    <w:rsid w:val="28203E8B"/>
    <w:rsid w:val="2BE903C9"/>
    <w:rsid w:val="2D453F24"/>
    <w:rsid w:val="2E675C72"/>
    <w:rsid w:val="2EF14B2A"/>
    <w:rsid w:val="319E4C27"/>
    <w:rsid w:val="347A096E"/>
    <w:rsid w:val="43D952D5"/>
    <w:rsid w:val="459F48D3"/>
    <w:rsid w:val="48C94E63"/>
    <w:rsid w:val="515418B5"/>
    <w:rsid w:val="5F194366"/>
    <w:rsid w:val="62A26802"/>
    <w:rsid w:val="6C2846BB"/>
    <w:rsid w:val="6F4F29AC"/>
    <w:rsid w:val="7422127A"/>
    <w:rsid w:val="7A6767BF"/>
    <w:rsid w:val="7E08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774</Characters>
  <Lines>6</Lines>
  <Paragraphs>1</Paragraphs>
  <TotalTime>7</TotalTime>
  <ScaleCrop>false</ScaleCrop>
  <LinksUpToDate>false</LinksUpToDate>
  <CharactersWithSpaces>908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辉辉</cp:lastModifiedBy>
  <dcterms:modified xsi:type="dcterms:W3CDTF">2023-08-16T10:54:12Z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0EDAB99BD46B4ABCA6D83A15EBFAE391_13</vt:lpwstr>
  </property>
</Properties>
</file>