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auto"/>
          <w:kern w:val="0"/>
          <w:sz w:val="46"/>
          <w:szCs w:val="46"/>
        </w:rPr>
      </w:pPr>
      <w:bookmarkStart w:id="0" w:name="_GoBack"/>
      <w:bookmarkEnd w:id="0"/>
      <w:r>
        <w:rPr>
          <w:rFonts w:hint="eastAsia" w:ascii="微软雅黑" w:hAnsi="微软雅黑" w:eastAsia="微软雅黑" w:cs="宋体"/>
          <w:color w:val="auto"/>
          <w:kern w:val="0"/>
          <w:sz w:val="46"/>
          <w:szCs w:val="46"/>
        </w:rPr>
        <w:t>桃花江国家森林公园管理处20</w:t>
      </w:r>
      <w:r>
        <w:rPr>
          <w:rFonts w:hint="eastAsia" w:ascii="微软雅黑" w:hAnsi="微软雅黑" w:eastAsia="微软雅黑" w:cs="宋体"/>
          <w:color w:val="auto"/>
          <w:kern w:val="0"/>
          <w:sz w:val="46"/>
          <w:szCs w:val="46"/>
          <w:lang w:val="en-US" w:eastAsia="zh-CN"/>
        </w:rPr>
        <w:t>21</w:t>
      </w:r>
      <w:r>
        <w:rPr>
          <w:rFonts w:hint="eastAsia" w:ascii="微软雅黑" w:hAnsi="微软雅黑" w:eastAsia="微软雅黑" w:cs="宋体"/>
          <w:color w:val="auto"/>
          <w:kern w:val="0"/>
          <w:sz w:val="46"/>
          <w:szCs w:val="46"/>
        </w:rPr>
        <w:t>年度部门整体支出绩效评价报告</w:t>
      </w:r>
    </w:p>
    <w:p>
      <w:pPr>
        <w:widowControl/>
        <w:shd w:val="clear" w:color="auto" w:fill="FFFFFF"/>
        <w:spacing w:line="554" w:lineRule="atLeast"/>
        <w:jc w:val="left"/>
        <w:rPr>
          <w:rFonts w:hint="eastAsia" w:ascii="微软雅黑" w:hAnsi="微软雅黑" w:eastAsia="微软雅黑" w:cs="宋体"/>
          <w:color w:val="333333"/>
          <w:kern w:val="0"/>
          <w:sz w:val="30"/>
          <w:szCs w:val="30"/>
        </w:rPr>
      </w:pPr>
      <w:r>
        <w:rPr>
          <w:rFonts w:ascii="Times New Roman" w:hAnsi="Times New Roman" w:eastAsia="微软雅黑"/>
          <w:color w:val="333333"/>
          <w:kern w:val="0"/>
          <w:sz w:val="32"/>
          <w:szCs w:val="32"/>
        </w:rPr>
        <w:t>        </w:t>
      </w:r>
      <w:r>
        <w:rPr>
          <w:rFonts w:hint="eastAsia" w:ascii="仿宋" w:hAnsi="仿宋" w:eastAsia="仿宋" w:cs="宋体"/>
          <w:color w:val="333333"/>
          <w:kern w:val="0"/>
          <w:sz w:val="32"/>
          <w:szCs w:val="32"/>
        </w:rPr>
        <w:t>根据《湖南省人民政府关于全面推进预算绩效管理的意见》(湘政发[2012]33号)等有关绩效评价的相关规定，本着独立、客观、公正、科学的原则，我处对20</w:t>
      </w:r>
      <w:r>
        <w:rPr>
          <w:rFonts w:hint="eastAsia" w:ascii="仿宋" w:hAnsi="仿宋" w:eastAsia="仿宋" w:cs="宋体"/>
          <w:color w:val="333333"/>
          <w:kern w:val="0"/>
          <w:sz w:val="32"/>
          <w:szCs w:val="32"/>
          <w:lang w:val="en-US" w:eastAsia="zh-CN"/>
        </w:rPr>
        <w:t>21</w:t>
      </w:r>
      <w:r>
        <w:rPr>
          <w:rFonts w:hint="eastAsia" w:ascii="仿宋" w:hAnsi="仿宋" w:eastAsia="仿宋" w:cs="宋体"/>
          <w:color w:val="333333"/>
          <w:kern w:val="0"/>
          <w:sz w:val="32"/>
          <w:szCs w:val="32"/>
        </w:rPr>
        <w:t>年部门整体支出进行了绩效自评，现将绩效自评情况及自评结果报告如下：</w:t>
      </w:r>
    </w:p>
    <w:p>
      <w:pPr>
        <w:widowControl/>
        <w:shd w:val="clear" w:color="auto" w:fill="FFFFFF"/>
        <w:spacing w:line="554" w:lineRule="atLeast"/>
        <w:jc w:val="left"/>
        <w:rPr>
          <w:rFonts w:hint="eastAsia" w:ascii="微软雅黑" w:hAnsi="微软雅黑" w:eastAsia="微软雅黑" w:cs="宋体"/>
          <w:color w:val="333333"/>
          <w:kern w:val="0"/>
          <w:sz w:val="30"/>
          <w:szCs w:val="30"/>
        </w:rPr>
      </w:pPr>
      <w:r>
        <w:rPr>
          <w:rFonts w:hint="eastAsia" w:ascii="宋体" w:hAnsi="宋体" w:cs="宋体"/>
          <w:color w:val="333333"/>
          <w:kern w:val="0"/>
          <w:sz w:val="32"/>
          <w:szCs w:val="32"/>
        </w:rPr>
        <w:t>  </w:t>
      </w:r>
      <w:r>
        <w:rPr>
          <w:rFonts w:hint="eastAsia" w:ascii="仿宋" w:hAnsi="仿宋" w:eastAsia="仿宋" w:cs="宋体"/>
          <w:b/>
          <w:bCs/>
          <w:color w:val="333333"/>
          <w:kern w:val="0"/>
          <w:sz w:val="32"/>
          <w:szCs w:val="32"/>
        </w:rPr>
        <w:t>一、部门概况</w:t>
      </w:r>
    </w:p>
    <w:p>
      <w:pPr>
        <w:widowControl/>
        <w:shd w:val="clear" w:color="auto" w:fill="FFFFFF"/>
        <w:spacing w:line="554" w:lineRule="atLeast"/>
        <w:ind w:firstLine="58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（一）部门基本情况</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（1）机构设置。</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湖南桃花江国家森林公园于经国家林业局批准设立，由桃花湖、浮邱山、桃花江竹海三个景区组成，总面积3153.05公顷。2009年2月，市编委（益编办发[2009]13号）批准我县设立正科级森林公园管理机构；2011年，湘编办</w:t>
      </w:r>
      <w:r>
        <w:rPr>
          <w:rFonts w:hint="eastAsia" w:ascii="仿宋" w:hAnsi="仿宋" w:eastAsia="仿宋" w:cs="宋体"/>
          <w:color w:val="000000"/>
          <w:kern w:val="0"/>
          <w:sz w:val="32"/>
          <w:szCs w:val="32"/>
        </w:rPr>
        <w:t>〔</w:t>
      </w:r>
      <w:r>
        <w:rPr>
          <w:rFonts w:hint="eastAsia" w:ascii="仿宋" w:hAnsi="仿宋" w:eastAsia="仿宋" w:cs="宋体"/>
          <w:color w:val="333333"/>
          <w:kern w:val="0"/>
          <w:sz w:val="32"/>
          <w:szCs w:val="32"/>
        </w:rPr>
        <w:t>2011</w:t>
      </w:r>
      <w:r>
        <w:rPr>
          <w:rFonts w:hint="eastAsia" w:ascii="仿宋" w:hAnsi="仿宋" w:eastAsia="仿宋" w:cs="宋体"/>
          <w:color w:val="000000"/>
          <w:kern w:val="0"/>
          <w:sz w:val="32"/>
          <w:szCs w:val="32"/>
        </w:rPr>
        <w:t>〕</w:t>
      </w:r>
      <w:r>
        <w:rPr>
          <w:rFonts w:hint="eastAsia" w:ascii="仿宋" w:hAnsi="仿宋" w:eastAsia="仿宋" w:cs="宋体"/>
          <w:color w:val="333333"/>
          <w:kern w:val="0"/>
          <w:sz w:val="32"/>
          <w:szCs w:val="32"/>
        </w:rPr>
        <w:t>17号文件明确管理处升格为副处级事业单位。</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机关2017年底有干职工12人，内设办公室、建设管理科、市场营销科三个副科级和资源保护科（正股级）四个科室，下设竹海、桃花湖、浮邱山三个副科级景区管理所。2017年4月，县政府重新明确了管理处"三定"方案、职责职能和人员机构设置，并明确桃花江、浮邱山、石井头三个国有林场和县林科所由县林业局管理划归森林公园管理处管理。</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w:t>
      </w:r>
      <w:r>
        <w:rPr>
          <w:rFonts w:hint="eastAsia" w:ascii="仿宋" w:hAnsi="仿宋" w:eastAsia="仿宋" w:cs="宋体"/>
          <w:b/>
          <w:bCs/>
          <w:color w:val="333333"/>
          <w:kern w:val="0"/>
          <w:sz w:val="32"/>
          <w:szCs w:val="32"/>
        </w:rPr>
        <w:t>2）主要职能（2017年5月桃政办发[2017]23号确定）。</w:t>
      </w:r>
    </w:p>
    <w:p>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宣传贯彻执行国家关于森林公园规划、建设、经营和管理的法律法规和方针政策。结合实际制定公园中长期发展规划、年度发展计划和公园建设、经营、管理办法，并组织实施。</w:t>
      </w:r>
    </w:p>
    <w:p>
      <w:pPr>
        <w:widowControl/>
        <w:shd w:val="clear" w:color="auto" w:fill="FFFFFF"/>
        <w:spacing w:line="554" w:lineRule="atLeast"/>
        <w:ind w:firstLine="50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rPr>
        <w:t>负责公园森林及其他风景资源的保护。做好森林及其他风景资源和生物多样性的监测、保护、培育和管理工作；做好植树造林、森林防火、森林病虫害防治、林木林地和野生动植物资源保护及古树名木、古园林建筑、历史遗迹的建档保护等工作。</w:t>
      </w:r>
    </w:p>
    <w:p>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负责公园森林和其他旅游资源的合理开发利用。建立并管理经营公司，做好旅游景区开发建设和经营管理。对园内参与建设和经营的其他单位和个人进行管理和监督。</w:t>
      </w:r>
    </w:p>
    <w:p>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负责公园旅游秩序、安全、环保及卫生的管理。做好旅游秩序、安全、环保及卫生维护的宣传、相关基础设施和标志的设置、维护管理等工作。</w:t>
      </w:r>
    </w:p>
    <w:p>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受委托负责公园管理的相关行政执法。做好公园内违反森林公园管理法律法规行为的行政处罚和相关案件查处有关工作。</w:t>
      </w:r>
    </w:p>
    <w:p>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完成县委、政府和上级业务主管部门交办的其他工作。</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（二）部门整体支出情况</w:t>
      </w:r>
    </w:p>
    <w:p>
      <w:pPr>
        <w:widowControl/>
        <w:numPr>
          <w:ilvl w:val="0"/>
          <w:numId w:val="0"/>
        </w:numPr>
        <w:shd w:val="clear" w:color="auto" w:fill="FFFFFF"/>
        <w:spacing w:line="554" w:lineRule="atLeast"/>
        <w:ind w:firstLine="643" w:firstLineChars="200"/>
        <w:jc w:val="left"/>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（1）基本支出绩效情况</w:t>
      </w:r>
    </w:p>
    <w:p>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基本支出用于为保障机构正常运转、完成日常工作任务而发生的支出，包括人员经费和日常公用经费。</w:t>
      </w:r>
    </w:p>
    <w:p>
      <w:pPr>
        <w:widowControl/>
        <w:shd w:val="clear" w:color="auto" w:fill="FFFFFF"/>
        <w:spacing w:line="554" w:lineRule="atLeast"/>
        <w:ind w:firstLine="640"/>
        <w:jc w:val="left"/>
        <w:rPr>
          <w:rFonts w:hint="eastAsia" w:ascii="仿宋" w:hAnsi="仿宋" w:eastAsia="仿宋" w:cs="宋体"/>
          <w:b/>
          <w:bCs/>
          <w:color w:val="333333"/>
          <w:kern w:val="0"/>
          <w:sz w:val="32"/>
          <w:szCs w:val="32"/>
          <w:u w:val="none"/>
        </w:rPr>
      </w:pPr>
      <w:r>
        <w:rPr>
          <w:rFonts w:hint="eastAsia" w:ascii="仿宋" w:hAnsi="仿宋" w:eastAsia="仿宋" w:cs="宋体"/>
          <w:color w:val="333333"/>
          <w:kern w:val="0"/>
          <w:sz w:val="32"/>
          <w:szCs w:val="32"/>
          <w:u w:val="none"/>
        </w:rPr>
        <w:t>202</w:t>
      </w:r>
      <w:r>
        <w:rPr>
          <w:rFonts w:hint="eastAsia" w:ascii="仿宋" w:hAnsi="仿宋" w:eastAsia="仿宋" w:cs="宋体"/>
          <w:color w:val="333333"/>
          <w:kern w:val="0"/>
          <w:sz w:val="32"/>
          <w:szCs w:val="32"/>
          <w:u w:val="none"/>
          <w:lang w:val="en-US" w:eastAsia="zh-CN"/>
        </w:rPr>
        <w:t>1</w:t>
      </w:r>
      <w:r>
        <w:rPr>
          <w:rFonts w:hint="eastAsia" w:ascii="仿宋" w:hAnsi="仿宋" w:eastAsia="仿宋" w:cs="宋体"/>
          <w:color w:val="333333"/>
          <w:kern w:val="0"/>
          <w:sz w:val="32"/>
          <w:szCs w:val="32"/>
          <w:u w:val="none"/>
        </w:rPr>
        <w:t>年，县财政批复的桃江县桃花江</w:t>
      </w:r>
      <w:r>
        <w:rPr>
          <w:rFonts w:hint="eastAsia" w:ascii="仿宋" w:hAnsi="仿宋" w:eastAsia="仿宋" w:cs="宋体"/>
          <w:color w:val="333333"/>
          <w:kern w:val="0"/>
          <w:sz w:val="32"/>
          <w:szCs w:val="32"/>
          <w:u w:val="none"/>
          <w:lang w:val="en-US" w:eastAsia="zh-CN"/>
        </w:rPr>
        <w:t>国家森林公园管理处</w:t>
      </w:r>
      <w:r>
        <w:rPr>
          <w:rFonts w:hint="eastAsia" w:ascii="仿宋" w:hAnsi="仿宋" w:eastAsia="仿宋" w:cs="宋体"/>
          <w:color w:val="333333"/>
          <w:kern w:val="0"/>
          <w:sz w:val="32"/>
          <w:szCs w:val="32"/>
          <w:u w:val="none"/>
        </w:rPr>
        <w:t>基本支出年初预算1492.21万元。按经济科目划分，各项支出决算金额分别为：工资福利支出</w:t>
      </w:r>
      <w:r>
        <w:rPr>
          <w:rFonts w:hint="eastAsia" w:ascii="仿宋" w:hAnsi="仿宋" w:eastAsia="仿宋" w:cs="宋体"/>
          <w:color w:val="333333"/>
          <w:kern w:val="0"/>
          <w:sz w:val="32"/>
          <w:szCs w:val="32"/>
          <w:u w:val="none"/>
          <w:lang w:val="en-US" w:eastAsia="zh-CN"/>
        </w:rPr>
        <w:t>1,416.74</w:t>
      </w:r>
      <w:r>
        <w:rPr>
          <w:rFonts w:hint="eastAsia" w:ascii="仿宋" w:hAnsi="仿宋" w:eastAsia="仿宋" w:cs="宋体"/>
          <w:color w:val="333333"/>
          <w:kern w:val="0"/>
          <w:sz w:val="32"/>
          <w:szCs w:val="32"/>
          <w:u w:val="none"/>
        </w:rPr>
        <w:t>万元；商品和服务支出</w:t>
      </w:r>
      <w:r>
        <w:rPr>
          <w:rFonts w:hint="eastAsia" w:ascii="仿宋" w:hAnsi="仿宋" w:eastAsia="仿宋" w:cs="宋体"/>
          <w:color w:val="333333"/>
          <w:kern w:val="0"/>
          <w:sz w:val="32"/>
          <w:szCs w:val="32"/>
          <w:u w:val="none"/>
          <w:lang w:val="en-US" w:eastAsia="zh-CN"/>
        </w:rPr>
        <w:t>126.48</w:t>
      </w:r>
      <w:r>
        <w:rPr>
          <w:rFonts w:hint="eastAsia" w:ascii="仿宋" w:hAnsi="仿宋" w:eastAsia="仿宋" w:cs="宋体"/>
          <w:color w:val="333333"/>
          <w:kern w:val="0"/>
          <w:sz w:val="32"/>
          <w:szCs w:val="32"/>
          <w:u w:val="none"/>
        </w:rPr>
        <w:t>万元；对个人和家庭的补助</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万元，其他资本性支出</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万元，基本支出合计为</w:t>
      </w:r>
      <w:r>
        <w:rPr>
          <w:rFonts w:hint="eastAsia" w:ascii="仿宋" w:hAnsi="仿宋" w:eastAsia="仿宋" w:cs="宋体"/>
          <w:color w:val="333333"/>
          <w:kern w:val="0"/>
          <w:sz w:val="32"/>
          <w:szCs w:val="32"/>
          <w:u w:val="none"/>
          <w:lang w:val="en-US" w:eastAsia="zh-CN"/>
        </w:rPr>
        <w:t>1543.22</w:t>
      </w:r>
      <w:r>
        <w:rPr>
          <w:rFonts w:hint="eastAsia" w:ascii="仿宋" w:hAnsi="仿宋" w:eastAsia="仿宋" w:cs="宋体"/>
          <w:color w:val="333333"/>
          <w:kern w:val="0"/>
          <w:sz w:val="32"/>
          <w:szCs w:val="32"/>
          <w:u w:val="none"/>
        </w:rPr>
        <w:t>万元。</w:t>
      </w:r>
    </w:p>
    <w:p>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2</w:t>
      </w:r>
      <w:r>
        <w:rPr>
          <w:rFonts w:hint="eastAsia" w:ascii="仿宋" w:hAnsi="仿宋" w:eastAsia="仿宋" w:cs="宋体"/>
          <w:b/>
          <w:bCs/>
          <w:color w:val="333333"/>
          <w:kern w:val="0"/>
          <w:sz w:val="32"/>
          <w:szCs w:val="32"/>
        </w:rPr>
        <w:t>）</w:t>
      </w:r>
      <w:r>
        <w:rPr>
          <w:rFonts w:hint="eastAsia" w:ascii="仿宋" w:hAnsi="仿宋" w:eastAsia="仿宋" w:cs="宋体"/>
          <w:b/>
          <w:bCs/>
          <w:color w:val="414141"/>
          <w:kern w:val="0"/>
          <w:sz w:val="32"/>
          <w:szCs w:val="32"/>
        </w:rPr>
        <w:t>项目支出绩效情况</w:t>
      </w:r>
    </w:p>
    <w:p>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项目支出是在基本支出之外为完成其特定的行政工作任务而发生的支出，主要用于</w:t>
      </w:r>
      <w:r>
        <w:rPr>
          <w:rFonts w:hint="eastAsia" w:ascii="仿宋" w:hAnsi="仿宋" w:eastAsia="仿宋" w:cs="宋体"/>
          <w:color w:val="333333"/>
          <w:kern w:val="0"/>
          <w:sz w:val="32"/>
          <w:szCs w:val="32"/>
          <w:lang w:val="en-US" w:eastAsia="zh-CN"/>
        </w:rPr>
        <w:t>景区</w:t>
      </w:r>
      <w:r>
        <w:rPr>
          <w:rFonts w:hint="eastAsia" w:ascii="仿宋" w:hAnsi="仿宋" w:eastAsia="仿宋" w:cs="宋体"/>
          <w:color w:val="333333"/>
          <w:kern w:val="0"/>
          <w:sz w:val="32"/>
          <w:szCs w:val="32"/>
          <w:u w:val="none"/>
        </w:rPr>
        <w:t>管理</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安全生产</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护林</w:t>
      </w:r>
      <w:r>
        <w:rPr>
          <w:rFonts w:hint="eastAsia" w:ascii="仿宋" w:hAnsi="仿宋" w:eastAsia="仿宋" w:cs="宋体"/>
          <w:color w:val="333333"/>
          <w:kern w:val="0"/>
          <w:sz w:val="32"/>
          <w:szCs w:val="32"/>
        </w:rPr>
        <w:t>和</w:t>
      </w:r>
      <w:r>
        <w:rPr>
          <w:rFonts w:hint="eastAsia" w:ascii="仿宋" w:hAnsi="仿宋" w:eastAsia="仿宋" w:cs="宋体"/>
          <w:color w:val="333333"/>
          <w:kern w:val="0"/>
          <w:sz w:val="32"/>
          <w:szCs w:val="32"/>
          <w:lang w:val="en-US" w:eastAsia="zh-CN"/>
        </w:rPr>
        <w:t>森林防火</w:t>
      </w:r>
      <w:r>
        <w:rPr>
          <w:rFonts w:hint="eastAsia" w:ascii="仿宋" w:hAnsi="仿宋" w:eastAsia="仿宋" w:cs="宋体"/>
          <w:color w:val="333333"/>
          <w:kern w:val="0"/>
          <w:sz w:val="32"/>
          <w:szCs w:val="32"/>
        </w:rPr>
        <w:t>支出专项等。</w:t>
      </w:r>
    </w:p>
    <w:p>
      <w:pPr>
        <w:widowControl/>
        <w:shd w:val="clear" w:color="auto" w:fill="FFFFFF"/>
        <w:spacing w:line="554" w:lineRule="atLeast"/>
        <w:ind w:firstLine="640"/>
        <w:jc w:val="left"/>
        <w:rPr>
          <w:rFonts w:hint="eastAsia" w:ascii="仿宋" w:hAnsi="仿宋" w:eastAsia="仿宋" w:cs="宋体"/>
          <w:color w:val="333333"/>
          <w:kern w:val="0"/>
          <w:sz w:val="32"/>
          <w:szCs w:val="32"/>
          <w:u w:val="none"/>
          <w:lang w:eastAsia="zh-CN"/>
        </w:rPr>
      </w:pPr>
      <w:r>
        <w:rPr>
          <w:rFonts w:hint="eastAsia" w:ascii="仿宋" w:hAnsi="仿宋" w:eastAsia="仿宋" w:cs="宋体"/>
          <w:color w:val="333333"/>
          <w:kern w:val="0"/>
          <w:sz w:val="32"/>
          <w:szCs w:val="32"/>
          <w:u w:val="none"/>
        </w:rPr>
        <w:t>202</w:t>
      </w:r>
      <w:r>
        <w:rPr>
          <w:rFonts w:hint="eastAsia" w:ascii="仿宋" w:hAnsi="仿宋" w:eastAsia="仿宋" w:cs="宋体"/>
          <w:color w:val="333333"/>
          <w:kern w:val="0"/>
          <w:sz w:val="32"/>
          <w:szCs w:val="32"/>
          <w:u w:val="none"/>
          <w:lang w:val="en-US" w:eastAsia="zh-CN"/>
        </w:rPr>
        <w:t>1</w:t>
      </w:r>
      <w:r>
        <w:rPr>
          <w:rFonts w:hint="eastAsia" w:ascii="仿宋" w:hAnsi="仿宋" w:eastAsia="仿宋" w:cs="宋体"/>
          <w:color w:val="333333"/>
          <w:kern w:val="0"/>
          <w:sz w:val="32"/>
          <w:szCs w:val="32"/>
          <w:u w:val="none"/>
        </w:rPr>
        <w:t>年，县财政批复的桃江县桃花江</w:t>
      </w:r>
      <w:r>
        <w:rPr>
          <w:rFonts w:hint="eastAsia" w:ascii="仿宋" w:hAnsi="仿宋" w:eastAsia="仿宋" w:cs="宋体"/>
          <w:color w:val="333333"/>
          <w:kern w:val="0"/>
          <w:sz w:val="32"/>
          <w:szCs w:val="32"/>
          <w:u w:val="none"/>
          <w:lang w:val="en-US" w:eastAsia="zh-CN"/>
        </w:rPr>
        <w:t>国家森林公园管理处</w:t>
      </w:r>
      <w:r>
        <w:rPr>
          <w:rFonts w:hint="eastAsia" w:ascii="仿宋" w:hAnsi="仿宋" w:eastAsia="仿宋" w:cs="宋体"/>
          <w:color w:val="333333"/>
          <w:kern w:val="0"/>
          <w:sz w:val="32"/>
          <w:szCs w:val="32"/>
          <w:u w:val="none"/>
        </w:rPr>
        <w:t>基本支出年初预算</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w:t>
      </w:r>
      <w:r>
        <w:rPr>
          <w:rFonts w:hint="eastAsia" w:ascii="仿宋" w:hAnsi="仿宋" w:eastAsia="仿宋" w:cs="宋体"/>
          <w:color w:val="333333"/>
          <w:kern w:val="0"/>
          <w:sz w:val="32"/>
          <w:szCs w:val="32"/>
          <w:u w:val="none"/>
          <w:lang w:eastAsia="zh-CN"/>
        </w:rPr>
        <w:t>。</w:t>
      </w:r>
      <w:r>
        <w:rPr>
          <w:rFonts w:hint="eastAsia" w:ascii="仿宋" w:hAnsi="仿宋" w:eastAsia="仿宋" w:cs="宋体"/>
          <w:color w:val="333333"/>
          <w:kern w:val="0"/>
          <w:sz w:val="32"/>
          <w:szCs w:val="32"/>
          <w:u w:val="none"/>
        </w:rPr>
        <w:t>按经济科目划分，各项支出决算金额分别为：商品和服务支出</w:t>
      </w:r>
      <w:r>
        <w:rPr>
          <w:rFonts w:hint="eastAsia" w:ascii="仿宋" w:hAnsi="仿宋" w:eastAsia="仿宋" w:cs="宋体"/>
          <w:color w:val="333333"/>
          <w:kern w:val="0"/>
          <w:sz w:val="32"/>
          <w:szCs w:val="32"/>
          <w:u w:val="none"/>
          <w:lang w:val="en-US" w:eastAsia="zh-CN"/>
        </w:rPr>
        <w:t>288.59</w:t>
      </w:r>
      <w:r>
        <w:rPr>
          <w:rFonts w:hint="eastAsia" w:ascii="仿宋" w:hAnsi="仿宋" w:eastAsia="仿宋" w:cs="宋体"/>
          <w:color w:val="333333"/>
          <w:kern w:val="0"/>
          <w:sz w:val="32"/>
          <w:szCs w:val="32"/>
          <w:u w:val="none"/>
        </w:rPr>
        <w:t>万元；对个人和家庭的补助0万元，其他资本性支出0万元</w:t>
      </w:r>
      <w:r>
        <w:rPr>
          <w:rFonts w:hint="eastAsia" w:ascii="仿宋" w:hAnsi="仿宋" w:eastAsia="仿宋" w:cs="宋体"/>
          <w:color w:val="333333"/>
          <w:kern w:val="0"/>
          <w:sz w:val="32"/>
          <w:szCs w:val="32"/>
          <w:u w:val="none"/>
          <w:lang w:eastAsia="zh-CN"/>
        </w:rPr>
        <w:t>，</w:t>
      </w:r>
      <w:r>
        <w:rPr>
          <w:rFonts w:hint="eastAsia" w:ascii="仿宋" w:hAnsi="仿宋" w:eastAsia="仿宋" w:cs="宋体"/>
          <w:color w:val="333333"/>
          <w:kern w:val="0"/>
          <w:sz w:val="32"/>
          <w:szCs w:val="32"/>
          <w:u w:val="none"/>
          <w:lang w:val="en-US" w:eastAsia="zh-CN"/>
        </w:rPr>
        <w:t>项目</w:t>
      </w:r>
      <w:r>
        <w:rPr>
          <w:rFonts w:hint="eastAsia" w:ascii="仿宋" w:hAnsi="仿宋" w:eastAsia="仿宋" w:cs="宋体"/>
          <w:color w:val="333333"/>
          <w:kern w:val="0"/>
          <w:sz w:val="32"/>
          <w:szCs w:val="32"/>
          <w:u w:val="none"/>
        </w:rPr>
        <w:t>支出合计为</w:t>
      </w:r>
      <w:r>
        <w:rPr>
          <w:rFonts w:hint="eastAsia" w:ascii="仿宋" w:hAnsi="仿宋" w:eastAsia="仿宋" w:cs="宋体"/>
          <w:color w:val="333333"/>
          <w:kern w:val="0"/>
          <w:sz w:val="32"/>
          <w:szCs w:val="32"/>
          <w:u w:val="none"/>
          <w:lang w:val="en-US" w:eastAsia="zh-CN"/>
        </w:rPr>
        <w:t>288.59</w:t>
      </w:r>
      <w:r>
        <w:rPr>
          <w:rFonts w:hint="eastAsia" w:ascii="仿宋" w:hAnsi="仿宋" w:eastAsia="仿宋" w:cs="宋体"/>
          <w:color w:val="333333"/>
          <w:kern w:val="0"/>
          <w:sz w:val="32"/>
          <w:szCs w:val="32"/>
          <w:u w:val="none"/>
        </w:rPr>
        <w:t>万元。</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（三）绩效目标设立情况</w:t>
      </w:r>
    </w:p>
    <w:p>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我处根据国家、省、市旅游开发重点以及桃江县"十</w:t>
      </w:r>
      <w:r>
        <w:rPr>
          <w:rFonts w:hint="eastAsia" w:ascii="仿宋" w:hAnsi="仿宋" w:eastAsia="仿宋" w:cs="宋体"/>
          <w:color w:val="333333"/>
          <w:kern w:val="0"/>
          <w:sz w:val="32"/>
          <w:szCs w:val="32"/>
          <w:lang w:eastAsia="zh-CN"/>
        </w:rPr>
        <w:t>四</w:t>
      </w:r>
      <w:r>
        <w:rPr>
          <w:rFonts w:hint="eastAsia" w:ascii="仿宋" w:hAnsi="仿宋" w:eastAsia="仿宋" w:cs="宋体"/>
          <w:color w:val="333333"/>
          <w:kern w:val="0"/>
          <w:sz w:val="32"/>
          <w:szCs w:val="32"/>
        </w:rPr>
        <w:t>五"发展规划，结合单位实际，制定了森林公园2</w:t>
      </w:r>
      <w:r>
        <w:rPr>
          <w:rFonts w:hint="eastAsia" w:ascii="仿宋" w:hAnsi="仿宋" w:eastAsia="仿宋" w:cs="宋体"/>
          <w:color w:val="333333"/>
          <w:kern w:val="0"/>
          <w:sz w:val="32"/>
          <w:szCs w:val="32"/>
          <w:lang w:val="en-US" w:eastAsia="zh-CN"/>
        </w:rPr>
        <w:t>021</w:t>
      </w:r>
      <w:r>
        <w:rPr>
          <w:rFonts w:hint="eastAsia" w:ascii="仿宋" w:hAnsi="仿宋" w:eastAsia="仿宋" w:cs="宋体"/>
          <w:color w:val="333333"/>
          <w:kern w:val="0"/>
          <w:sz w:val="32"/>
          <w:szCs w:val="32"/>
        </w:rPr>
        <w:t>年重点工作，明确了具体绩效目标，制定了相关考核细则。下发了《桃花江国家森林公园管理处关于印发〈20</w:t>
      </w:r>
      <w:r>
        <w:rPr>
          <w:rFonts w:hint="eastAsia" w:ascii="仿宋" w:hAnsi="仿宋" w:eastAsia="仿宋" w:cs="宋体"/>
          <w:color w:val="333333"/>
          <w:kern w:val="0"/>
          <w:sz w:val="32"/>
          <w:szCs w:val="32"/>
          <w:lang w:val="en-US" w:eastAsia="zh-CN"/>
        </w:rPr>
        <w:t>21</w:t>
      </w:r>
      <w:r>
        <w:rPr>
          <w:rFonts w:hint="eastAsia" w:ascii="仿宋" w:hAnsi="仿宋" w:eastAsia="仿宋" w:cs="宋体"/>
          <w:color w:val="333333"/>
          <w:kern w:val="0"/>
          <w:sz w:val="32"/>
          <w:szCs w:val="32"/>
        </w:rPr>
        <w:t>年度工作目标绩效考核办法〉的通知》。重点工作均明确了牵头领导、牵头股室、责任单位和时间要求，确保了各项任务顺利完成。</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二、部门整体支出管理及使用情况</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根据《会计法》、《预算法》、《行政单位财务规则》等法律和财政部及省财政厅有关财务规章的规定，我处制订了《财务管理制度》、《会计岗位职责》、《出纳岗位职责》，对会计和出纳作出明确规定；制订了《采购管理制度》、《财产清查制度》等，对资产的配置、处置、管理和清查进行了规范。严格控制三公经费，遵守会议费、差旅费、培训费、公务接待费、公车管理等相关规定，明确了相应原则和要求、开支范围、程序、办法及标准、审批权限等，上述制度规定基本得到执行。</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三、部门整体支出绩效情况</w:t>
      </w:r>
    </w:p>
    <w:p>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森林公园管理处在财政资金使用方面严格执行预算计划，在有效的资金范围内全面完成各项工作任务，积极推动森林公园开发建设，取得事业成效如下：</w:t>
      </w:r>
    </w:p>
    <w:p>
      <w:pPr>
        <w:widowControl/>
        <w:numPr>
          <w:ilvl w:val="0"/>
          <w:numId w:val="1"/>
        </w:numPr>
        <w:shd w:val="clear" w:color="auto" w:fill="FFFFFF"/>
        <w:spacing w:line="554" w:lineRule="atLeast"/>
        <w:ind w:firstLine="640"/>
        <w:jc w:val="left"/>
        <w:rPr>
          <w:rFonts w:ascii="微软雅黑" w:hAnsi="微软雅黑" w:eastAsia="微软雅黑" w:cs="微软雅黑"/>
          <w:i w:val="0"/>
          <w:iCs w:val="0"/>
          <w:caps w:val="0"/>
          <w:color w:val="333333"/>
          <w:spacing w:val="0"/>
          <w:sz w:val="24"/>
          <w:szCs w:val="24"/>
        </w:rPr>
      </w:pPr>
      <w:r>
        <w:rPr>
          <w:rFonts w:hint="eastAsia" w:ascii="仿宋" w:hAnsi="仿宋" w:eastAsia="仿宋" w:cs="宋体"/>
          <w:b/>
          <w:bCs/>
          <w:color w:val="333333"/>
          <w:kern w:val="0"/>
          <w:sz w:val="32"/>
          <w:szCs w:val="32"/>
        </w:rPr>
        <w:t>基本支出绩效情况</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严控“三公”经费支出。森林公园在三公经费支出过程中，严格遵守各项规章制度，从严管理，厉行节约，有效落实上级有关精神，取得了良好效果，今年预算为4.9万元，实际今年支出“三公经费</w:t>
      </w:r>
      <w:r>
        <w:rPr>
          <w:rFonts w:hint="eastAsia" w:ascii="仿宋" w:hAnsi="仿宋" w:eastAsia="仿宋" w:cs="宋体"/>
          <w:color w:val="auto"/>
          <w:kern w:val="0"/>
          <w:sz w:val="32"/>
          <w:szCs w:val="32"/>
          <w:lang w:val="en-US" w:eastAsia="zh-CN" w:bidi="ar-SA"/>
        </w:rPr>
        <w:t>”2.14</w:t>
      </w:r>
      <w:r>
        <w:rPr>
          <w:rFonts w:hint="eastAsia" w:ascii="仿宋" w:hAnsi="仿宋" w:eastAsia="仿宋" w:cs="宋体"/>
          <w:color w:val="333333"/>
          <w:kern w:val="0"/>
          <w:sz w:val="32"/>
          <w:szCs w:val="32"/>
          <w:lang w:val="en-US" w:eastAsia="zh-CN" w:bidi="ar-SA"/>
        </w:rPr>
        <w:t>万元。</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eastAsia="宋体"/>
          <w:lang w:val="en-US" w:eastAsia="zh-CN"/>
        </w:rPr>
      </w:pPr>
      <w:r>
        <w:rPr>
          <w:rFonts w:hint="eastAsia" w:ascii="仿宋" w:hAnsi="仿宋" w:eastAsia="仿宋" w:cs="宋体"/>
          <w:color w:val="333333"/>
          <w:kern w:val="0"/>
          <w:sz w:val="32"/>
          <w:szCs w:val="32"/>
          <w:lang w:val="en-US" w:eastAsia="zh-CN" w:bidi="ar-SA"/>
        </w:rPr>
        <w:t>注重日常管理维护，力保森林公园良好发展。落实森林防火工作责任制，严格联防联治、值班值守、巡查监管和野外用火管理。组建了防灭火半专业队伍，刷新和增设固定防火宣传牌4处、张贴宣传标语200张、悬挂横幅10条、出动宣传车上百台/次，全年没有发生任何森林火警、火灾。加强与自然资源局、森林公安等部门沟通衔接，及时发现、查处各类安全隐患，确保了资源安全、景区安全、游客安全。着力提升生态旅游服务水平，重点加强林场景区的环境卫生、道路设施、游客服务等建设，投入并对二级机构林场进行旅游设施修复、植树造林、绿化补植等。</w:t>
      </w:r>
    </w:p>
    <w:p>
      <w:pPr>
        <w:widowControl/>
        <w:shd w:val="clear" w:color="auto" w:fill="FFFFFF"/>
        <w:spacing w:line="554" w:lineRule="atLeast"/>
        <w:ind w:firstLine="640"/>
        <w:jc w:val="left"/>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二</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项目</w:t>
      </w:r>
      <w:r>
        <w:rPr>
          <w:rFonts w:hint="eastAsia" w:ascii="仿宋" w:hAnsi="仿宋" w:eastAsia="仿宋" w:cs="宋体"/>
          <w:b/>
          <w:bCs/>
          <w:color w:val="333333"/>
          <w:kern w:val="0"/>
          <w:sz w:val="32"/>
          <w:szCs w:val="32"/>
        </w:rPr>
        <w:t>支出绩效情况</w:t>
      </w:r>
    </w:p>
    <w:p>
      <w:pPr>
        <w:pStyle w:val="8"/>
        <w:spacing w:before="0" w:beforeAutospacing="0" w:after="2" w:afterAutospacing="0"/>
        <w:ind w:left="0" w:firstLine="64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生态公益林补助项目全年预算数为0万元，执行数为41万元，超出预算的100%。项目绩效目标完成情况：一是在规定时间内完成2.82万亩，未出现重大资源减少；二是社会效益与生态效益显著提升，群众满意度较高。</w:t>
      </w:r>
    </w:p>
    <w:p>
      <w:pPr>
        <w:ind w:firstLine="640" w:firstLineChars="200"/>
        <w:rPr>
          <w:rFonts w:hint="eastAsia"/>
        </w:rPr>
      </w:pPr>
      <w:r>
        <w:rPr>
          <w:rFonts w:hint="eastAsia" w:ascii="仿宋" w:hAnsi="仿宋" w:eastAsia="仿宋" w:cs="宋体"/>
          <w:color w:val="333333"/>
          <w:kern w:val="0"/>
          <w:sz w:val="32"/>
          <w:szCs w:val="32"/>
          <w:lang w:val="en-US" w:eastAsia="zh-CN" w:bidi="ar-SA"/>
        </w:rPr>
        <w:t>扶贫项目绩效项目全年预算数为0万元，执行数为42万元，超出预算的100%。项目绩效目标完成情况：将总项目拆分为石井头国有林场绿葱坳工区道路硬化项目、石井头国有林场绿葱坳工区消防池（含生活用水）建设项目、石井头国有林场绿葱坳工区化粪池建设项目、石井头国有林场石罗公路道路护坡建设项目、石井头国有林场绿葱坳工区道路护坡建设项目，并已按项目申报内容按时完成，已进行资产确权。</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四、存在的主要问题</w:t>
      </w:r>
    </w:p>
    <w:p>
      <w:pPr>
        <w:widowControl/>
        <w:shd w:val="clear" w:color="auto" w:fill="FFFFFF"/>
        <w:spacing w:line="554" w:lineRule="atLeast"/>
        <w:ind w:firstLine="640"/>
        <w:jc w:val="left"/>
        <w:rPr>
          <w:rFonts w:hint="default" w:ascii="微软雅黑" w:hAnsi="微软雅黑" w:eastAsia="仿宋" w:cs="宋体"/>
          <w:color w:val="333333"/>
          <w:kern w:val="0"/>
          <w:sz w:val="30"/>
          <w:szCs w:val="30"/>
          <w:lang w:val="en-US" w:eastAsia="zh-CN"/>
        </w:rPr>
      </w:pPr>
      <w:r>
        <w:rPr>
          <w:rFonts w:hint="eastAsia" w:ascii="仿宋" w:hAnsi="仿宋" w:eastAsia="仿宋" w:cs="宋体"/>
          <w:b/>
          <w:bCs/>
          <w:color w:val="333333"/>
          <w:kern w:val="0"/>
          <w:sz w:val="32"/>
          <w:szCs w:val="32"/>
          <w:lang w:val="en-US" w:eastAsia="zh-CN"/>
        </w:rPr>
        <w:t>1、经济效益不明显。</w:t>
      </w:r>
      <w:r>
        <w:rPr>
          <w:rFonts w:hint="eastAsia" w:ascii="仿宋" w:hAnsi="仿宋" w:eastAsia="仿宋" w:cs="宋体"/>
          <w:color w:val="333333"/>
          <w:kern w:val="0"/>
          <w:sz w:val="32"/>
          <w:szCs w:val="32"/>
        </w:rPr>
        <w:t>资产配置和资产管理</w:t>
      </w:r>
      <w:r>
        <w:rPr>
          <w:rFonts w:hint="eastAsia" w:ascii="仿宋" w:hAnsi="仿宋" w:eastAsia="仿宋" w:cs="宋体"/>
          <w:color w:val="333333"/>
          <w:kern w:val="0"/>
          <w:sz w:val="32"/>
          <w:szCs w:val="32"/>
          <w:lang w:val="en-US" w:eastAsia="zh-CN"/>
        </w:rPr>
        <w:t>未</w:t>
      </w:r>
      <w:r>
        <w:rPr>
          <w:rFonts w:hint="eastAsia" w:ascii="仿宋" w:hAnsi="仿宋" w:eastAsia="仿宋" w:cs="宋体"/>
          <w:color w:val="333333"/>
          <w:kern w:val="0"/>
          <w:sz w:val="32"/>
          <w:szCs w:val="32"/>
        </w:rPr>
        <w:t>优化，</w:t>
      </w:r>
      <w:r>
        <w:rPr>
          <w:rFonts w:hint="eastAsia" w:ascii="仿宋" w:hAnsi="仿宋" w:eastAsia="仿宋" w:cs="宋体"/>
          <w:color w:val="333333"/>
          <w:kern w:val="0"/>
          <w:sz w:val="32"/>
          <w:szCs w:val="32"/>
          <w:lang w:val="en-US" w:eastAsia="zh-CN"/>
        </w:rPr>
        <w:t>未</w:t>
      </w:r>
      <w:r>
        <w:rPr>
          <w:rFonts w:hint="eastAsia" w:ascii="仿宋" w:hAnsi="仿宋" w:eastAsia="仿宋" w:cs="宋体"/>
          <w:color w:val="333333"/>
          <w:kern w:val="0"/>
          <w:sz w:val="32"/>
          <w:szCs w:val="32"/>
        </w:rPr>
        <w:t>充分发挥资产的利用价值</w:t>
      </w:r>
      <w:r>
        <w:rPr>
          <w:rFonts w:hint="eastAsia" w:ascii="宋体" w:hAnsi="宋体" w:eastAsia="宋体" w:cs="宋体"/>
          <w:color w:val="000000"/>
          <w:kern w:val="2"/>
          <w:sz w:val="32"/>
          <w:szCs w:val="32"/>
          <w:lang w:val="en-US" w:eastAsia="zh-CN" w:bidi="ar"/>
        </w:rPr>
        <w:t>。</w:t>
      </w:r>
    </w:p>
    <w:p>
      <w:pPr>
        <w:widowControl/>
        <w:shd w:val="clear" w:color="auto" w:fill="FFFFFF"/>
        <w:spacing w:line="554" w:lineRule="atLeast"/>
        <w:ind w:firstLine="640"/>
        <w:jc w:val="left"/>
        <w:rPr>
          <w:rFonts w:hint="default" w:ascii="仿宋" w:hAnsi="仿宋" w:eastAsia="仿宋" w:cs="宋体"/>
          <w:b/>
          <w:bCs/>
          <w:color w:val="333333"/>
          <w:kern w:val="0"/>
          <w:sz w:val="32"/>
          <w:szCs w:val="32"/>
          <w:lang w:val="en-US" w:eastAsia="zh-CN"/>
        </w:rPr>
      </w:pPr>
      <w:r>
        <w:rPr>
          <w:rFonts w:hint="eastAsia" w:ascii="仿宋" w:hAnsi="仿宋" w:eastAsia="仿宋" w:cs="宋体"/>
          <w:b/>
          <w:bCs/>
          <w:color w:val="333333"/>
          <w:kern w:val="0"/>
          <w:sz w:val="32"/>
          <w:szCs w:val="32"/>
          <w:lang w:val="en-US" w:eastAsia="zh-CN"/>
        </w:rPr>
        <w:t>2、申报项目过细过多。</w:t>
      </w:r>
      <w:r>
        <w:rPr>
          <w:rFonts w:hint="eastAsia" w:ascii="仿宋" w:hAnsi="仿宋" w:eastAsia="仿宋" w:cs="宋体"/>
          <w:color w:val="333333"/>
          <w:kern w:val="0"/>
          <w:sz w:val="32"/>
          <w:szCs w:val="32"/>
          <w:lang w:val="en-US" w:eastAsia="zh-CN" w:bidi="ar-SA"/>
        </w:rPr>
        <w:t>将总项目拆分为石井头国有林场绿葱坳工区道路硬化项目、石井头国有林场绿葱坳工区消防池（含生活用水）建设项目、石井头国有林场绿葱坳工区化粪池建设项目、石井头国有林场石罗公路道路护坡建设项目、石井头国有林场绿葱坳工区道路护坡建设项目</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五、改进措施和有关建议</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1、科学合理预算。</w:t>
      </w:r>
      <w:r>
        <w:rPr>
          <w:rFonts w:hint="eastAsia" w:ascii="仿宋" w:hAnsi="仿宋" w:eastAsia="仿宋" w:cs="宋体"/>
          <w:color w:val="333333"/>
          <w:kern w:val="0"/>
          <w:sz w:val="32"/>
          <w:szCs w:val="32"/>
        </w:rPr>
        <w:t>按照《预算法》的相关规定，参考上一年的预算执行情况和本年度的绩效目标科学编制预算，避免年中大幅追加以及超预算，尽可能缩小预算调整率，提高政府采购执行率，提高预算编制的准确性。在预算执行中，严格按照预算项目支出，尽量避免预算项目间的资金调剂。</w:t>
      </w:r>
    </w:p>
    <w:p>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2、继续加强制度建设。</w:t>
      </w:r>
      <w:r>
        <w:rPr>
          <w:rFonts w:hint="eastAsia" w:ascii="仿宋" w:hAnsi="仿宋" w:eastAsia="仿宋" w:cs="宋体"/>
          <w:color w:val="333333"/>
          <w:kern w:val="0"/>
          <w:sz w:val="32"/>
          <w:szCs w:val="32"/>
        </w:rPr>
        <w:t>根据实际情况不断完善管理制度，强化单位内部控制，在实际执行过程中，从严要求，保证各指标不超标。</w:t>
      </w:r>
    </w:p>
    <w:p>
      <w:pPr>
        <w:widowControl/>
        <w:shd w:val="clear" w:color="auto" w:fill="FFFFFF"/>
        <w:spacing w:line="554" w:lineRule="atLeast"/>
        <w:ind w:firstLine="640"/>
        <w:jc w:val="left"/>
        <w:rPr>
          <w:rFonts w:hint="eastAsia" w:ascii="仿宋" w:hAnsi="仿宋" w:eastAsia="仿宋" w:cs="宋体"/>
          <w:color w:val="333333"/>
          <w:kern w:val="0"/>
          <w:sz w:val="32"/>
          <w:szCs w:val="32"/>
          <w:lang w:val="en-US" w:eastAsia="zh-CN"/>
        </w:rPr>
      </w:pPr>
      <w:r>
        <w:rPr>
          <w:rFonts w:hint="eastAsia" w:ascii="仿宋" w:hAnsi="仿宋" w:eastAsia="仿宋" w:cs="宋体"/>
          <w:b/>
          <w:bCs/>
          <w:color w:val="333333"/>
          <w:kern w:val="0"/>
          <w:sz w:val="32"/>
          <w:szCs w:val="32"/>
        </w:rPr>
        <w:t>3、提高财务管理水平</w:t>
      </w:r>
      <w:r>
        <w:rPr>
          <w:rFonts w:hint="eastAsia" w:ascii="仿宋" w:hAnsi="仿宋" w:eastAsia="仿宋" w:cs="宋体"/>
          <w:color w:val="333333"/>
          <w:kern w:val="0"/>
          <w:sz w:val="32"/>
          <w:szCs w:val="32"/>
        </w:rPr>
        <w:t>。建议财政部门，加强对各单位财务管理方面的指导，帮助和督促单位提高财务管理水平</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申报项目会集中力量，将有效的资金投入最迫切的地方。</w:t>
      </w: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val="en-US" w:eastAsia="zh-CN"/>
        </w:rPr>
        <w:t>桃江县</w:t>
      </w:r>
      <w:r>
        <w:rPr>
          <w:rFonts w:hint="eastAsia"/>
          <w:kern w:val="0"/>
          <w:sz w:val="24"/>
          <w:lang w:val="en-US" w:eastAsia="zh-CN"/>
        </w:rPr>
        <w:t>桃花江国家森林公园管理处</w:t>
      </w:r>
      <w:r>
        <w:rPr>
          <w:rFonts w:eastAsia="宋体"/>
          <w:kern w:val="0"/>
          <w:sz w:val="24"/>
        </w:rPr>
        <w:t xml:space="preserve">         填报日期：</w:t>
      </w:r>
      <w:r>
        <w:rPr>
          <w:rFonts w:hint="eastAsia" w:eastAsia="宋体"/>
          <w:kern w:val="0"/>
          <w:sz w:val="24"/>
        </w:rPr>
        <w:t>202</w:t>
      </w:r>
      <w:r>
        <w:rPr>
          <w:rFonts w:hint="eastAsia"/>
          <w:kern w:val="0"/>
          <w:sz w:val="24"/>
          <w:lang w:val="en-US" w:eastAsia="zh-CN"/>
        </w:rPr>
        <w:t>2</w:t>
      </w:r>
      <w:r>
        <w:rPr>
          <w:rFonts w:eastAsia="宋体"/>
          <w:kern w:val="0"/>
          <w:sz w:val="24"/>
        </w:rPr>
        <w:t>年</w:t>
      </w:r>
      <w:r>
        <w:rPr>
          <w:rFonts w:hint="eastAsia"/>
          <w:kern w:val="0"/>
          <w:sz w:val="24"/>
          <w:lang w:val="en-US" w:eastAsia="zh-CN"/>
        </w:rPr>
        <w:t>11</w:t>
      </w:r>
      <w:r>
        <w:rPr>
          <w:rFonts w:eastAsia="宋体"/>
          <w:kern w:val="0"/>
          <w:sz w:val="24"/>
        </w:rPr>
        <w:t>月1</w:t>
      </w:r>
      <w:r>
        <w:rPr>
          <w:rFonts w:hint="eastAsia"/>
          <w:kern w:val="0"/>
          <w:sz w:val="24"/>
          <w:lang w:val="en-US" w:eastAsia="zh-CN"/>
        </w:rPr>
        <w:t>4</w:t>
      </w:r>
      <w:r>
        <w:rPr>
          <w:rFonts w:eastAsia="宋体"/>
          <w:kern w:val="0"/>
          <w:sz w:val="24"/>
        </w:rPr>
        <w:t>日     金额单位：万元（保留两位小数）</w:t>
      </w:r>
    </w:p>
    <w:tbl>
      <w:tblPr>
        <w:tblStyle w:val="6"/>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15"/>
        <w:gridCol w:w="572"/>
        <w:gridCol w:w="652"/>
        <w:gridCol w:w="614"/>
        <w:gridCol w:w="614"/>
        <w:gridCol w:w="612"/>
        <w:gridCol w:w="613"/>
        <w:gridCol w:w="611"/>
        <w:gridCol w:w="614"/>
        <w:gridCol w:w="613"/>
        <w:gridCol w:w="593"/>
        <w:gridCol w:w="352"/>
        <w:gridCol w:w="638"/>
        <w:gridCol w:w="370"/>
        <w:gridCol w:w="985"/>
        <w:gridCol w:w="721"/>
        <w:gridCol w:w="611"/>
        <w:gridCol w:w="614"/>
        <w:gridCol w:w="615"/>
        <w:gridCol w:w="609"/>
        <w:gridCol w:w="613"/>
        <w:gridCol w:w="614"/>
        <w:gridCol w:w="614"/>
        <w:gridCol w:w="613"/>
        <w:gridCol w:w="611"/>
      </w:tblGrid>
      <w:tr>
        <w:trPr>
          <w:trHeight w:val="306" w:hRule="atLeast"/>
        </w:trPr>
        <w:tc>
          <w:tcPr>
            <w:tcW w:w="190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3105"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173"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301" w:hRule="atLeast"/>
        </w:trPr>
        <w:tc>
          <w:tcPr>
            <w:tcW w:w="1904"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10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791"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6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其</w:t>
            </w:r>
          </w:p>
          <w:p>
            <w:pPr>
              <w:widowControl/>
              <w:spacing w:line="360" w:lineRule="exact"/>
              <w:jc w:val="center"/>
              <w:rPr>
                <w:rFonts w:eastAsia="黑体"/>
                <w:bCs/>
                <w:kern w:val="0"/>
                <w:sz w:val="24"/>
              </w:rPr>
            </w:pPr>
            <w:r>
              <w:rPr>
                <w:rFonts w:eastAsia="黑体"/>
                <w:bCs/>
                <w:kern w:val="0"/>
                <w:sz w:val="24"/>
              </w:rPr>
              <w:t>他</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5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63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37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其</w:t>
            </w:r>
            <w:r>
              <w:rPr>
                <w:rFonts w:eastAsia="黑体"/>
                <w:bCs/>
                <w:kern w:val="0"/>
                <w:sz w:val="24"/>
              </w:rPr>
              <w:t>他支出</w:t>
            </w: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其</w:t>
            </w:r>
          </w:p>
          <w:p>
            <w:pPr>
              <w:widowControl/>
              <w:spacing w:line="360" w:lineRule="exact"/>
              <w:jc w:val="center"/>
              <w:rPr>
                <w:rFonts w:eastAsia="黑体"/>
                <w:bCs/>
                <w:kern w:val="0"/>
                <w:sz w:val="24"/>
              </w:rPr>
            </w:pPr>
            <w:r>
              <w:rPr>
                <w:rFonts w:eastAsia="黑体"/>
                <w:bCs/>
                <w:kern w:val="0"/>
                <w:sz w:val="24"/>
              </w:rPr>
              <w:t>他支出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eastAsia="黑体"/>
                <w:bCs/>
                <w:kern w:val="0"/>
                <w:sz w:val="24"/>
              </w:rPr>
              <w:t>1,831.81</w:t>
            </w:r>
          </w:p>
        </w:tc>
        <w:tc>
          <w:tcPr>
            <w:tcW w:w="61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eastAsia="黑体"/>
                <w:bCs/>
                <w:kern w:val="0"/>
                <w:sz w:val="24"/>
              </w:rPr>
              <w:t>1,831.81</w:t>
            </w:r>
          </w:p>
        </w:tc>
        <w:tc>
          <w:tcPr>
            <w:tcW w:w="57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0</w:t>
            </w:r>
          </w:p>
        </w:tc>
        <w:tc>
          <w:tcPr>
            <w:tcW w:w="65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eastAsia="黑体"/>
                <w:bCs/>
                <w:kern w:val="0"/>
                <w:sz w:val="24"/>
              </w:rPr>
              <w:t>　</w:t>
            </w:r>
          </w:p>
        </w:tc>
        <w:tc>
          <w:tcPr>
            <w:tcW w:w="61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1,831.81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hint="eastAsia" w:eastAsia="黑体"/>
                <w:bCs/>
                <w:kern w:val="0"/>
                <w:sz w:val="24"/>
              </w:rPr>
              <w:t>1,543.22</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1,416.74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eastAsia="黑体"/>
                <w:bCs/>
                <w:kern w:val="0"/>
                <w:sz w:val="24"/>
              </w:rPr>
              <w:t>126.48</w:t>
            </w:r>
          </w:p>
        </w:tc>
        <w:tc>
          <w:tcPr>
            <w:tcW w:w="5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eastAsia="zh-CN"/>
              </w:rPr>
            </w:pPr>
            <w:r>
              <w:rPr>
                <w:rFonts w:hint="eastAsia" w:eastAsia="黑体"/>
                <w:bCs/>
                <w:kern w:val="0"/>
                <w:sz w:val="24"/>
                <w:lang w:val="en-US" w:eastAsia="zh-CN"/>
              </w:rPr>
              <w:t>0</w:t>
            </w:r>
          </w:p>
        </w:tc>
        <w:tc>
          <w:tcPr>
            <w:tcW w:w="35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lang w:val="en-US" w:eastAsia="zh-CN"/>
              </w:rPr>
              <w:t>0</w:t>
            </w:r>
            <w:r>
              <w:rPr>
                <w:rFonts w:eastAsia="黑体"/>
                <w:bCs/>
                <w:kern w:val="0"/>
                <w:sz w:val="24"/>
              </w:rPr>
              <w:t>　</w:t>
            </w:r>
          </w:p>
        </w:tc>
        <w:tc>
          <w:tcPr>
            <w:tcW w:w="63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37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val="en-US" w:eastAsia="zh-CN"/>
              </w:rPr>
            </w:pPr>
            <w:r>
              <w:rPr>
                <w:rFonts w:hint="eastAsia" w:eastAsia="黑体"/>
                <w:bCs/>
                <w:kern w:val="0"/>
                <w:sz w:val="24"/>
                <w:lang w:val="en-US" w:eastAsia="zh-CN"/>
              </w:rPr>
              <w:t>0</w:t>
            </w: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单位项目支出</w:t>
            </w: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hint="eastAsia" w:eastAsia="黑体"/>
                <w:bCs/>
                <w:kern w:val="0"/>
                <w:sz w:val="24"/>
              </w:rPr>
              <w:t>288.59</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黑体"/>
                <w:bCs/>
                <w:kern w:val="0"/>
                <w:sz w:val="24"/>
                <w:lang w:val="en-US" w:eastAsia="zh-CN"/>
              </w:rPr>
            </w:pPr>
            <w:r>
              <w:rPr>
                <w:rFonts w:hint="eastAsia" w:eastAsia="黑体"/>
                <w:bCs/>
                <w:kern w:val="0"/>
                <w:sz w:val="24"/>
              </w:rPr>
              <w:t>288.59</w:t>
            </w:r>
          </w:p>
        </w:tc>
        <w:tc>
          <w:tcPr>
            <w:tcW w:w="6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　</w:t>
            </w: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0</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0</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0</w:t>
            </w:r>
          </w:p>
        </w:tc>
      </w:tr>
      <w:tr>
        <w:tblPrEx>
          <w:tblCellMar>
            <w:top w:w="0" w:type="dxa"/>
            <w:left w:w="108" w:type="dxa"/>
            <w:bottom w:w="0" w:type="dxa"/>
            <w:right w:w="108" w:type="dxa"/>
          </w:tblCellMar>
        </w:tblPrEx>
        <w:trPr>
          <w:trHeight w:val="256" w:hRule="atLeast"/>
        </w:trPr>
        <w:tc>
          <w:tcPr>
            <w:tcW w:w="717" w:type="dxa"/>
            <w:tcBorders>
              <w:top w:val="single" w:color="auto" w:sz="4" w:space="0"/>
              <w:left w:val="single" w:color="auto" w:sz="12" w:space="0"/>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72"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52"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2"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1"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9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52"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38"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7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98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21"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1"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09"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11" w:type="dxa"/>
            <w:tcBorders>
              <w:top w:val="single" w:color="auto" w:sz="4" w:space="0"/>
              <w:left w:val="nil"/>
              <w:bottom w:val="single" w:color="auto" w:sz="12" w:space="0"/>
              <w:right w:val="single" w:color="auto" w:sz="12" w:space="0"/>
            </w:tcBorders>
            <w:noWrap w:val="0"/>
            <w:vAlign w:val="center"/>
          </w:tcPr>
          <w:p>
            <w:pPr>
              <w:widowControl/>
              <w:spacing w:line="360" w:lineRule="exact"/>
              <w:jc w:val="left"/>
              <w:rPr>
                <w:rFonts w:eastAsia="宋体"/>
                <w:kern w:val="0"/>
                <w:sz w:val="24"/>
              </w:rPr>
            </w:pP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rPr>
          <w:rFonts w:hint="eastAsia" w:eastAsia="宋体"/>
          <w:bCs/>
          <w:kern w:val="0"/>
          <w:sz w:val="24"/>
          <w:lang w:val="en-US" w:eastAsia="zh-CN"/>
        </w:rPr>
      </w:pPr>
      <w:r>
        <w:rPr>
          <w:rFonts w:eastAsia="宋体"/>
          <w:bCs/>
          <w:kern w:val="0"/>
          <w:sz w:val="24"/>
        </w:rPr>
        <w:t>填 报 人 ：</w:t>
      </w:r>
      <w:r>
        <w:rPr>
          <w:rFonts w:hint="eastAsia"/>
          <w:bCs/>
          <w:kern w:val="0"/>
          <w:sz w:val="24"/>
          <w:lang w:val="en-US" w:eastAsia="zh-CN"/>
        </w:rPr>
        <w:t>肖英杰</w:t>
      </w:r>
      <w:r>
        <w:rPr>
          <w:rFonts w:eastAsia="宋体"/>
          <w:bCs/>
          <w:kern w:val="0"/>
          <w:sz w:val="24"/>
        </w:rPr>
        <w:t xml:space="preserve">                               </w:t>
      </w:r>
      <w:r>
        <w:rPr>
          <w:rFonts w:hint="eastAsia"/>
          <w:bCs/>
          <w:kern w:val="0"/>
          <w:sz w:val="24"/>
          <w:lang w:val="en-US" w:eastAsia="zh-CN"/>
        </w:rPr>
        <w:t xml:space="preserve">                                   </w:t>
      </w:r>
      <w:r>
        <w:rPr>
          <w:rFonts w:eastAsia="宋体"/>
          <w:bCs/>
          <w:kern w:val="0"/>
          <w:sz w:val="24"/>
        </w:rPr>
        <w:t xml:space="preserve">    单位负责人（签字）： </w:t>
      </w:r>
      <w:r>
        <w:rPr>
          <w:rFonts w:hint="eastAsia"/>
          <w:bCs/>
          <w:kern w:val="0"/>
          <w:sz w:val="24"/>
          <w:lang w:val="en-US" w:eastAsia="zh-CN"/>
        </w:rPr>
        <w:t>胡盛武</w:t>
      </w:r>
    </w:p>
    <w:p>
      <w:pPr>
        <w:widowControl/>
        <w:jc w:val="left"/>
        <w:rPr>
          <w:rFonts w:eastAsia="黑体"/>
          <w:bCs/>
          <w:kern w:val="0"/>
          <w:szCs w:val="32"/>
        </w:rPr>
      </w:pP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val="en-US" w:eastAsia="zh-CN"/>
        </w:rPr>
        <w:t>桃江县</w:t>
      </w:r>
      <w:r>
        <w:rPr>
          <w:rFonts w:hint="eastAsia"/>
          <w:kern w:val="0"/>
          <w:sz w:val="24"/>
          <w:lang w:val="en-US" w:eastAsia="zh-CN"/>
        </w:rPr>
        <w:t>桃花江国家森林公园管理处</w:t>
      </w:r>
      <w:r>
        <w:rPr>
          <w:rFonts w:eastAsia="宋体"/>
          <w:kern w:val="0"/>
          <w:sz w:val="24"/>
        </w:rPr>
        <w:t xml:space="preserve">                                       填报日期：</w:t>
      </w:r>
      <w:r>
        <w:rPr>
          <w:rFonts w:hint="eastAsia" w:eastAsia="宋体"/>
          <w:kern w:val="0"/>
          <w:sz w:val="24"/>
        </w:rPr>
        <w:t>202</w:t>
      </w:r>
      <w:r>
        <w:rPr>
          <w:rFonts w:hint="eastAsia"/>
          <w:kern w:val="0"/>
          <w:sz w:val="24"/>
          <w:lang w:val="en-US" w:eastAsia="zh-CN"/>
        </w:rPr>
        <w:t>2</w:t>
      </w:r>
      <w:r>
        <w:rPr>
          <w:rFonts w:eastAsia="宋体"/>
          <w:kern w:val="0"/>
          <w:sz w:val="24"/>
        </w:rPr>
        <w:t>年</w:t>
      </w:r>
      <w:r>
        <w:rPr>
          <w:rFonts w:hint="eastAsia"/>
          <w:kern w:val="0"/>
          <w:sz w:val="24"/>
          <w:lang w:val="en-US" w:eastAsia="zh-CN"/>
        </w:rPr>
        <w:t>11</w:t>
      </w:r>
      <w:r>
        <w:rPr>
          <w:rFonts w:eastAsia="宋体"/>
          <w:kern w:val="0"/>
          <w:sz w:val="24"/>
        </w:rPr>
        <w:t>月1</w:t>
      </w:r>
      <w:r>
        <w:rPr>
          <w:rFonts w:hint="eastAsia"/>
          <w:kern w:val="0"/>
          <w:sz w:val="24"/>
          <w:lang w:val="en-US" w:eastAsia="zh-CN"/>
        </w:rPr>
        <w:t>4</w:t>
      </w:r>
      <w:r>
        <w:rPr>
          <w:rFonts w:eastAsia="宋体"/>
          <w:kern w:val="0"/>
          <w:sz w:val="24"/>
        </w:rPr>
        <w:t>日</w:t>
      </w:r>
    </w:p>
    <w:tbl>
      <w:tblPr>
        <w:tblStyle w:val="6"/>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rPr>
              <w:t>0.</w:t>
            </w:r>
            <w:r>
              <w:rPr>
                <w:rFonts w:hint="eastAsia" w:eastAsia="宋体"/>
                <w:kern w:val="0"/>
                <w:sz w:val="24"/>
                <w:lang w:val="en-US" w:eastAsia="zh-CN"/>
              </w:rPr>
              <w:t>5</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hint="eastAsia" w:eastAsia="宋体"/>
                <w:kern w:val="0"/>
                <w:sz w:val="24"/>
                <w:lang w:eastAsia="zh-CN"/>
              </w:rPr>
            </w:pPr>
            <w:r>
              <w:rPr>
                <w:rFonts w:hint="eastAsia"/>
                <w:kern w:val="0"/>
                <w:sz w:val="24"/>
                <w:lang w:val="en-US" w:eastAsia="zh-CN"/>
              </w:rPr>
              <w:t>2</w:t>
            </w:r>
            <w:r>
              <w:rPr>
                <w:rFonts w:eastAsia="宋体"/>
                <w:kern w:val="0"/>
                <w:sz w:val="24"/>
              </w:rPr>
              <w:t>.</w:t>
            </w:r>
            <w:r>
              <w:rPr>
                <w:rFonts w:hint="eastAsia" w:eastAsia="宋体"/>
                <w:kern w:val="0"/>
                <w:sz w:val="24"/>
                <w:lang w:val="en-US" w:eastAsia="zh-CN"/>
              </w:rPr>
              <w:t>5</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r>
              <w:rPr>
                <w:rFonts w:hint="eastAsia" w:eastAsia="宋体"/>
                <w:kern w:val="0"/>
                <w:sz w:val="24"/>
              </w:rPr>
              <w:t>。</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r>
              <w:rPr>
                <w:rFonts w:hint="eastAsia" w:eastAsia="宋体"/>
                <w:kern w:val="0"/>
                <w:sz w:val="24"/>
              </w:rPr>
              <w:t>。</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r>
              <w:rPr>
                <w:rFonts w:hint="eastAsia" w:eastAsia="宋体"/>
                <w:kern w:val="0"/>
                <w:sz w:val="24"/>
              </w:rPr>
              <w:t>。</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rPr>
              <w:t>9</w:t>
            </w:r>
            <w:r>
              <w:rPr>
                <w:rFonts w:hint="eastAsia"/>
                <w:kern w:val="0"/>
                <w:sz w:val="24"/>
                <w:lang w:val="en-US" w:eastAsia="zh-CN"/>
              </w:rPr>
              <w:t>7</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jc w:val="left"/>
        <w:rPr>
          <w:rFonts w:eastAsia="宋体"/>
          <w:kern w:val="0"/>
          <w:sz w:val="24"/>
        </w:rPr>
      </w:pPr>
    </w:p>
    <w:p>
      <w:pPr>
        <w:widowControl/>
        <w:jc w:val="left"/>
        <w:rPr>
          <w:rFonts w:hint="eastAsia" w:eastAsia="宋体"/>
          <w:bCs/>
          <w:kern w:val="0"/>
          <w:sz w:val="24"/>
          <w:lang w:val="en-US" w:eastAsia="zh-CN"/>
        </w:rPr>
      </w:pPr>
      <w:r>
        <w:rPr>
          <w:rFonts w:eastAsia="宋体"/>
          <w:kern w:val="0"/>
          <w:sz w:val="24"/>
        </w:rPr>
        <w:t>填报人：</w:t>
      </w:r>
      <w:r>
        <w:rPr>
          <w:rFonts w:hint="eastAsia"/>
          <w:kern w:val="0"/>
          <w:sz w:val="24"/>
          <w:lang w:val="en-US" w:eastAsia="zh-CN"/>
        </w:rPr>
        <w:t>肖英杰</w:t>
      </w:r>
      <w:r>
        <w:rPr>
          <w:rFonts w:eastAsia="宋体"/>
          <w:kern w:val="0"/>
          <w:sz w:val="24"/>
        </w:rPr>
        <w:t xml:space="preserve">                                                           单位负责人（签字）：</w:t>
      </w:r>
      <w:r>
        <w:rPr>
          <w:rFonts w:hint="eastAsia"/>
          <w:kern w:val="0"/>
          <w:sz w:val="24"/>
          <w:lang w:val="en-US" w:eastAsia="zh-CN"/>
        </w:rPr>
        <w:t>胡盛武</w:t>
      </w:r>
    </w:p>
    <w:p>
      <w:pPr>
        <w:rPr>
          <w:rFonts w:hint="eastAsia"/>
          <w:lang w:val="en-US" w:eastAsia="zh-CN"/>
        </w:rPr>
      </w:pPr>
    </w:p>
    <w:p/>
    <w:p>
      <w:pPr>
        <w:jc w:val="center"/>
        <w:rPr>
          <w:b/>
          <w:sz w:val="44"/>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8BEDD"/>
    <w:multiLevelType w:val="singleLevel"/>
    <w:tmpl w:val="DFB8BEDD"/>
    <w:lvl w:ilvl="0" w:tentative="0">
      <w:start w:val="1"/>
      <w:numFmt w:val="decimal"/>
      <w:lvlText w:val="%1."/>
      <w:lvlJc w:val="left"/>
      <w:pPr>
        <w:tabs>
          <w:tab w:val="left" w:pos="312"/>
        </w:tabs>
      </w:pPr>
    </w:lvl>
  </w:abstractNum>
  <w:abstractNum w:abstractNumId="1">
    <w:nsid w:val="1C50C211"/>
    <w:multiLevelType w:val="singleLevel"/>
    <w:tmpl w:val="1C50C2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WEyMzAwMzUyZWJmMzc0ZjQ4ODUyYmJhZmZiYzMifQ=="/>
  </w:docVars>
  <w:rsids>
    <w:rsidRoot w:val="25827F8B"/>
    <w:rsid w:val="030264AE"/>
    <w:rsid w:val="05257DE5"/>
    <w:rsid w:val="08C2594B"/>
    <w:rsid w:val="099E1F14"/>
    <w:rsid w:val="18E45469"/>
    <w:rsid w:val="22625D7D"/>
    <w:rsid w:val="25827F8B"/>
    <w:rsid w:val="2F454A5C"/>
    <w:rsid w:val="309A1997"/>
    <w:rsid w:val="42733236"/>
    <w:rsid w:val="48174664"/>
    <w:rsid w:val="4F2935FA"/>
    <w:rsid w:val="5878114F"/>
    <w:rsid w:val="58CA7BFC"/>
    <w:rsid w:val="617C3A5E"/>
    <w:rsid w:val="6AF55A7F"/>
    <w:rsid w:val="6B923E7E"/>
    <w:rsid w:val="6EE64C0C"/>
    <w:rsid w:val="73586F2F"/>
    <w:rsid w:val="74055B35"/>
    <w:rsid w:val="7D85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6193</Words>
  <Characters>6487</Characters>
  <Lines>0</Lines>
  <Paragraphs>0</Paragraphs>
  <TotalTime>6</TotalTime>
  <ScaleCrop>false</ScaleCrop>
  <LinksUpToDate>false</LinksUpToDate>
  <CharactersWithSpaces>6747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2022-11-14T03:09:00Z</dcterms:created>
  <dc:creator>vanessa</dc:creator>
  <cp:lastModifiedBy>vanessa</cp:lastModifiedBy>
  <dcterms:modified xsi:type="dcterms:W3CDTF">2022-11-24T02:10:32Z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7049A88E60AF43AB96B75306203CFAE8</vt:lpwstr>
  </property>
</Properties>
</file>