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rPr>
      </w:pPr>
      <w:r>
        <w:rPr>
          <w:rFonts w:hint="eastAsia" w:ascii="黑体" w:hAnsi="黑体" w:eastAsia="黑体" w:cs="黑体"/>
          <w:b/>
          <w:bCs/>
          <w:sz w:val="36"/>
          <w:szCs w:val="36"/>
        </w:rPr>
        <w:t>桃江县</w:t>
      </w:r>
      <w:r>
        <w:rPr>
          <w:rFonts w:hint="eastAsia" w:ascii="黑体" w:hAnsi="黑体" w:eastAsia="黑体" w:cs="黑体"/>
          <w:b/>
          <w:bCs/>
          <w:sz w:val="36"/>
          <w:szCs w:val="36"/>
          <w:lang w:val="en-US" w:eastAsia="zh-CN"/>
        </w:rPr>
        <w:t>石牛江镇芙蓉学校建设</w:t>
      </w:r>
      <w:r>
        <w:rPr>
          <w:rFonts w:hint="eastAsia" w:ascii="黑体" w:hAnsi="黑体" w:eastAsia="黑体" w:cs="黑体"/>
          <w:b/>
          <w:bCs/>
          <w:sz w:val="36"/>
          <w:szCs w:val="36"/>
        </w:rPr>
        <w:t>项目支出绩效评价报告综述</w:t>
      </w:r>
    </w:p>
    <w:p>
      <w:pPr>
        <w:spacing w:line="440" w:lineRule="exact"/>
        <w:ind w:firstLine="640" w:firstLineChars="200"/>
        <w:rPr>
          <w:rFonts w:eastAsia="仿宋_GB2312"/>
          <w:sz w:val="32"/>
          <w:szCs w:val="32"/>
        </w:rPr>
      </w:pP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一、项目概况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基本概况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val="en-US" w:eastAsia="zh-CN"/>
        </w:rPr>
        <w:t>石牛江镇中心学校</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全额事业单位</w:t>
      </w:r>
      <w:r>
        <w:rPr>
          <w:rFonts w:hint="eastAsia" w:ascii="仿宋_GB2312" w:hAnsi="仿宋_GB2312" w:eastAsia="仿宋_GB2312" w:cs="仿宋_GB2312"/>
          <w:sz w:val="32"/>
          <w:szCs w:val="32"/>
        </w:rPr>
        <w:t>，下设桃江县</w:t>
      </w:r>
      <w:r>
        <w:rPr>
          <w:rFonts w:hint="eastAsia" w:ascii="仿宋_GB2312" w:hAnsi="仿宋_GB2312" w:eastAsia="仿宋_GB2312" w:cs="仿宋_GB2312"/>
          <w:sz w:val="32"/>
          <w:szCs w:val="32"/>
          <w:lang w:val="en-US" w:eastAsia="zh-CN"/>
        </w:rPr>
        <w:t>石牛江</w:t>
      </w:r>
      <w:r>
        <w:rPr>
          <w:rFonts w:hint="eastAsia" w:ascii="仿宋_GB2312" w:hAnsi="仿宋_GB2312" w:eastAsia="仿宋_GB2312" w:cs="仿宋_GB2312"/>
          <w:sz w:val="32"/>
          <w:szCs w:val="32"/>
        </w:rPr>
        <w:t>中心学校</w:t>
      </w:r>
      <w:r>
        <w:rPr>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桃江县石牛江镇石牛江</w:t>
      </w:r>
      <w:r>
        <w:rPr>
          <w:rFonts w:hint="eastAsia" w:ascii="仿宋_GB2312" w:hAnsi="仿宋_GB2312" w:eastAsia="仿宋_GB2312" w:cs="仿宋_GB2312"/>
          <w:sz w:val="32"/>
          <w:szCs w:val="32"/>
        </w:rPr>
        <w:t>中学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桃江县石牛江镇黄泥田小学，</w:t>
      </w: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val="en-US" w:eastAsia="zh-CN"/>
        </w:rPr>
        <w:t>石牛江镇完全</w:t>
      </w:r>
      <w:r>
        <w:rPr>
          <w:rFonts w:hint="eastAsia" w:ascii="仿宋_GB2312" w:hAnsi="仿宋_GB2312" w:eastAsia="仿宋_GB2312" w:cs="仿宋_GB2312"/>
          <w:sz w:val="32"/>
          <w:szCs w:val="32"/>
        </w:rPr>
        <w:t>小学，桃江县</w:t>
      </w:r>
      <w:r>
        <w:rPr>
          <w:rFonts w:hint="eastAsia" w:ascii="仿宋_GB2312" w:hAnsi="仿宋_GB2312" w:eastAsia="仿宋_GB2312" w:cs="仿宋_GB2312"/>
          <w:sz w:val="32"/>
          <w:szCs w:val="32"/>
          <w:lang w:val="en-US" w:eastAsia="zh-CN"/>
        </w:rPr>
        <w:t>石牛江镇枧塘坪小学</w:t>
      </w: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val="en-US" w:eastAsia="zh-CN"/>
        </w:rPr>
        <w:t>石牛江镇安陵坪小学，</w:t>
      </w: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val="en-US" w:eastAsia="zh-CN"/>
        </w:rPr>
        <w:t>石牛江镇川门湾小学，</w:t>
      </w: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val="en-US" w:eastAsia="zh-CN"/>
        </w:rPr>
        <w:t>石牛江镇中心</w:t>
      </w:r>
      <w:r>
        <w:rPr>
          <w:rFonts w:hint="eastAsia" w:ascii="仿宋_GB2312" w:hAnsi="仿宋_GB2312" w:eastAsia="仿宋_GB2312" w:cs="仿宋_GB2312"/>
          <w:sz w:val="32"/>
          <w:szCs w:val="32"/>
        </w:rPr>
        <w:t>幼儿园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val="en-US" w:eastAsia="zh-CN"/>
        </w:rPr>
        <w:t>石牛江镇第二中心</w:t>
      </w:r>
      <w:r>
        <w:rPr>
          <w:rFonts w:hint="eastAsia" w:ascii="仿宋_GB2312" w:hAnsi="仿宋_GB2312" w:eastAsia="仿宋_GB2312" w:cs="仿宋_GB2312"/>
          <w:sz w:val="32"/>
          <w:szCs w:val="32"/>
        </w:rPr>
        <w:t>幼儿园。中心学校本级下设校长室，办公室，教务处，总务处，政教处。编办核定编制人数</w:t>
      </w:r>
      <w:r>
        <w:rPr>
          <w:rFonts w:hint="eastAsia" w:ascii="仿宋_GB2312" w:hAnsi="仿宋_GB2312" w:eastAsia="仿宋_GB2312" w:cs="仿宋_GB2312"/>
          <w:sz w:val="32"/>
          <w:szCs w:val="32"/>
          <w:lang w:val="en-US" w:eastAsia="zh-CN"/>
        </w:rPr>
        <w:t>209</w:t>
      </w:r>
      <w:r>
        <w:rPr>
          <w:rFonts w:hint="eastAsia" w:ascii="仿宋_GB2312" w:hAnsi="仿宋_GB2312" w:eastAsia="仿宋_GB2312" w:cs="仿宋_GB2312"/>
          <w:sz w:val="32"/>
          <w:szCs w:val="32"/>
        </w:rPr>
        <w:t>人，实有在职人数</w:t>
      </w:r>
      <w:r>
        <w:rPr>
          <w:rFonts w:hint="eastAsia" w:ascii="仿宋_GB2312" w:hAnsi="仿宋_GB2312" w:eastAsia="仿宋_GB2312" w:cs="仿宋_GB2312"/>
          <w:sz w:val="32"/>
          <w:szCs w:val="32"/>
          <w:lang w:val="en-US" w:eastAsia="zh-CN"/>
        </w:rPr>
        <w:t>216</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sz w:val="32"/>
          <w:szCs w:val="32"/>
        </w:rPr>
        <w:t>人。主要职责为：</w:t>
      </w:r>
      <w:r>
        <w:rPr>
          <w:rFonts w:hint="eastAsia" w:ascii="仿宋_GB2312" w:hAnsi="仿宋_GB2312" w:eastAsia="仿宋_GB2312" w:cs="仿宋_GB2312"/>
          <w:sz w:val="32"/>
          <w:szCs w:val="32"/>
          <w:lang w:val="en-US" w:eastAsia="zh-CN"/>
        </w:rPr>
        <w:t>1、组织实施教育有关法律法规。2、承担区域内义务教育教学和管理工作；3、学前教育阶段教育教学和学校管理工作。</w:t>
      </w:r>
    </w:p>
    <w:p>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sz w:val="32"/>
          <w:szCs w:val="32"/>
          <w:lang w:val="en-US" w:eastAsia="zh-CN"/>
        </w:rPr>
      </w:pPr>
      <w:r>
        <w:rPr>
          <w:rFonts w:hint="eastAsia" w:ascii="仿宋" w:hAnsi="仿宋" w:eastAsia="仿宋" w:cs="仿宋"/>
          <w:kern w:val="0"/>
          <w:sz w:val="32"/>
          <w:szCs w:val="32"/>
        </w:rPr>
        <w:t>（二）项目基本情况</w:t>
      </w:r>
      <w:r>
        <w:rPr>
          <w:rFonts w:hint="eastAsia" w:ascii="仿宋" w:hAnsi="仿宋" w:eastAsia="仿宋" w:cs="仿宋"/>
          <w:kern w:val="0"/>
          <w:sz w:val="32"/>
          <w:szCs w:val="32"/>
          <w:lang w:eastAsia="zh-CN"/>
        </w:rPr>
        <w:t>。桃江县</w:t>
      </w:r>
      <w:r>
        <w:rPr>
          <w:rFonts w:hint="eastAsia" w:ascii="仿宋" w:hAnsi="仿宋" w:eastAsia="仿宋" w:cs="仿宋"/>
          <w:kern w:val="0"/>
          <w:sz w:val="32"/>
          <w:szCs w:val="32"/>
          <w:lang w:val="en-US" w:eastAsia="zh-CN"/>
        </w:rPr>
        <w:t>石牛江镇芙蓉学校建设工程位于桃江县石牛江镇芙蓉学校内，建设内容为学校教学楼和综合楼建设，包括房屋建设和装修及设备采购和安装工程。</w:t>
      </w:r>
      <w:r>
        <w:rPr>
          <w:rFonts w:hint="eastAsia" w:ascii="仿宋" w:hAnsi="仿宋" w:eastAsia="仿宋" w:cs="仿宋"/>
          <w:kern w:val="0"/>
          <w:sz w:val="32"/>
          <w:szCs w:val="32"/>
          <w:lang w:eastAsia="zh-CN"/>
        </w:rPr>
        <w:t>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总投资概算批复为</w:t>
      </w:r>
      <w:r>
        <w:rPr>
          <w:rFonts w:hint="eastAsia" w:ascii="仿宋" w:hAnsi="仿宋" w:eastAsia="仿宋" w:cs="仿宋"/>
          <w:kern w:val="0"/>
          <w:sz w:val="32"/>
          <w:szCs w:val="32"/>
          <w:lang w:val="en-US" w:eastAsia="zh-CN"/>
        </w:rPr>
        <w:t>1146万元。</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）项目绩效目标</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按时组织项目开工建设，严格按预算支出，管控好施工中的各种突发事件，监督好工程质量，加快工程进度，努力推进我校项目建设，争取完成全年的项目建设任务，按时完成项目工程，使其尽早服务于方大师生。</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二、项目资金使用及管理情况分析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（一）项目资金</w:t>
      </w:r>
      <w:r>
        <w:rPr>
          <w:rFonts w:hint="eastAsia" w:ascii="仿宋" w:hAnsi="仿宋" w:eastAsia="仿宋" w:cs="仿宋"/>
          <w:kern w:val="0"/>
          <w:sz w:val="32"/>
          <w:szCs w:val="32"/>
          <w:lang w:val="en-US" w:eastAsia="zh-CN"/>
        </w:rPr>
        <w:t>到位情况。根据2021年度工作安排，县财政局安排的建设项目专项建设资金1146</w:t>
      </w:r>
      <w:bookmarkStart w:id="0" w:name="_GoBack"/>
      <w:bookmarkEnd w:id="0"/>
      <w:r>
        <w:rPr>
          <w:rFonts w:hint="eastAsia" w:ascii="仿宋" w:hAnsi="仿宋" w:eastAsia="仿宋" w:cs="仿宋"/>
          <w:kern w:val="0"/>
          <w:sz w:val="32"/>
          <w:szCs w:val="32"/>
          <w:lang w:val="en-US" w:eastAsia="zh-CN"/>
        </w:rPr>
        <w:t>万元，已全部到位。</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项目组织实施情况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资金使用过程中，</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县委县</w:t>
      </w:r>
      <w:r>
        <w:rPr>
          <w:rFonts w:hint="eastAsia" w:ascii="仿宋_GB2312" w:hAnsi="仿宋_GB2312" w:eastAsia="仿宋_GB2312" w:cs="仿宋_GB2312"/>
          <w:sz w:val="32"/>
          <w:szCs w:val="32"/>
        </w:rPr>
        <w:t>政府的中心工作，加强管理，使项目实施组织有序，质量标准较高，时间进度较快。主要体现在：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3、加强质量监管，严把质量关，从材料，施工，监理层层把关。</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4、加强安全生产管理，杜绝施工中发生安全事故。</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三、项目组织实施情况分析</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（一）项目组织实施情况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2021年我校在建项目进行了公开招投标，确定了施工单位，然事施工单位进场施工，目前项目主体已全部完工，配套工程正在也已基本完工，准备进行项目整体竣工验收。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kern w:val="0"/>
          <w:sz w:val="32"/>
          <w:szCs w:val="32"/>
        </w:rPr>
        <w:t>（二）项目管理情况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我校所有项目建设均按照有关规章制度和项目实施完成情况进行资金支付。所有建设资金由我校总务处为主管理，并根据相关要求建立台账。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仿宋_GB2312" w:eastAsia="仿宋_GB2312" w:cs="仿宋_GB2312"/>
          <w:sz w:val="32"/>
          <w:szCs w:val="32"/>
        </w:rPr>
      </w:pPr>
      <w:r>
        <w:rPr>
          <w:rFonts w:hint="eastAsia" w:ascii="仿宋_GB2312" w:hAnsi="Calibri" w:eastAsia="仿宋_GB2312" w:cs="Times New Roman"/>
          <w:b/>
          <w:sz w:val="32"/>
          <w:szCs w:val="32"/>
          <w:lang w:val="en-US" w:eastAsia="zh-CN"/>
        </w:rPr>
        <w:t>四、综合评价情况及评价结论</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政府的中心工作，</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目标完成</w:t>
      </w:r>
      <w:r>
        <w:rPr>
          <w:rFonts w:hint="eastAsia" w:ascii="仿宋_GB2312" w:hAnsi="仿宋_GB2312" w:eastAsia="仿宋_GB2312" w:cs="仿宋_GB2312"/>
          <w:sz w:val="32"/>
          <w:szCs w:val="32"/>
          <w:lang w:eastAsia="zh-CN"/>
        </w:rPr>
        <w:t>情况良好</w:t>
      </w:r>
      <w:r>
        <w:rPr>
          <w:rFonts w:hint="eastAsia" w:ascii="仿宋_GB2312" w:hAnsi="仿宋_GB2312" w:eastAsia="仿宋_GB2312" w:cs="仿宋_GB2312"/>
          <w:sz w:val="32"/>
          <w:szCs w:val="32"/>
        </w:rPr>
        <w:t>，达到了预期的完满效果，自评</w:t>
      </w:r>
      <w:r>
        <w:rPr>
          <w:rFonts w:hint="eastAsia" w:ascii="仿宋_GB2312" w:hAnsi="仿宋_GB2312" w:eastAsia="仿宋_GB2312" w:cs="仿宋_GB2312"/>
          <w:sz w:val="32"/>
          <w:szCs w:val="32"/>
          <w:lang w:val="en-US" w:eastAsia="zh-CN"/>
        </w:rPr>
        <w:t>分为95分，</w:t>
      </w:r>
      <w:r>
        <w:rPr>
          <w:rFonts w:hint="eastAsia" w:ascii="仿宋_GB2312" w:hAnsi="仿宋_GB2312" w:eastAsia="仿宋_GB2312" w:cs="仿宋_GB2312"/>
          <w:sz w:val="32"/>
          <w:szCs w:val="32"/>
        </w:rPr>
        <w:t>自评情况为优秀</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lang w:val="en-US" w:eastAsia="zh-CN"/>
        </w:rPr>
        <w:t>五</w:t>
      </w:r>
      <w:r>
        <w:rPr>
          <w:rFonts w:hint="eastAsia" w:ascii="仿宋_GB2312" w:hAnsi="Calibri" w:eastAsia="仿宋_GB2312" w:cs="Times New Roman"/>
          <w:b/>
          <w:sz w:val="32"/>
          <w:szCs w:val="32"/>
        </w:rPr>
        <w:t>、绩效评价工作开展情况</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（一）绩效评价目的。</w:t>
      </w:r>
      <w:r>
        <w:rPr>
          <w:rFonts w:hint="eastAsia" w:ascii="仿宋" w:hAnsi="仿宋" w:eastAsia="仿宋" w:cs="仿宋"/>
          <w:kern w:val="0"/>
          <w:sz w:val="32"/>
          <w:szCs w:val="32"/>
          <w:lang w:val="en-US" w:eastAsia="zh-CN"/>
        </w:rPr>
        <w:t>对照年初确定的绩效目标各项任务，加强项目和资金管理，确保资金使用合理合法，努力推进项目建设，提高专项资金使用效率。</w:t>
      </w:r>
    </w:p>
    <w:p>
      <w:pPr>
        <w:spacing w:line="594"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（二）绩效评价结果。</w:t>
      </w:r>
      <w:r>
        <w:rPr>
          <w:rFonts w:hint="eastAsia" w:ascii="仿宋" w:hAnsi="仿宋" w:eastAsia="仿宋" w:cs="仿宋"/>
          <w:kern w:val="0"/>
          <w:sz w:val="32"/>
          <w:szCs w:val="32"/>
          <w:lang w:val="en-US" w:eastAsia="zh-CN"/>
        </w:rPr>
        <w:t>2021年我校项目专项支出绩效工作基本完成，达到了预期的效果，积极有效的推进了我校项目建设，为我县项目建设环境营造了良好的风气。</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p>
    <w:p>
      <w:pPr>
        <w:spacing w:line="560" w:lineRule="exact"/>
        <w:ind w:firstLine="643" w:firstLineChars="200"/>
        <w:rPr>
          <w:rFonts w:hint="eastAsia" w:ascii="仿宋_GB2312" w:hAnsi="Calibri" w:eastAsia="仿宋_GB2312" w:cs="Times New Roman"/>
          <w:b/>
          <w:sz w:val="32"/>
          <w:szCs w:val="32"/>
          <w:lang w:val="en-US" w:eastAsia="zh-CN"/>
        </w:rPr>
      </w:pPr>
      <w:r>
        <w:rPr>
          <w:rFonts w:hint="eastAsia" w:ascii="仿宋_GB2312" w:hAnsi="Calibri" w:eastAsia="仿宋_GB2312" w:cs="Times New Roman"/>
          <w:b/>
          <w:sz w:val="32"/>
          <w:szCs w:val="32"/>
          <w:lang w:val="en-US" w:eastAsia="zh-CN"/>
        </w:rPr>
        <w:t>六、主要经验及做法、存在问题和建议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主要经验及做法</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项目相关</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室精心组织、策划以及各相关单位的相互支持、密切配合，是保证此项目顺利开展的必要条件。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成立了专门的项目工作小组，项目组按统一规划，建立集中统一，分级管理的运行机制，结合项目特点编制科学的管理办法或实施方案，完善和规范管理制度。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项目负责人推进，各项工作责任到人、逐级审批、层层分管、环环相扣、各部门联动的管理机制，全力推进项目。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在实施过程中规范管理到事前有设计规划、事中有监督检查、事后有跟踪问效，对工程质量严格把关，发挥完善的机制、严格管理、人性化的方式对项目完成的积极作用。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在资金使用上严格按照规定执行，做到资金使用的安全规范，对项目经费实行专项管理，保证经费及时到位和合理使用。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存在的问题及原因分析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项目绩效评价实施的第一年，各项制度措施不够完善，无具体的绩效指标值，在实际的绩效评价工作中无法精准把握，实施单位绩效评价工作有待提升。</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针对问题提出的建议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绩效评价结果应用建议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其他需要说明的问题</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C087B"/>
    <w:rsid w:val="16467264"/>
    <w:rsid w:val="2A38247C"/>
    <w:rsid w:val="31F75E9A"/>
    <w:rsid w:val="3D8D563A"/>
    <w:rsid w:val="50572EE5"/>
    <w:rsid w:val="5CD72A90"/>
    <w:rsid w:val="64904480"/>
    <w:rsid w:val="6BFB6F6E"/>
    <w:rsid w:val="78E2734F"/>
    <w:rsid w:val="7CB555D4"/>
    <w:rsid w:val="7DCC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ind w:firstLine="720" w:firstLineChars="257"/>
    </w:pPr>
    <w:rPr>
      <w:kern w:val="0"/>
      <w:sz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Lenovo</cp:lastModifiedBy>
  <dcterms:modified xsi:type="dcterms:W3CDTF">2022-11-19T02:03:41Z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0269C3B877BB4E9ABC59CC5F5D2CAB1E</vt:lpwstr>
  </property>
</Properties>
</file>