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sz w:val="48"/>
          <w:szCs w:val="48"/>
        </w:rPr>
        <w:t>桃江县</w:t>
      </w:r>
      <w:r>
        <w:rPr>
          <w:rFonts w:hint="eastAsia" w:ascii="黑体" w:hAnsi="黑体" w:eastAsia="黑体"/>
          <w:sz w:val="48"/>
          <w:szCs w:val="48"/>
          <w:lang w:eastAsia="zh-CN"/>
        </w:rPr>
        <w:t>乡村振兴局绩效评价报告</w:t>
      </w:r>
    </w:p>
    <w:p>
      <w:pPr>
        <w:snapToGrid w:val="0"/>
        <w:ind w:firstLine="640" w:firstLineChars="200"/>
        <w:jc w:val="center"/>
        <w:rPr>
          <w:rFonts w:hint="eastAsia" w:ascii="仿宋_GB2312" w:hAnsi="仿宋"/>
          <w:sz w:val="32"/>
          <w:szCs w:val="32"/>
          <w:lang w:val="en-US" w:eastAsia="zh-CN"/>
        </w:rPr>
      </w:pPr>
    </w:p>
    <w:p>
      <w:pPr>
        <w:snapToGrid w:val="0"/>
        <w:ind w:firstLine="640" w:firstLineChars="200"/>
        <w:jc w:val="center"/>
        <w:rPr>
          <w:rFonts w:hint="default" w:ascii="仿宋_GB2312" w:hAnsi="仿宋" w:eastAsia="宋体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（2021年度）</w:t>
      </w:r>
    </w:p>
    <w:p>
      <w:pPr>
        <w:spacing w:line="594" w:lineRule="exact"/>
        <w:ind w:firstLine="640" w:firstLineChars="200"/>
        <w:rPr>
          <w:rFonts w:ascii="仿宋_GB2312" w:hAnsi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仿宋_GB2312" w:hAnsi="仿宋_GB2312" w:eastAsia="宋体"/>
          <w:sz w:val="32"/>
          <w:szCs w:val="32"/>
          <w:lang w:eastAsia="zh-CN"/>
        </w:rPr>
      </w:pPr>
      <w:r>
        <w:rPr>
          <w:rFonts w:hint="eastAsia" w:ascii="仿宋_GB2312" w:hAnsi="仿宋_GB2312"/>
          <w:sz w:val="32"/>
          <w:szCs w:val="32"/>
          <w:lang w:eastAsia="zh-CN"/>
        </w:rPr>
        <w:t>桃江县乡村振兴局，为</w:t>
      </w:r>
      <w:r>
        <w:rPr>
          <w:rFonts w:ascii="仿宋_GB2312" w:hAnsi="仿宋_GB2312"/>
          <w:sz w:val="32"/>
          <w:szCs w:val="32"/>
        </w:rPr>
        <w:t>一级预算单位。核定人员</w:t>
      </w:r>
      <w:r>
        <w:rPr>
          <w:rFonts w:hint="eastAsia" w:ascii="仿宋_GB2312" w:hAnsi="仿宋_GB2312"/>
          <w:sz w:val="32"/>
          <w:szCs w:val="32"/>
          <w:lang w:eastAsia="zh-CN"/>
        </w:rPr>
        <w:t>行政</w:t>
      </w:r>
      <w:r>
        <w:rPr>
          <w:rFonts w:ascii="仿宋_GB2312" w:hAnsi="仿宋_GB2312"/>
          <w:sz w:val="32"/>
          <w:szCs w:val="32"/>
        </w:rPr>
        <w:t>编制数10人，</w:t>
      </w:r>
      <w:r>
        <w:rPr>
          <w:rFonts w:hint="eastAsia" w:ascii="仿宋_GB2312" w:hAnsi="仿宋_GB2312"/>
          <w:sz w:val="32"/>
          <w:szCs w:val="32"/>
          <w:lang w:eastAsia="zh-CN"/>
        </w:rPr>
        <w:t>机关工勤编制</w:t>
      </w:r>
      <w:r>
        <w:rPr>
          <w:rFonts w:hint="eastAsia" w:ascii="仿宋_GB2312" w:hAnsi="仿宋_GB2312"/>
          <w:sz w:val="32"/>
          <w:szCs w:val="32"/>
          <w:lang w:val="en-US" w:eastAsia="zh-CN"/>
        </w:rPr>
        <w:t>1人，事业编制5人。</w:t>
      </w:r>
      <w:r>
        <w:rPr>
          <w:rFonts w:ascii="仿宋_GB2312" w:hAnsi="仿宋_GB2312"/>
          <w:sz w:val="32"/>
          <w:szCs w:val="32"/>
        </w:rPr>
        <w:t>20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21</w:t>
      </w:r>
      <w:r>
        <w:rPr>
          <w:rFonts w:ascii="仿宋_GB2312" w:hAnsi="仿宋_GB2312"/>
          <w:sz w:val="32"/>
          <w:szCs w:val="32"/>
        </w:rPr>
        <w:t>年实有工作人员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25</w:t>
      </w:r>
      <w:r>
        <w:rPr>
          <w:rFonts w:ascii="仿宋_GB2312" w:hAnsi="仿宋_GB2312"/>
          <w:sz w:val="32"/>
          <w:szCs w:val="32"/>
        </w:rPr>
        <w:t>人</w:t>
      </w:r>
      <w:r>
        <w:rPr>
          <w:rFonts w:ascii="仿宋_GB2312" w:hAnsi="仿宋_GB2312"/>
          <w:sz w:val="32"/>
          <w:szCs w:val="32"/>
          <w:highlight w:val="none"/>
        </w:rPr>
        <w:t>（其中</w:t>
      </w:r>
      <w:r>
        <w:rPr>
          <w:rFonts w:hint="eastAsia" w:ascii="仿宋_GB2312" w:hAnsi="仿宋_GB2312"/>
          <w:sz w:val="32"/>
          <w:szCs w:val="32"/>
          <w:highlight w:val="none"/>
          <w:lang w:eastAsia="zh-CN"/>
        </w:rPr>
        <w:t>在编在岗</w:t>
      </w:r>
      <w:r>
        <w:rPr>
          <w:rFonts w:ascii="仿宋_GB2312" w:hAnsi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4</w:t>
      </w:r>
      <w:r>
        <w:rPr>
          <w:rFonts w:ascii="仿宋_GB2312" w:hAnsi="仿宋_GB2312"/>
          <w:sz w:val="32"/>
          <w:szCs w:val="32"/>
          <w:highlight w:val="none"/>
        </w:rPr>
        <w:t>人，由于工作需要，从其他单位抽调了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11</w:t>
      </w:r>
      <w:r>
        <w:rPr>
          <w:rFonts w:ascii="仿宋_GB2312" w:hAnsi="仿宋_GB2312"/>
          <w:sz w:val="32"/>
          <w:szCs w:val="32"/>
          <w:highlight w:val="none"/>
        </w:rPr>
        <w:t>人到</w:t>
      </w:r>
      <w:r>
        <w:rPr>
          <w:rFonts w:hint="eastAsia" w:ascii="仿宋_GB2312" w:hAnsi="仿宋_GB2312"/>
          <w:sz w:val="32"/>
          <w:szCs w:val="32"/>
          <w:highlight w:val="none"/>
          <w:lang w:eastAsia="zh-CN"/>
        </w:rPr>
        <w:t>乡村振兴局</w:t>
      </w:r>
      <w:r>
        <w:rPr>
          <w:rFonts w:ascii="仿宋_GB2312" w:hAnsi="仿宋_GB2312"/>
          <w:sz w:val="32"/>
          <w:szCs w:val="32"/>
          <w:highlight w:val="none"/>
        </w:rPr>
        <w:t>集中办公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），</w:t>
      </w:r>
      <w:r>
        <w:rPr>
          <w:rFonts w:ascii="仿宋_GB2312" w:hAnsi="仿宋_GB2312"/>
          <w:sz w:val="32"/>
          <w:szCs w:val="32"/>
          <w:highlight w:val="none"/>
        </w:rPr>
        <w:t>他</w:t>
      </w:r>
      <w:r>
        <w:rPr>
          <w:rFonts w:ascii="仿宋_GB2312" w:hAnsi="仿宋_GB2312"/>
          <w:sz w:val="32"/>
          <w:szCs w:val="32"/>
        </w:rPr>
        <w:t>们的基本工资由原单位发放，出差补助，伙食补助，法定节日补助，绩效考核奖励等由</w:t>
      </w:r>
      <w:r>
        <w:rPr>
          <w:rFonts w:hint="eastAsia" w:ascii="仿宋_GB2312" w:hAnsi="仿宋_GB2312"/>
          <w:sz w:val="32"/>
          <w:szCs w:val="32"/>
          <w:lang w:eastAsia="zh-CN"/>
        </w:rPr>
        <w:t>乡村振兴局</w:t>
      </w:r>
      <w:r>
        <w:rPr>
          <w:rFonts w:ascii="仿宋_GB2312" w:hAnsi="仿宋_GB2312"/>
          <w:sz w:val="32"/>
          <w:szCs w:val="32"/>
        </w:rPr>
        <w:t>发放</w:t>
      </w:r>
      <w:r>
        <w:rPr>
          <w:rFonts w:hint="eastAsia" w:ascii="仿宋_GB2312" w:hAnsi="仿宋_GB2312"/>
          <w:sz w:val="32"/>
          <w:szCs w:val="32"/>
          <w:lang w:eastAsia="zh-CN"/>
        </w:rPr>
        <w:t>，他们的工作经费由县乡村振兴局保障。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主要职能</w:t>
      </w:r>
    </w:p>
    <w:p>
      <w:pPr>
        <w:spacing w:line="594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贯彻执行党和国家扶贫开发的法律法规和方针政策，拟定全县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政策措施，编制全县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中长期规划和年度计划并协调组织实施，负责贫困状况监测和统计;会同有关部门管理各级财政</w:t>
      </w:r>
      <w:r>
        <w:rPr>
          <w:rFonts w:hint="eastAsia" w:ascii="仿宋_GB2312" w:hAnsi="仿宋_GB2312"/>
          <w:sz w:val="32"/>
          <w:szCs w:val="32"/>
          <w:lang w:eastAsia="zh-CN"/>
        </w:rPr>
        <w:t>衔接</w:t>
      </w:r>
      <w:r>
        <w:rPr>
          <w:rFonts w:ascii="仿宋_GB2312" w:hAnsi="仿宋_GB2312"/>
          <w:sz w:val="32"/>
          <w:szCs w:val="32"/>
        </w:rPr>
        <w:t>专项资金，拟订全县</w:t>
      </w:r>
      <w:r>
        <w:rPr>
          <w:rFonts w:hint="eastAsia" w:ascii="仿宋_GB2312" w:hAnsi="仿宋_GB2312"/>
          <w:sz w:val="32"/>
          <w:szCs w:val="32"/>
          <w:lang w:eastAsia="zh-CN"/>
        </w:rPr>
        <w:t>乡村振兴衔接</w:t>
      </w:r>
      <w:r>
        <w:rPr>
          <w:rFonts w:ascii="仿宋_GB2312" w:hAnsi="仿宋_GB2312"/>
          <w:sz w:val="32"/>
          <w:szCs w:val="32"/>
        </w:rPr>
        <w:t>资金分配方案，指导和监督检查</w:t>
      </w:r>
      <w:r>
        <w:rPr>
          <w:rFonts w:hint="eastAsia" w:ascii="仿宋_GB2312" w:hAnsi="仿宋_GB2312"/>
          <w:sz w:val="32"/>
          <w:szCs w:val="32"/>
          <w:lang w:eastAsia="zh-CN"/>
        </w:rPr>
        <w:t>乡村振兴衔接资金</w:t>
      </w:r>
      <w:r>
        <w:rPr>
          <w:rFonts w:ascii="仿宋_GB2312" w:hAnsi="仿宋_GB2312"/>
          <w:sz w:val="32"/>
          <w:szCs w:val="32"/>
        </w:rPr>
        <w:t>的使用;负责财政扶贫资金项目库建设，组织财政</w:t>
      </w:r>
      <w:r>
        <w:rPr>
          <w:rFonts w:hint="eastAsia" w:ascii="仿宋_GB2312" w:hAnsi="仿宋_GB2312"/>
          <w:sz w:val="32"/>
          <w:szCs w:val="32"/>
          <w:lang w:eastAsia="zh-CN"/>
        </w:rPr>
        <w:t>衔接</w:t>
      </w:r>
      <w:r>
        <w:rPr>
          <w:rFonts w:ascii="仿宋_GB2312" w:hAnsi="仿宋_GB2312"/>
          <w:sz w:val="32"/>
          <w:szCs w:val="32"/>
        </w:rPr>
        <w:t>资金项目的规划、设计、论证、筛选和申报审批；负责指导协调和检查评估财政</w:t>
      </w:r>
      <w:r>
        <w:rPr>
          <w:rFonts w:hint="eastAsia" w:ascii="仿宋_GB2312" w:hAnsi="仿宋_GB2312"/>
          <w:sz w:val="32"/>
          <w:szCs w:val="32"/>
          <w:lang w:eastAsia="zh-CN"/>
        </w:rPr>
        <w:t>衔接</w:t>
      </w:r>
      <w:r>
        <w:rPr>
          <w:rFonts w:ascii="仿宋_GB2312" w:hAnsi="仿宋_GB2312"/>
          <w:sz w:val="32"/>
          <w:szCs w:val="32"/>
        </w:rPr>
        <w:t>资金项目实施；参与信贷扶贫项目的立项、审核、推荐申报工作;负责制定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技术推广和培训计划；协调、组织、指导扶贫开发技术推广和培训；组织实施</w:t>
      </w:r>
      <w:r>
        <w:rPr>
          <w:rFonts w:hint="eastAsia" w:ascii="仿宋_GB2312" w:hAnsi="仿宋_GB2312"/>
          <w:sz w:val="32"/>
          <w:szCs w:val="32"/>
          <w:lang w:eastAsia="zh-CN"/>
        </w:rPr>
        <w:t>“小额信贷贴息”</w:t>
      </w:r>
      <w:r>
        <w:rPr>
          <w:rFonts w:ascii="仿宋_GB2312" w:hAnsi="仿宋_GB2312"/>
          <w:sz w:val="32"/>
          <w:szCs w:val="32"/>
        </w:rPr>
        <w:t>“雨露计划”项目;指导和协调全县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工作；协调和管理有关扶贫捐款资金和物资，联络上级单位对我县定点扶贫工作；负责全县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的对外交流与合作工作；协同有关部门实施驻村帮扶计划;负责全县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工作的督查和考核；负责全县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有关的信息和宣传工作;承担县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领导小组办公室的具体工作;承办县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领导小组和县委、县政府交办的其他工作。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宋体"/>
          <w:color w:val="000000"/>
          <w:sz w:val="32"/>
          <w:szCs w:val="32"/>
          <w:lang w:val="en-US" w:eastAsia="zh-CN"/>
        </w:rPr>
      </w:pPr>
      <w:r>
        <w:rPr>
          <w:rFonts w:ascii="仿宋_GB2312" w:hAnsi="仿宋_GB2312"/>
          <w:sz w:val="32"/>
          <w:szCs w:val="32"/>
        </w:rPr>
        <w:t>20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21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积极贯彻执行国家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政策，督促各行业</w:t>
      </w:r>
      <w:r>
        <w:rPr>
          <w:rFonts w:hint="eastAsia" w:ascii="仿宋_GB2312" w:hAnsi="仿宋_GB2312"/>
          <w:sz w:val="32"/>
          <w:szCs w:val="32"/>
          <w:lang w:eastAsia="zh-CN"/>
        </w:rPr>
        <w:t>乡村振兴</w:t>
      </w:r>
      <w:r>
        <w:rPr>
          <w:rFonts w:ascii="仿宋_GB2312" w:hAnsi="仿宋_GB2312"/>
          <w:sz w:val="32"/>
          <w:szCs w:val="32"/>
        </w:rPr>
        <w:t>部门认真履职，</w:t>
      </w:r>
      <w:r>
        <w:rPr>
          <w:rFonts w:ascii="仿宋_GB2312" w:hAnsi="仿宋_GB2312"/>
          <w:color w:val="000000"/>
          <w:sz w:val="32"/>
          <w:szCs w:val="32"/>
        </w:rPr>
        <w:t>有力地加强了贫困地方基础设施建设，激发了贫困户的内生动力，提高了贫困户自身发展能力。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二、收入支出预算执行情况分析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仿宋_GB2312" w:eastAsia="宋体"/>
          <w:sz w:val="32"/>
          <w:szCs w:val="32"/>
          <w:lang w:val="en-US" w:eastAsia="zh-CN"/>
        </w:rPr>
      </w:pPr>
      <w:r>
        <w:rPr>
          <w:rFonts w:ascii="仿宋_GB2312" w:hAnsi="仿宋_GB2312"/>
          <w:sz w:val="32"/>
          <w:szCs w:val="32"/>
        </w:rPr>
        <w:t>20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21</w:t>
      </w:r>
      <w:r>
        <w:rPr>
          <w:rFonts w:ascii="仿宋_GB2312" w:hAnsi="仿宋_GB2312"/>
          <w:sz w:val="32"/>
          <w:szCs w:val="32"/>
        </w:rPr>
        <w:t>年财政拨款收入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2029.01</w:t>
      </w:r>
      <w:r>
        <w:rPr>
          <w:rFonts w:ascii="仿宋_GB2312" w:hAnsi="仿宋_GB2312"/>
          <w:sz w:val="32"/>
          <w:szCs w:val="32"/>
        </w:rPr>
        <w:t>万元，财政拨款支出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2029.01</w:t>
      </w:r>
      <w:r>
        <w:rPr>
          <w:rFonts w:ascii="仿宋_GB2312" w:hAnsi="仿宋_GB2312"/>
          <w:sz w:val="32"/>
          <w:szCs w:val="32"/>
        </w:rPr>
        <w:t>万元，其中基本支出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139.84</w:t>
      </w:r>
      <w:r>
        <w:rPr>
          <w:rFonts w:ascii="仿宋_GB2312" w:hAnsi="仿宋_GB2312"/>
          <w:sz w:val="32"/>
          <w:szCs w:val="32"/>
        </w:rPr>
        <w:t>万元，项目支出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1889.17</w:t>
      </w:r>
      <w:r>
        <w:rPr>
          <w:rFonts w:ascii="仿宋_GB2312" w:hAnsi="仿宋_GB2312"/>
          <w:sz w:val="32"/>
          <w:szCs w:val="32"/>
        </w:rPr>
        <w:t>万元，收支平衡。与20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20</w:t>
      </w:r>
      <w:r>
        <w:rPr>
          <w:rFonts w:ascii="仿宋_GB2312" w:hAnsi="仿宋_GB2312"/>
          <w:sz w:val="32"/>
          <w:szCs w:val="32"/>
        </w:rPr>
        <w:t>年相比，收支</w:t>
      </w:r>
      <w:r>
        <w:rPr>
          <w:rFonts w:hint="eastAsia" w:ascii="仿宋_GB2312" w:hAnsi="仿宋_GB2312"/>
          <w:sz w:val="32"/>
          <w:szCs w:val="32"/>
          <w:lang w:eastAsia="zh-CN"/>
        </w:rPr>
        <w:t>增加</w:t>
      </w:r>
      <w:r>
        <w:rPr>
          <w:rFonts w:hint="eastAsia" w:ascii="仿宋_GB2312" w:hAnsi="仿宋_GB2312"/>
          <w:sz w:val="32"/>
          <w:szCs w:val="32"/>
          <w:lang w:val="en-US" w:eastAsia="zh-CN"/>
        </w:rPr>
        <w:t>575.79万元，增幅39.6</w:t>
      </w:r>
      <w:r>
        <w:rPr>
          <w:rFonts w:ascii="仿宋_GB2312" w:hAnsi="仿宋_GB2312"/>
          <w:sz w:val="32"/>
          <w:szCs w:val="32"/>
        </w:rPr>
        <w:t>%</w:t>
      </w:r>
      <w:r>
        <w:rPr>
          <w:rFonts w:hint="eastAsia" w:ascii="仿宋_GB2312" w:hAnsi="仿宋_GB2312"/>
          <w:sz w:val="32"/>
          <w:szCs w:val="32"/>
          <w:lang w:eastAsia="zh-CN"/>
        </w:rPr>
        <w:t>。主要是增加了“特惠保”和“防贫综合保险”两项支出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（一）财政拨款收入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2029.01</w:t>
      </w:r>
      <w:r>
        <w:rPr>
          <w:rFonts w:ascii="仿宋_GB2312" w:hAnsi="仿宋_GB2312"/>
          <w:sz w:val="32"/>
          <w:szCs w:val="32"/>
        </w:rPr>
        <w:t>万元。其中基本支出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139.84</w:t>
      </w:r>
      <w:r>
        <w:rPr>
          <w:rFonts w:ascii="仿宋_GB2312" w:hAnsi="仿宋_GB2312"/>
          <w:sz w:val="32"/>
          <w:szCs w:val="32"/>
        </w:rPr>
        <w:t>万元，项目支出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1889.17</w:t>
      </w:r>
      <w:r>
        <w:rPr>
          <w:rFonts w:ascii="仿宋_GB2312" w:hAnsi="仿宋_GB2312"/>
          <w:sz w:val="32"/>
          <w:szCs w:val="32"/>
        </w:rPr>
        <w:t>万元，收支平衡。</w:t>
      </w:r>
    </w:p>
    <w:p>
      <w:pPr>
        <w:snapToGrid w:val="0"/>
        <w:spacing w:line="52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（二）财政拨款支出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2029.01</w:t>
      </w:r>
      <w:r>
        <w:rPr>
          <w:rFonts w:ascii="仿宋_GB2312" w:hAnsi="仿宋_GB2312"/>
          <w:sz w:val="32"/>
          <w:szCs w:val="32"/>
        </w:rPr>
        <w:t>万元。其中行政运行支出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139.84</w:t>
      </w:r>
      <w:r>
        <w:rPr>
          <w:rFonts w:ascii="仿宋_GB2312" w:hAnsi="仿宋_GB2312"/>
          <w:sz w:val="32"/>
          <w:szCs w:val="32"/>
        </w:rPr>
        <w:t>万元，一般行政管理事务支出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122.16</w:t>
      </w:r>
      <w:r>
        <w:rPr>
          <w:rFonts w:ascii="仿宋_GB2312" w:hAnsi="仿宋_GB2312"/>
          <w:sz w:val="32"/>
          <w:szCs w:val="32"/>
        </w:rPr>
        <w:t>万元，扶贫贷款奖补和贴息支出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373</w:t>
      </w:r>
      <w:r>
        <w:rPr>
          <w:rFonts w:ascii="仿宋_GB2312" w:hAnsi="仿宋_GB2312"/>
          <w:sz w:val="32"/>
          <w:szCs w:val="32"/>
        </w:rPr>
        <w:t>万元，其他扶贫支出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1394.01</w:t>
      </w:r>
      <w:r>
        <w:rPr>
          <w:rFonts w:ascii="仿宋_GB2312" w:hAnsi="仿宋_GB2312"/>
          <w:sz w:val="32"/>
          <w:szCs w:val="32"/>
        </w:rPr>
        <w:t>万元。</w:t>
      </w:r>
    </w:p>
    <w:p>
      <w:pPr>
        <w:snapToGrid w:val="0"/>
        <w:spacing w:line="52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（三）支出按经济分类科目分析。</w:t>
      </w:r>
    </w:p>
    <w:p>
      <w:pPr>
        <w:snapToGrid w:val="0"/>
        <w:spacing w:line="52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（1）</w:t>
      </w:r>
      <w:r>
        <w:rPr>
          <w:rFonts w:ascii="仿宋_GB2312" w:hAnsi="仿宋_GB2312"/>
          <w:b/>
          <w:bCs/>
          <w:sz w:val="32"/>
          <w:szCs w:val="32"/>
        </w:rPr>
        <w:t>“</w:t>
      </w:r>
      <w:r>
        <w:rPr>
          <w:rFonts w:ascii="仿宋_GB2312" w:hAnsi="仿宋_GB2312"/>
          <w:sz w:val="32"/>
          <w:szCs w:val="32"/>
        </w:rPr>
        <w:t>三公</w:t>
      </w:r>
      <w:r>
        <w:rPr>
          <w:rFonts w:ascii="仿宋_GB2312" w:hAnsi="仿宋_GB2312"/>
          <w:b/>
          <w:bCs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经费支出情况：20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21</w:t>
      </w:r>
      <w:r>
        <w:rPr>
          <w:rFonts w:ascii="仿宋_GB2312" w:hAnsi="仿宋_GB2312"/>
          <w:sz w:val="32"/>
          <w:szCs w:val="32"/>
        </w:rPr>
        <w:t>年三公经费支出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2.92</w:t>
      </w:r>
      <w:r>
        <w:rPr>
          <w:rFonts w:ascii="仿宋_GB2312" w:hAnsi="仿宋_GB2312"/>
          <w:sz w:val="32"/>
          <w:szCs w:val="32"/>
        </w:rPr>
        <w:t>万元，</w:t>
      </w:r>
      <w:r>
        <w:rPr>
          <w:rFonts w:hint="eastAsia" w:ascii="仿宋_GB2312" w:hAnsi="仿宋_GB2312"/>
          <w:sz w:val="32"/>
          <w:szCs w:val="32"/>
          <w:lang w:eastAsia="zh-CN"/>
        </w:rPr>
        <w:t>比</w:t>
      </w:r>
      <w:r>
        <w:rPr>
          <w:rFonts w:ascii="仿宋_GB2312" w:hAnsi="仿宋_GB2312"/>
          <w:sz w:val="32"/>
          <w:szCs w:val="32"/>
        </w:rPr>
        <w:t>上年</w:t>
      </w:r>
      <w:r>
        <w:rPr>
          <w:rFonts w:hint="eastAsia" w:ascii="仿宋_GB2312" w:hAnsi="仿宋_GB2312"/>
          <w:sz w:val="32"/>
          <w:szCs w:val="32"/>
          <w:lang w:eastAsia="zh-CN"/>
        </w:rPr>
        <w:t>基本持平</w:t>
      </w:r>
      <w:r>
        <w:rPr>
          <w:rFonts w:ascii="仿宋_GB2312" w:hAnsi="仿宋_GB2312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宋体"/>
          <w:sz w:val="32"/>
          <w:szCs w:val="32"/>
          <w:highlight w:val="none"/>
          <w:lang w:eastAsia="zh-CN"/>
        </w:rPr>
      </w:pPr>
      <w:r>
        <w:rPr>
          <w:rFonts w:ascii="仿宋_GB2312" w:hAnsi="仿宋_GB2312"/>
          <w:sz w:val="32"/>
          <w:szCs w:val="32"/>
          <w:highlight w:val="none"/>
        </w:rPr>
        <w:t>（2）会议费支出情况：全年召开各类大小会议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35</w:t>
      </w:r>
      <w:r>
        <w:rPr>
          <w:rFonts w:ascii="仿宋_GB2312" w:hAnsi="仿宋_GB2312"/>
          <w:sz w:val="32"/>
          <w:szCs w:val="32"/>
          <w:highlight w:val="none"/>
        </w:rPr>
        <w:t>次，会议费支出2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5.2</w:t>
      </w:r>
      <w:r>
        <w:rPr>
          <w:rFonts w:ascii="仿宋_GB2312" w:hAnsi="仿宋_GB2312"/>
          <w:sz w:val="32"/>
          <w:szCs w:val="32"/>
          <w:highlight w:val="none"/>
        </w:rPr>
        <w:t>万元，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  <w:lang w:eastAsia="zh-CN"/>
        </w:rPr>
        <w:t>其中基本支出</w:t>
      </w:r>
      <w:r>
        <w:rPr>
          <w:rFonts w:hint="eastAsia" w:ascii="宋体" w:hAnsi="宋体" w:cs="宋体"/>
          <w:color w:val="000000"/>
          <w:kern w:val="2"/>
          <w:sz w:val="32"/>
          <w:szCs w:val="32"/>
          <w:highlight w:val="none"/>
          <w:lang w:eastAsia="zh-CN"/>
        </w:rPr>
        <w:t>中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  <w:lang w:eastAsia="zh-CN"/>
        </w:rPr>
        <w:t>会议费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  <w:lang w:val="en-US" w:eastAsia="zh-CN"/>
        </w:rPr>
        <w:t>2万元，项目支出</w:t>
      </w:r>
      <w:r>
        <w:rPr>
          <w:rFonts w:hint="eastAsia" w:ascii="宋体" w:hAnsi="宋体" w:cs="宋体"/>
          <w:color w:val="000000"/>
          <w:kern w:val="2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  <w:lang w:val="en-US" w:eastAsia="zh-CN"/>
        </w:rPr>
        <w:t>会议费23.2万元</w:t>
      </w:r>
      <w:r>
        <w:rPr>
          <w:rFonts w:hint="eastAsia" w:ascii="宋体" w:hAnsi="宋体" w:cs="宋体"/>
          <w:color w:val="000000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</w:rPr>
        <w:t>会议人数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  <w:lang w:val="en-US" w:eastAsia="zh-CN"/>
        </w:rPr>
        <w:t>950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</w:rPr>
        <w:t>人，用于召开全县巩固拓展脱贫攻坚成果业务培训、实地考核、调研工作部署等会议</w:t>
      </w:r>
      <w:r>
        <w:rPr>
          <w:rFonts w:hint="eastAsia" w:ascii="宋体" w:hAnsi="宋体" w:cs="宋体"/>
          <w:color w:val="000000"/>
          <w:kern w:val="2"/>
          <w:sz w:val="32"/>
          <w:szCs w:val="32"/>
          <w:highlight w:val="none"/>
          <w:lang w:eastAsia="zh-CN"/>
        </w:rPr>
        <w:t>，</w:t>
      </w:r>
      <w:r>
        <w:rPr>
          <w:rFonts w:ascii="仿宋_GB2312" w:hAnsi="仿宋_GB2312"/>
          <w:sz w:val="32"/>
          <w:szCs w:val="32"/>
          <w:highlight w:val="none"/>
        </w:rPr>
        <w:t>与上年</w:t>
      </w:r>
      <w:r>
        <w:rPr>
          <w:rFonts w:hint="eastAsia" w:ascii="仿宋_GB2312" w:hAnsi="仿宋_GB2312"/>
          <w:sz w:val="32"/>
          <w:szCs w:val="32"/>
          <w:highlight w:val="none"/>
          <w:lang w:eastAsia="zh-CN"/>
        </w:rPr>
        <w:t>基本</w:t>
      </w:r>
      <w:r>
        <w:rPr>
          <w:rFonts w:ascii="仿宋_GB2312" w:hAnsi="仿宋_GB2312"/>
          <w:sz w:val="32"/>
          <w:szCs w:val="32"/>
          <w:highlight w:val="none"/>
        </w:rPr>
        <w:t>持平</w:t>
      </w:r>
      <w:r>
        <w:rPr>
          <w:rFonts w:hint="eastAsia" w:ascii="仿宋_GB2312" w:hAnsi="仿宋_GB2312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</w:pPr>
      <w:r>
        <w:rPr>
          <w:rFonts w:ascii="仿宋_GB2312" w:hAnsi="仿宋_GB2312"/>
          <w:sz w:val="32"/>
          <w:szCs w:val="32"/>
          <w:highlight w:val="none"/>
        </w:rPr>
        <w:t>（3）培训费支出情况：全年培训费支出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59.65</w:t>
      </w:r>
      <w:r>
        <w:rPr>
          <w:rFonts w:ascii="仿宋_GB2312" w:hAnsi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/>
          <w:sz w:val="32"/>
          <w:szCs w:val="32"/>
          <w:highlight w:val="none"/>
          <w:lang w:eastAsia="zh-CN"/>
        </w:rPr>
        <w:t>比上年增加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13.5%,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  <w:lang w:eastAsia="zh-CN"/>
        </w:rPr>
        <w:t>其中基本支出</w:t>
      </w:r>
      <w:r>
        <w:rPr>
          <w:rFonts w:hint="eastAsia" w:ascii="宋体" w:hAnsi="宋体" w:cs="宋体"/>
          <w:color w:val="000000"/>
          <w:kern w:val="2"/>
          <w:sz w:val="32"/>
          <w:szCs w:val="32"/>
          <w:highlight w:val="none"/>
          <w:lang w:eastAsia="zh-CN"/>
        </w:rPr>
        <w:t>中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  <w:lang w:eastAsia="zh-CN"/>
        </w:rPr>
        <w:t>培训费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  <w:lang w:val="en-US" w:eastAsia="zh-CN"/>
        </w:rPr>
        <w:t>0.79万元，项目支出</w:t>
      </w:r>
      <w:r>
        <w:rPr>
          <w:rFonts w:hint="eastAsia" w:ascii="宋体" w:hAnsi="宋体" w:cs="宋体"/>
          <w:color w:val="000000"/>
          <w:kern w:val="2"/>
          <w:sz w:val="32"/>
          <w:szCs w:val="32"/>
          <w:highlight w:val="none"/>
          <w:lang w:val="en-US" w:eastAsia="zh-CN"/>
        </w:rPr>
        <w:t>中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  <w:lang w:val="en-US" w:eastAsia="zh-CN"/>
        </w:rPr>
        <w:t>培训费58.86，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</w:rPr>
        <w:t>培训人数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  <w:lang w:val="en-US" w:eastAsia="zh-CN"/>
        </w:rPr>
        <w:t>2050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highlight w:val="none"/>
        </w:rPr>
        <w:t>人，用于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创业致富人培训及组织县、乡、村各级乡村振兴专干培训，本年乡村振兴培训和外地考察学习比往年增加。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绩效评价工作情况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（一）绩效评价目的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本次绩效评价的目的是为了全面分析和综合评价我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本级财政预算资金的使用管理情况，为切实提高财政资金使用效益，强化预算支出的责任和效率提供参考依据。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（二）绩效评价工作过程，主要包括前期准备、组织实施和分析评价等内容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我们按照县财政局绩效评价工作要求，第一阶段为前期准备：由我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局规划财务股</w:t>
      </w:r>
      <w:r>
        <w:rPr>
          <w:rFonts w:hint="eastAsia" w:ascii="仿宋_GB2312" w:hAnsi="Times New Roman" w:eastAsia="仿宋_GB2312" w:cs="Times New Roman"/>
          <w:sz w:val="32"/>
          <w:szCs w:val="32"/>
        </w:rPr>
        <w:t>牵头，组织有关业务部门制定了详细的工作方案，明确部门责任；第二阶段开展自评：根据上一阶段任务布置，按照要求展开自评工作；第三阶段为定性终评，并出具评价报告：我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局规划财务股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联合相关部门查阅相关文件资料和财务凭证，对收集资料进行定量定性分析，综合评议后形成评价结论，出具绩效评价报告。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六、存在的主要问题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预算制度执行总体较为有效，但仍需进一步强化，资金使用管理需进一步加强。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七、有关建议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针对上述存在的问题及我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整体支出管理工作的需要，拟实施的改进措施如下：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细化预算编制工作，认真做好预算的编制。进一步加强预算管理意识，严格按照预算编制的相关制度和要求进行预算编制；进一步提高预算编制的科学性、严谨性和可控性。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（二）加强财务管理，严格财务审核。在费用报账支付时，按照预算规定的费用项目和用途进行资金使用审核、列报支付、财务核算，杜绝超支现象的发生。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（三）持续抓好“三公”经费控制管理。严格控制“三公”经费的规模和比例，把关“三公”经费支出的审核、审批，杜绝挪用和挤占其他预算资金行为。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（四）认真展开绩效管理。加强项目开展进度的跟踪，开展项目绩效评价，确保项目绩效目标的完成。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NzVlOWI3MDBiNmU2NGY4YTlmM2ZlMzk4YmVkMzMifQ=="/>
  </w:docVars>
  <w:rsids>
    <w:rsidRoot w:val="00AA06AF"/>
    <w:rsid w:val="008143BF"/>
    <w:rsid w:val="008B3025"/>
    <w:rsid w:val="00AA06AF"/>
    <w:rsid w:val="00CC1E76"/>
    <w:rsid w:val="04545D1C"/>
    <w:rsid w:val="04D13E02"/>
    <w:rsid w:val="06847D5E"/>
    <w:rsid w:val="07267E44"/>
    <w:rsid w:val="0A4F3A43"/>
    <w:rsid w:val="0D7A29BF"/>
    <w:rsid w:val="0DE652BC"/>
    <w:rsid w:val="130B2D25"/>
    <w:rsid w:val="1B642B70"/>
    <w:rsid w:val="1DC25470"/>
    <w:rsid w:val="204A51BC"/>
    <w:rsid w:val="26E65C2B"/>
    <w:rsid w:val="29B01622"/>
    <w:rsid w:val="2E385923"/>
    <w:rsid w:val="345853AB"/>
    <w:rsid w:val="352C05A6"/>
    <w:rsid w:val="4450196D"/>
    <w:rsid w:val="460E3CE7"/>
    <w:rsid w:val="4A4744E4"/>
    <w:rsid w:val="4C690FD8"/>
    <w:rsid w:val="4FCA741E"/>
    <w:rsid w:val="500F39B2"/>
    <w:rsid w:val="54E35A8C"/>
    <w:rsid w:val="598C57C0"/>
    <w:rsid w:val="59C52EED"/>
    <w:rsid w:val="5BD83C30"/>
    <w:rsid w:val="5D193F6D"/>
    <w:rsid w:val="5D364B5A"/>
    <w:rsid w:val="6108647D"/>
    <w:rsid w:val="6F892F9E"/>
    <w:rsid w:val="70C06FCD"/>
    <w:rsid w:val="75091C57"/>
    <w:rsid w:val="75AE306F"/>
    <w:rsid w:val="75CE1F56"/>
    <w:rsid w:val="774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仿宋_GB2312"/>
      <w:bCs/>
      <w:sz w:val="32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1716</Words>
  <Characters>1827</Characters>
  <Lines>10</Lines>
  <Paragraphs>2</Paragraphs>
  <TotalTime>2</TotalTime>
  <ScaleCrop>false</ScaleCrop>
  <LinksUpToDate>false</LinksUpToDate>
  <CharactersWithSpaces>1827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2019-03-14T08:40:00Z</dcterms:created>
  <dc:creator>Administrator</dc:creator>
  <cp:lastModifiedBy>Administrator</cp:lastModifiedBy>
  <cp:lastPrinted>2019-09-18T07:23:00Z</cp:lastPrinted>
  <dcterms:modified xsi:type="dcterms:W3CDTF">2023-08-16T02:53:00Z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F8AFE9EC36584B78B9927B495F345B88</vt:lpwstr>
  </property>
</Properties>
</file>