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</w:pPr>
    </w:p>
    <w:p>
      <w:pPr>
        <w:widowControl/>
        <w:spacing w:line="594" w:lineRule="exact"/>
        <w:jc w:val="center"/>
        <w:rPr>
          <w:rFonts w:hint="eastAsia" w:eastAsia="方正小标宋简体"/>
          <w:kern w:val="0"/>
          <w:sz w:val="44"/>
          <w:szCs w:val="44"/>
        </w:rPr>
      </w:pPr>
    </w:p>
    <w:p>
      <w:pPr>
        <w:widowControl/>
        <w:spacing w:line="594" w:lineRule="exact"/>
        <w:jc w:val="center"/>
        <w:rPr>
          <w:rFonts w:hint="eastAsia" w:eastAsia="方正小标宋简体"/>
          <w:kern w:val="0"/>
          <w:sz w:val="44"/>
          <w:szCs w:val="44"/>
        </w:rPr>
      </w:pPr>
    </w:p>
    <w:p>
      <w:pPr>
        <w:widowControl/>
        <w:spacing w:line="594" w:lineRule="exact"/>
        <w:jc w:val="center"/>
        <w:rPr>
          <w:rFonts w:hint="eastAsia" w:eastAsia="方正小标宋简体"/>
          <w:kern w:val="0"/>
          <w:sz w:val="44"/>
          <w:szCs w:val="44"/>
        </w:rPr>
      </w:pPr>
    </w:p>
    <w:p>
      <w:pPr>
        <w:widowControl/>
        <w:spacing w:line="594" w:lineRule="exact"/>
        <w:jc w:val="center"/>
        <w:rPr>
          <w:rFonts w:hint="eastAsia" w:eastAsia="方正小标宋简体"/>
          <w:kern w:val="0"/>
          <w:sz w:val="44"/>
          <w:szCs w:val="44"/>
        </w:rPr>
      </w:pPr>
    </w:p>
    <w:p>
      <w:pPr>
        <w:widowControl/>
        <w:spacing w:line="594" w:lineRule="exact"/>
        <w:jc w:val="center"/>
        <w:rPr>
          <w:rFonts w:eastAsia="方正小标宋简体"/>
          <w:kern w:val="0"/>
          <w:sz w:val="44"/>
          <w:szCs w:val="44"/>
        </w:rPr>
      </w:pPr>
      <w:r>
        <w:rPr>
          <w:rFonts w:hint="eastAsia" w:eastAsia="方正小标宋简体"/>
          <w:kern w:val="0"/>
          <w:sz w:val="44"/>
          <w:szCs w:val="44"/>
        </w:rPr>
        <w:t>202</w:t>
      </w:r>
      <w:r>
        <w:rPr>
          <w:rFonts w:hint="eastAsia" w:eastAsia="方正小标宋简体"/>
          <w:kern w:val="0"/>
          <w:sz w:val="44"/>
          <w:szCs w:val="44"/>
          <w:lang w:val="en-US" w:eastAsia="zh-CN"/>
        </w:rPr>
        <w:t>1</w:t>
      </w:r>
      <w:r>
        <w:rPr>
          <w:rFonts w:hint="eastAsia" w:eastAsia="方正小标宋简体"/>
          <w:kern w:val="0"/>
          <w:sz w:val="44"/>
          <w:szCs w:val="44"/>
        </w:rPr>
        <w:t>年度</w:t>
      </w:r>
      <w:r>
        <w:rPr>
          <w:rFonts w:eastAsia="方正小标宋简体"/>
          <w:kern w:val="0"/>
          <w:sz w:val="44"/>
          <w:szCs w:val="44"/>
        </w:rPr>
        <w:t>部门整体支出绩效报告</w:t>
      </w:r>
      <w:r>
        <w:rPr>
          <w:rFonts w:eastAsia="方正小标宋简体"/>
          <w:kern w:val="0"/>
          <w:sz w:val="44"/>
          <w:szCs w:val="44"/>
        </w:rPr>
        <w:br w:type="textWrapping"/>
      </w:r>
    </w:p>
    <w:p>
      <w:pPr>
        <w:widowControl/>
        <w:spacing w:line="594" w:lineRule="exact"/>
        <w:jc w:val="center"/>
        <w:rPr>
          <w:rFonts w:eastAsia="方正小标宋简体"/>
          <w:kern w:val="0"/>
          <w:sz w:val="44"/>
          <w:szCs w:val="44"/>
        </w:rPr>
      </w:pPr>
    </w:p>
    <w:p>
      <w:pPr>
        <w:widowControl/>
        <w:spacing w:line="594" w:lineRule="exact"/>
        <w:jc w:val="center"/>
        <w:rPr>
          <w:rFonts w:eastAsia="方正小标宋简体"/>
          <w:kern w:val="0"/>
          <w:sz w:val="44"/>
          <w:szCs w:val="44"/>
        </w:rPr>
      </w:pPr>
    </w:p>
    <w:p>
      <w:pPr>
        <w:widowControl/>
        <w:spacing w:line="594" w:lineRule="exact"/>
        <w:jc w:val="center"/>
        <w:rPr>
          <w:rFonts w:eastAsia="方正小标宋简体"/>
          <w:kern w:val="0"/>
          <w:sz w:val="44"/>
          <w:szCs w:val="44"/>
        </w:rPr>
      </w:pPr>
    </w:p>
    <w:p>
      <w:pPr>
        <w:widowControl/>
        <w:spacing w:line="594" w:lineRule="exact"/>
        <w:jc w:val="center"/>
        <w:rPr>
          <w:rFonts w:eastAsia="方正小标宋简体"/>
          <w:kern w:val="0"/>
          <w:sz w:val="44"/>
          <w:szCs w:val="44"/>
        </w:rPr>
      </w:pPr>
    </w:p>
    <w:p>
      <w:pPr>
        <w:widowControl/>
        <w:spacing w:line="594" w:lineRule="exact"/>
        <w:jc w:val="center"/>
        <w:rPr>
          <w:rFonts w:hint="eastAsia" w:eastAsia="方正小标宋简体"/>
          <w:kern w:val="0"/>
          <w:sz w:val="44"/>
          <w:szCs w:val="44"/>
          <w:lang w:eastAsia="zh-CN"/>
        </w:rPr>
      </w:pPr>
      <w:r>
        <w:rPr>
          <w:rFonts w:hint="eastAsia" w:eastAsia="方正小标宋简体"/>
          <w:kern w:val="0"/>
          <w:sz w:val="44"/>
          <w:szCs w:val="44"/>
          <w:lang w:eastAsia="zh-CN"/>
        </w:rPr>
        <w:t>桃江县城市管理和综合执法局</w:t>
      </w:r>
    </w:p>
    <w:p>
      <w:pPr>
        <w:widowControl/>
        <w:spacing w:line="594" w:lineRule="exact"/>
        <w:jc w:val="center"/>
        <w:rPr>
          <w:rFonts w:eastAsia="方正小标宋简体"/>
          <w:kern w:val="0"/>
          <w:sz w:val="44"/>
          <w:szCs w:val="44"/>
        </w:rPr>
      </w:pPr>
    </w:p>
    <w:p>
      <w:pPr>
        <w:widowControl/>
        <w:spacing w:line="594" w:lineRule="exact"/>
        <w:jc w:val="center"/>
        <w:rPr>
          <w:rFonts w:eastAsia="方正小标宋简体"/>
          <w:kern w:val="0"/>
          <w:sz w:val="44"/>
          <w:szCs w:val="44"/>
        </w:rPr>
      </w:pPr>
    </w:p>
    <w:p>
      <w:pPr>
        <w:widowControl/>
        <w:spacing w:line="594" w:lineRule="exact"/>
        <w:jc w:val="center"/>
        <w:rPr>
          <w:rFonts w:eastAsia="方正小标宋简体"/>
          <w:kern w:val="0"/>
          <w:sz w:val="44"/>
          <w:szCs w:val="44"/>
        </w:rPr>
      </w:pPr>
    </w:p>
    <w:p>
      <w:pPr>
        <w:widowControl/>
        <w:spacing w:line="594" w:lineRule="exact"/>
        <w:jc w:val="center"/>
        <w:rPr>
          <w:rFonts w:eastAsia="方正小标宋简体"/>
          <w:kern w:val="0"/>
          <w:sz w:val="44"/>
          <w:szCs w:val="44"/>
        </w:rPr>
      </w:pPr>
    </w:p>
    <w:p>
      <w:pPr>
        <w:widowControl/>
        <w:spacing w:line="594" w:lineRule="exact"/>
        <w:jc w:val="center"/>
        <w:rPr>
          <w:rFonts w:eastAsia="方正小标宋简体"/>
          <w:kern w:val="0"/>
          <w:sz w:val="44"/>
          <w:szCs w:val="44"/>
        </w:rPr>
      </w:pPr>
    </w:p>
    <w:p>
      <w:pPr>
        <w:widowControl/>
        <w:spacing w:line="594" w:lineRule="exact"/>
        <w:jc w:val="center"/>
        <w:rPr>
          <w:rFonts w:eastAsia="方正小标宋简体"/>
          <w:kern w:val="0"/>
          <w:sz w:val="44"/>
          <w:szCs w:val="44"/>
        </w:rPr>
      </w:pPr>
    </w:p>
    <w:p>
      <w:pPr>
        <w:widowControl/>
        <w:spacing w:line="594" w:lineRule="exact"/>
        <w:jc w:val="center"/>
        <w:rPr>
          <w:rFonts w:eastAsia="方正小标宋简体"/>
          <w:kern w:val="0"/>
          <w:sz w:val="44"/>
          <w:szCs w:val="44"/>
        </w:rPr>
      </w:pPr>
    </w:p>
    <w:p>
      <w:pPr>
        <w:widowControl/>
        <w:spacing w:line="594" w:lineRule="exact"/>
        <w:jc w:val="center"/>
        <w:rPr>
          <w:rFonts w:eastAsia="方正小标宋简体"/>
          <w:kern w:val="0"/>
          <w:sz w:val="44"/>
          <w:szCs w:val="44"/>
        </w:rPr>
      </w:pPr>
    </w:p>
    <w:p>
      <w:pPr>
        <w:widowControl/>
        <w:spacing w:line="594" w:lineRule="exact"/>
        <w:jc w:val="center"/>
        <w:rPr>
          <w:rFonts w:eastAsia="方正小标宋简体"/>
          <w:kern w:val="0"/>
          <w:sz w:val="44"/>
          <w:szCs w:val="44"/>
        </w:rPr>
      </w:pPr>
    </w:p>
    <w:p>
      <w:pPr>
        <w:widowControl/>
        <w:spacing w:line="594" w:lineRule="exact"/>
        <w:jc w:val="left"/>
        <w:rPr>
          <w:kern w:val="0"/>
          <w:szCs w:val="32"/>
        </w:rPr>
      </w:pPr>
      <w:r>
        <w:rPr>
          <w:kern w:val="0"/>
          <w:szCs w:val="32"/>
        </w:rPr>
        <w:t xml:space="preserve">   </w:t>
      </w:r>
    </w:p>
    <w:p>
      <w:pPr>
        <w:widowControl/>
        <w:spacing w:line="594" w:lineRule="exact"/>
        <w:ind w:firstLine="640" w:firstLineChars="200"/>
        <w:rPr>
          <w:rFonts w:eastAsia="黑体"/>
          <w:bCs/>
          <w:kern w:val="0"/>
          <w:szCs w:val="32"/>
        </w:rPr>
      </w:pPr>
    </w:p>
    <w:p>
      <w:pPr>
        <w:widowControl/>
        <w:spacing w:line="594" w:lineRule="exact"/>
        <w:ind w:firstLine="640" w:firstLineChars="200"/>
        <w:rPr>
          <w:rFonts w:hint="eastAsia" w:eastAsia="黑体"/>
          <w:bCs/>
          <w:kern w:val="0"/>
          <w:szCs w:val="32"/>
          <w:lang w:eastAsia="zh-CN"/>
        </w:rPr>
      </w:pPr>
    </w:p>
    <w:p>
      <w:pPr>
        <w:widowControl/>
        <w:spacing w:line="594" w:lineRule="exact"/>
        <w:ind w:firstLine="3200" w:firstLineChars="1000"/>
        <w:rPr>
          <w:rFonts w:hint="eastAsia" w:eastAsia="黑体"/>
          <w:bCs/>
          <w:kern w:val="0"/>
          <w:szCs w:val="32"/>
          <w:lang w:eastAsia="zh-CN"/>
        </w:rPr>
      </w:pPr>
      <w:r>
        <w:rPr>
          <w:rFonts w:hint="eastAsia" w:eastAsia="黑体"/>
          <w:bCs/>
          <w:kern w:val="0"/>
          <w:szCs w:val="32"/>
          <w:lang w:eastAsia="zh-CN"/>
        </w:rPr>
        <w:t>目</w:t>
      </w:r>
      <w:r>
        <w:rPr>
          <w:rFonts w:hint="eastAsia" w:eastAsia="黑体"/>
          <w:bCs/>
          <w:kern w:val="0"/>
          <w:szCs w:val="32"/>
          <w:lang w:val="en-US" w:eastAsia="zh-CN"/>
        </w:rPr>
        <w:t xml:space="preserve">    </w:t>
      </w:r>
      <w:r>
        <w:rPr>
          <w:rFonts w:hint="eastAsia" w:eastAsia="黑体"/>
          <w:bCs/>
          <w:kern w:val="0"/>
          <w:szCs w:val="32"/>
          <w:lang w:eastAsia="zh-CN"/>
        </w:rPr>
        <w:t>录</w:t>
      </w:r>
    </w:p>
    <w:p>
      <w:pPr>
        <w:widowControl/>
        <w:spacing w:line="594" w:lineRule="exact"/>
        <w:ind w:firstLine="640" w:firstLineChars="200"/>
        <w:rPr>
          <w:rFonts w:eastAsia="黑体"/>
          <w:kern w:val="0"/>
          <w:szCs w:val="32"/>
        </w:rPr>
      </w:pPr>
      <w:r>
        <w:rPr>
          <w:rFonts w:eastAsia="黑体"/>
          <w:bCs/>
          <w:kern w:val="0"/>
          <w:szCs w:val="32"/>
        </w:rPr>
        <w:t xml:space="preserve"> 一、部门概况</w:t>
      </w:r>
    </w:p>
    <w:p>
      <w:pPr>
        <w:widowControl/>
        <w:spacing w:line="594" w:lineRule="exact"/>
        <w:ind w:firstLine="640" w:firstLineChars="200"/>
        <w:rPr>
          <w:kern w:val="0"/>
          <w:szCs w:val="32"/>
        </w:rPr>
      </w:pPr>
      <w:r>
        <w:rPr>
          <w:kern w:val="0"/>
          <w:szCs w:val="32"/>
        </w:rPr>
        <w:t>（一）部门基本情况</w:t>
      </w:r>
    </w:p>
    <w:p>
      <w:pPr>
        <w:widowControl/>
        <w:spacing w:line="594" w:lineRule="exact"/>
        <w:ind w:firstLine="640" w:firstLineChars="200"/>
        <w:rPr>
          <w:kern w:val="0"/>
          <w:szCs w:val="32"/>
        </w:rPr>
      </w:pPr>
      <w:r>
        <w:rPr>
          <w:kern w:val="0"/>
          <w:szCs w:val="32"/>
        </w:rPr>
        <w:t>（二）部门整体支出规模</w:t>
      </w:r>
    </w:p>
    <w:p>
      <w:pPr>
        <w:widowControl/>
        <w:spacing w:line="594" w:lineRule="exact"/>
        <w:ind w:firstLine="640" w:firstLineChars="200"/>
        <w:rPr>
          <w:kern w:val="0"/>
          <w:szCs w:val="32"/>
        </w:rPr>
      </w:pPr>
      <w:r>
        <w:rPr>
          <w:rFonts w:hint="eastAsia"/>
          <w:kern w:val="0"/>
          <w:szCs w:val="32"/>
          <w:lang w:eastAsia="zh-CN"/>
        </w:rPr>
        <w:t>（三）部门整体支出</w:t>
      </w:r>
      <w:r>
        <w:rPr>
          <w:kern w:val="0"/>
          <w:szCs w:val="32"/>
        </w:rPr>
        <w:t>使用方向和主要内容、涉及范围</w:t>
      </w:r>
    </w:p>
    <w:p>
      <w:pPr>
        <w:widowControl/>
        <w:spacing w:line="594" w:lineRule="exact"/>
        <w:ind w:firstLine="640" w:firstLineChars="200"/>
        <w:rPr>
          <w:kern w:val="0"/>
          <w:szCs w:val="32"/>
        </w:rPr>
      </w:pPr>
      <w:r>
        <w:rPr>
          <w:kern w:val="0"/>
          <w:szCs w:val="32"/>
        </w:rPr>
        <w:t>（</w:t>
      </w:r>
      <w:r>
        <w:rPr>
          <w:rFonts w:hint="eastAsia"/>
          <w:kern w:val="0"/>
          <w:szCs w:val="32"/>
          <w:lang w:eastAsia="zh-CN"/>
        </w:rPr>
        <w:t>四</w:t>
      </w:r>
      <w:r>
        <w:rPr>
          <w:kern w:val="0"/>
          <w:szCs w:val="32"/>
        </w:rPr>
        <w:t>）绩效目标设立情况</w:t>
      </w:r>
    </w:p>
    <w:p>
      <w:pPr>
        <w:widowControl/>
        <w:spacing w:line="594" w:lineRule="exact"/>
        <w:ind w:firstLine="640" w:firstLineChars="200"/>
        <w:rPr>
          <w:kern w:val="0"/>
          <w:szCs w:val="32"/>
        </w:rPr>
      </w:pPr>
      <w:r>
        <w:rPr>
          <w:rFonts w:eastAsia="黑体"/>
          <w:bCs/>
          <w:kern w:val="0"/>
          <w:szCs w:val="32"/>
        </w:rPr>
        <w:t>二、部门整体支出管理及使用情况分析</w:t>
      </w:r>
    </w:p>
    <w:p>
      <w:pPr>
        <w:widowControl/>
        <w:spacing w:line="594" w:lineRule="exact"/>
        <w:ind w:firstLine="640" w:firstLineChars="200"/>
        <w:rPr>
          <w:kern w:val="0"/>
          <w:szCs w:val="32"/>
        </w:rPr>
      </w:pPr>
      <w:r>
        <w:rPr>
          <w:rFonts w:eastAsia="楷体_GB2312"/>
          <w:kern w:val="0"/>
          <w:szCs w:val="32"/>
        </w:rPr>
        <w:t>（</w:t>
      </w:r>
      <w:r>
        <w:rPr>
          <w:kern w:val="0"/>
          <w:szCs w:val="32"/>
        </w:rPr>
        <w:t>一）基本支出</w:t>
      </w:r>
    </w:p>
    <w:p>
      <w:pPr>
        <w:widowControl/>
        <w:spacing w:line="594" w:lineRule="exact"/>
        <w:ind w:firstLine="640" w:firstLineChars="200"/>
        <w:rPr>
          <w:kern w:val="0"/>
          <w:szCs w:val="32"/>
        </w:rPr>
      </w:pPr>
      <w:r>
        <w:rPr>
          <w:kern w:val="0"/>
          <w:szCs w:val="32"/>
        </w:rPr>
        <w:t>（二）项目支出</w:t>
      </w:r>
    </w:p>
    <w:p>
      <w:pPr>
        <w:widowControl/>
        <w:spacing w:line="594" w:lineRule="exact"/>
        <w:ind w:firstLine="640" w:firstLineChars="200"/>
        <w:rPr>
          <w:rFonts w:hint="eastAsia"/>
          <w:kern w:val="0"/>
          <w:szCs w:val="32"/>
          <w:lang w:eastAsia="zh-CN"/>
        </w:rPr>
      </w:pPr>
      <w:r>
        <w:rPr>
          <w:rFonts w:hint="eastAsia"/>
          <w:kern w:val="0"/>
          <w:szCs w:val="32"/>
          <w:lang w:val="en-US" w:eastAsia="zh-CN"/>
        </w:rPr>
        <w:t xml:space="preserve"> </w:t>
      </w:r>
      <w:r>
        <w:rPr>
          <w:rFonts w:hint="eastAsia"/>
          <w:kern w:val="0"/>
          <w:szCs w:val="32"/>
          <w:lang w:eastAsia="zh-CN"/>
        </w:rPr>
        <w:t>1.项目资金安排落实、总投入等情况分析。</w:t>
      </w:r>
    </w:p>
    <w:p>
      <w:pPr>
        <w:widowControl/>
        <w:spacing w:line="594" w:lineRule="exact"/>
        <w:ind w:firstLine="640" w:firstLineChars="200"/>
        <w:rPr>
          <w:rFonts w:hint="eastAsia"/>
          <w:kern w:val="0"/>
          <w:szCs w:val="32"/>
          <w:lang w:eastAsia="zh-CN"/>
        </w:rPr>
      </w:pPr>
      <w:r>
        <w:rPr>
          <w:rFonts w:hint="eastAsia"/>
          <w:kern w:val="0"/>
          <w:szCs w:val="32"/>
          <w:lang w:val="en-US" w:eastAsia="zh-CN"/>
        </w:rPr>
        <w:t xml:space="preserve"> 2.</w:t>
      </w:r>
      <w:r>
        <w:rPr>
          <w:rFonts w:hint="eastAsia"/>
          <w:kern w:val="0"/>
          <w:szCs w:val="32"/>
          <w:lang w:eastAsia="zh-CN"/>
        </w:rPr>
        <w:t>项目资金（财政资金）实际使用情况分析。</w:t>
      </w:r>
    </w:p>
    <w:p>
      <w:pPr>
        <w:widowControl/>
        <w:spacing w:line="594" w:lineRule="exact"/>
        <w:ind w:firstLine="640" w:firstLineChars="200"/>
        <w:rPr>
          <w:rFonts w:hint="default" w:ascii="仿宋" w:hAnsi="仿宋" w:eastAsia="仿宋" w:cs="Tahoma"/>
          <w:kern w:val="0"/>
          <w:sz w:val="32"/>
          <w:szCs w:val="32"/>
          <w:lang w:val="en-US" w:eastAsia="zh-CN"/>
        </w:rPr>
      </w:pPr>
      <w:r>
        <w:rPr>
          <w:rFonts w:hint="eastAsia"/>
          <w:kern w:val="0"/>
          <w:szCs w:val="32"/>
          <w:lang w:val="en-US" w:eastAsia="zh-CN"/>
        </w:rPr>
        <w:t xml:space="preserve"> 3.</w:t>
      </w:r>
      <w:r>
        <w:rPr>
          <w:rFonts w:hint="eastAsia"/>
          <w:kern w:val="0"/>
          <w:szCs w:val="32"/>
          <w:lang w:eastAsia="zh-CN"/>
        </w:rPr>
        <w:t>项目资金管理情况分析。</w:t>
      </w:r>
    </w:p>
    <w:p>
      <w:pPr>
        <w:widowControl/>
        <w:spacing w:line="594" w:lineRule="exact"/>
        <w:ind w:firstLine="640" w:firstLineChars="200"/>
        <w:rPr>
          <w:rFonts w:eastAsia="黑体"/>
          <w:bCs/>
          <w:kern w:val="0"/>
          <w:szCs w:val="32"/>
        </w:rPr>
      </w:pPr>
      <w:r>
        <w:rPr>
          <w:rFonts w:eastAsia="黑体"/>
          <w:bCs/>
          <w:kern w:val="0"/>
          <w:szCs w:val="32"/>
        </w:rPr>
        <w:t>三、项目组织实施情况分析</w:t>
      </w:r>
    </w:p>
    <w:p>
      <w:pPr>
        <w:widowControl/>
        <w:spacing w:line="594" w:lineRule="exact"/>
        <w:ind w:firstLine="640" w:firstLineChars="200"/>
        <w:rPr>
          <w:kern w:val="0"/>
          <w:szCs w:val="32"/>
        </w:rPr>
      </w:pPr>
      <w:r>
        <w:rPr>
          <w:kern w:val="0"/>
          <w:szCs w:val="32"/>
        </w:rPr>
        <w:t>（一）项目组织情况分析</w:t>
      </w:r>
    </w:p>
    <w:p>
      <w:pPr>
        <w:widowControl/>
        <w:spacing w:line="594" w:lineRule="exact"/>
        <w:ind w:firstLine="640" w:firstLineChars="200"/>
        <w:rPr>
          <w:kern w:val="0"/>
          <w:szCs w:val="32"/>
        </w:rPr>
      </w:pPr>
      <w:r>
        <w:rPr>
          <w:kern w:val="0"/>
          <w:szCs w:val="32"/>
        </w:rPr>
        <w:t>（二）项目管理情况分析</w:t>
      </w:r>
    </w:p>
    <w:p>
      <w:pPr>
        <w:widowControl/>
        <w:spacing w:line="594" w:lineRule="exact"/>
        <w:ind w:firstLine="640" w:firstLineChars="200"/>
        <w:rPr>
          <w:rFonts w:eastAsia="黑体"/>
          <w:bCs/>
          <w:kern w:val="0"/>
          <w:szCs w:val="32"/>
        </w:rPr>
      </w:pPr>
      <w:r>
        <w:rPr>
          <w:rFonts w:eastAsia="黑体"/>
          <w:bCs/>
          <w:kern w:val="0"/>
          <w:szCs w:val="32"/>
        </w:rPr>
        <w:t>四、部门整体支出绩效情况分析</w:t>
      </w:r>
    </w:p>
    <w:p>
      <w:pPr>
        <w:widowControl/>
        <w:spacing w:line="594" w:lineRule="exact"/>
        <w:ind w:firstLine="640" w:firstLineChars="200"/>
        <w:rPr>
          <w:rFonts w:hint="eastAsia"/>
          <w:kern w:val="0"/>
          <w:szCs w:val="32"/>
          <w:lang w:eastAsia="zh-CN"/>
        </w:rPr>
      </w:pPr>
      <w:r>
        <w:rPr>
          <w:rFonts w:hint="eastAsia"/>
          <w:kern w:val="0"/>
          <w:szCs w:val="32"/>
          <w:lang w:eastAsia="zh-CN"/>
        </w:rPr>
        <w:t>（一）</w:t>
      </w:r>
      <w:r>
        <w:rPr>
          <w:kern w:val="0"/>
          <w:szCs w:val="32"/>
        </w:rPr>
        <w:t>经济性</w:t>
      </w:r>
      <w:r>
        <w:rPr>
          <w:rFonts w:hint="eastAsia"/>
          <w:kern w:val="0"/>
          <w:szCs w:val="32"/>
          <w:lang w:eastAsia="zh-CN"/>
        </w:rPr>
        <w:t>分析</w:t>
      </w:r>
    </w:p>
    <w:p>
      <w:pPr>
        <w:widowControl/>
        <w:spacing w:line="594" w:lineRule="exact"/>
        <w:ind w:firstLine="640" w:firstLineChars="200"/>
        <w:rPr>
          <w:rFonts w:hint="eastAsia" w:eastAsia="仿宋_GB2312"/>
          <w:bCs/>
          <w:kern w:val="0"/>
          <w:szCs w:val="32"/>
          <w:lang w:eastAsia="zh-CN"/>
        </w:rPr>
      </w:pPr>
      <w:r>
        <w:rPr>
          <w:rFonts w:hint="eastAsia"/>
          <w:kern w:val="0"/>
          <w:szCs w:val="32"/>
          <w:lang w:eastAsia="zh-CN"/>
        </w:rPr>
        <w:t>（二）</w:t>
      </w:r>
      <w:r>
        <w:rPr>
          <w:kern w:val="0"/>
          <w:szCs w:val="32"/>
        </w:rPr>
        <w:t>效率性</w:t>
      </w:r>
      <w:r>
        <w:rPr>
          <w:rFonts w:hint="eastAsia"/>
          <w:kern w:val="0"/>
          <w:szCs w:val="32"/>
          <w:lang w:eastAsia="zh-CN"/>
        </w:rPr>
        <w:t>分析</w:t>
      </w:r>
    </w:p>
    <w:p>
      <w:pPr>
        <w:widowControl/>
        <w:spacing w:line="594" w:lineRule="exact"/>
        <w:ind w:firstLine="640" w:firstLineChars="200"/>
        <w:rPr>
          <w:kern w:val="0"/>
          <w:szCs w:val="32"/>
        </w:rPr>
      </w:pPr>
      <w:r>
        <w:rPr>
          <w:rFonts w:eastAsia="黑体"/>
          <w:bCs/>
          <w:kern w:val="0"/>
          <w:szCs w:val="32"/>
        </w:rPr>
        <w:t>五、绩效评价工作开展情况</w:t>
      </w:r>
    </w:p>
    <w:p>
      <w:pPr>
        <w:widowControl/>
        <w:spacing w:line="594" w:lineRule="exact"/>
        <w:ind w:firstLine="640" w:firstLineChars="200"/>
        <w:rPr>
          <w:kern w:val="0"/>
          <w:szCs w:val="32"/>
        </w:rPr>
      </w:pPr>
      <w:r>
        <w:rPr>
          <w:kern w:val="0"/>
          <w:szCs w:val="32"/>
        </w:rPr>
        <w:t>（一）绩效评价目的。</w:t>
      </w:r>
    </w:p>
    <w:p>
      <w:pPr>
        <w:widowControl/>
        <w:spacing w:line="594" w:lineRule="exact"/>
        <w:ind w:firstLine="640" w:firstLineChars="200"/>
        <w:rPr>
          <w:kern w:val="0"/>
          <w:szCs w:val="32"/>
        </w:rPr>
      </w:pPr>
      <w:r>
        <w:rPr>
          <w:kern w:val="0"/>
          <w:szCs w:val="32"/>
        </w:rPr>
        <w:t>（二）绩效评价工作过程，</w:t>
      </w:r>
    </w:p>
    <w:p>
      <w:pPr>
        <w:ind w:firstLine="645"/>
        <w:rPr>
          <w:rFonts w:hint="eastAsia"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六、存在的主要问题</w:t>
      </w:r>
    </w:p>
    <w:p>
      <w:pPr>
        <w:widowControl/>
        <w:spacing w:line="594" w:lineRule="exact"/>
        <w:ind w:firstLine="640" w:firstLineChars="200"/>
        <w:rPr>
          <w:rFonts w:eastAsia="黑体"/>
          <w:bCs/>
          <w:kern w:val="0"/>
          <w:szCs w:val="32"/>
        </w:rPr>
      </w:pPr>
    </w:p>
    <w:p>
      <w:pPr>
        <w:widowControl/>
        <w:spacing w:line="594" w:lineRule="exact"/>
        <w:ind w:firstLine="640" w:firstLineChars="200"/>
        <w:rPr>
          <w:rFonts w:eastAsia="黑体"/>
          <w:kern w:val="0"/>
          <w:szCs w:val="32"/>
        </w:rPr>
      </w:pPr>
      <w:r>
        <w:rPr>
          <w:rFonts w:eastAsia="黑体"/>
          <w:bCs/>
          <w:kern w:val="0"/>
          <w:szCs w:val="32"/>
        </w:rPr>
        <w:t>一、部门概况</w:t>
      </w:r>
    </w:p>
    <w:p>
      <w:pPr>
        <w:spacing w:line="560" w:lineRule="exact"/>
        <w:ind w:firstLine="643" w:firstLineChars="200"/>
        <w:rPr>
          <w:rFonts w:hint="eastAsia" w:ascii="仿宋" w:hAnsi="仿宋" w:eastAsia="仿宋"/>
          <w:b/>
          <w:bCs/>
          <w:sz w:val="32"/>
          <w:szCs w:val="32"/>
          <w:lang w:eastAsia="zh-CN"/>
        </w:rPr>
      </w:pPr>
      <w:r>
        <w:rPr>
          <w:rFonts w:hint="eastAsia" w:ascii="仿宋" w:hAnsi="仿宋" w:eastAsia="仿宋"/>
          <w:b/>
          <w:bCs/>
          <w:sz w:val="32"/>
          <w:szCs w:val="32"/>
          <w:lang w:eastAsia="zh-CN"/>
        </w:rPr>
        <w:t>（一）部门基本情况</w:t>
      </w:r>
    </w:p>
    <w:p>
      <w:pPr>
        <w:spacing w:line="560" w:lineRule="exact"/>
        <w:ind w:firstLine="643" w:firstLineChars="200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b/>
          <w:bCs/>
          <w:sz w:val="32"/>
          <w:szCs w:val="32"/>
        </w:rPr>
        <w:t>1、机构设置</w:t>
      </w:r>
    </w:p>
    <w:p>
      <w:pPr>
        <w:spacing w:line="560" w:lineRule="exact"/>
        <w:ind w:firstLine="640" w:firstLineChars="200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全额拨款</w:t>
      </w:r>
      <w:r>
        <w:rPr>
          <w:rFonts w:hint="eastAsia" w:ascii="仿宋" w:hAnsi="仿宋" w:eastAsia="仿宋"/>
          <w:sz w:val="32"/>
          <w:szCs w:val="32"/>
          <w:lang w:eastAsia="zh-CN"/>
        </w:rPr>
        <w:t>行政</w:t>
      </w:r>
      <w:r>
        <w:rPr>
          <w:rFonts w:hint="eastAsia" w:ascii="仿宋" w:hAnsi="仿宋" w:eastAsia="仿宋"/>
          <w:sz w:val="32"/>
          <w:szCs w:val="32"/>
        </w:rPr>
        <w:t>单位1个：桃江县城市管理</w:t>
      </w:r>
      <w:r>
        <w:rPr>
          <w:rFonts w:hint="eastAsia" w:ascii="仿宋" w:hAnsi="仿宋" w:eastAsia="仿宋"/>
          <w:sz w:val="32"/>
          <w:szCs w:val="32"/>
          <w:lang w:eastAsia="zh-CN"/>
        </w:rPr>
        <w:t>和综合</w:t>
      </w:r>
      <w:r>
        <w:rPr>
          <w:rFonts w:hint="eastAsia" w:ascii="仿宋" w:hAnsi="仿宋" w:eastAsia="仿宋"/>
          <w:sz w:val="32"/>
          <w:szCs w:val="32"/>
        </w:rPr>
        <w:t>执法局</w:t>
      </w:r>
    </w:p>
    <w:p>
      <w:pPr>
        <w:spacing w:line="560" w:lineRule="exact"/>
        <w:ind w:firstLine="640" w:firstLineChars="200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财政补助事业单位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4</w:t>
      </w:r>
      <w:r>
        <w:rPr>
          <w:rFonts w:hint="eastAsia" w:ascii="仿宋" w:hAnsi="仿宋" w:eastAsia="仿宋"/>
          <w:sz w:val="32"/>
          <w:szCs w:val="32"/>
        </w:rPr>
        <w:t>个：桃江县路灯管理所</w:t>
      </w:r>
      <w:r>
        <w:rPr>
          <w:rFonts w:hint="eastAsia" w:ascii="仿宋" w:hAnsi="仿宋" w:eastAsia="仿宋"/>
          <w:sz w:val="32"/>
          <w:szCs w:val="32"/>
          <w:lang w:eastAsia="zh-CN"/>
        </w:rPr>
        <w:t>、桃江县城市管理综合执法大队、</w:t>
      </w:r>
      <w:r>
        <w:rPr>
          <w:rFonts w:hint="eastAsia" w:ascii="仿宋" w:hAnsi="仿宋" w:eastAsia="仿宋"/>
          <w:sz w:val="32"/>
          <w:szCs w:val="32"/>
        </w:rPr>
        <w:t>桃江县市政设施管理站、桃江县环境卫生</w:t>
      </w:r>
      <w:r>
        <w:rPr>
          <w:rFonts w:hint="eastAsia" w:ascii="仿宋" w:hAnsi="仿宋" w:eastAsia="仿宋"/>
          <w:sz w:val="32"/>
          <w:szCs w:val="32"/>
          <w:lang w:eastAsia="zh-CN"/>
        </w:rPr>
        <w:t>服务中心。其中</w:t>
      </w:r>
      <w:r>
        <w:rPr>
          <w:rFonts w:hint="eastAsia" w:ascii="仿宋" w:hAnsi="仿宋" w:eastAsia="仿宋"/>
          <w:sz w:val="32"/>
          <w:szCs w:val="32"/>
        </w:rPr>
        <w:t>桃江县市政设施管理站、桃江县</w:t>
      </w:r>
      <w:r>
        <w:rPr>
          <w:rFonts w:hint="eastAsia" w:ascii="仿宋" w:hAnsi="仿宋" w:eastAsia="仿宋"/>
          <w:sz w:val="32"/>
          <w:szCs w:val="32"/>
          <w:lang w:eastAsia="zh-CN"/>
        </w:rPr>
        <w:t>环境卫生服务中心</w:t>
      </w:r>
      <w:r>
        <w:rPr>
          <w:rFonts w:hint="eastAsia" w:ascii="仿宋" w:hAnsi="仿宋" w:eastAsia="仿宋"/>
          <w:sz w:val="32"/>
          <w:szCs w:val="32"/>
        </w:rPr>
        <w:t>单独填报</w:t>
      </w:r>
      <w:r>
        <w:rPr>
          <w:rFonts w:hint="eastAsia" w:ascii="仿宋" w:hAnsi="仿宋" w:eastAsia="仿宋"/>
          <w:sz w:val="32"/>
          <w:szCs w:val="32"/>
          <w:lang w:eastAsia="zh-CN"/>
        </w:rPr>
        <w:t>预算、</w:t>
      </w:r>
      <w:r>
        <w:rPr>
          <w:rFonts w:hint="eastAsia" w:ascii="仿宋" w:hAnsi="仿宋" w:eastAsia="仿宋"/>
          <w:sz w:val="32"/>
          <w:szCs w:val="32"/>
        </w:rPr>
        <w:t>决算报表</w:t>
      </w:r>
      <w:r>
        <w:rPr>
          <w:rFonts w:hint="eastAsia" w:ascii="仿宋" w:hAnsi="仿宋" w:eastAsia="仿宋"/>
          <w:sz w:val="32"/>
          <w:szCs w:val="32"/>
          <w:lang w:eastAsia="zh-CN"/>
        </w:rPr>
        <w:t>，未在本整体支出绩效评价报告中反映</w:t>
      </w:r>
      <w:r>
        <w:rPr>
          <w:rFonts w:hint="eastAsia" w:ascii="仿宋" w:hAnsi="仿宋" w:eastAsia="仿宋"/>
          <w:sz w:val="32"/>
          <w:szCs w:val="32"/>
        </w:rPr>
        <w:t>。</w:t>
      </w:r>
    </w:p>
    <w:p>
      <w:pPr>
        <w:spacing w:line="560" w:lineRule="exact"/>
        <w:ind w:firstLine="645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我局下设办公室、人事教育股、计划财务股、政策法规股、</w:t>
      </w:r>
      <w:r>
        <w:rPr>
          <w:rFonts w:hint="eastAsia" w:ascii="仿宋" w:hAnsi="仿宋" w:eastAsia="仿宋"/>
          <w:sz w:val="32"/>
          <w:szCs w:val="32"/>
          <w:lang w:eastAsia="zh-CN"/>
        </w:rPr>
        <w:t>行政审批服务</w:t>
      </w:r>
      <w:r>
        <w:rPr>
          <w:rFonts w:hint="eastAsia" w:ascii="仿宋" w:hAnsi="仿宋" w:eastAsia="仿宋"/>
          <w:sz w:val="32"/>
          <w:szCs w:val="32"/>
        </w:rPr>
        <w:t>股、督查股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6</w:t>
      </w:r>
      <w:r>
        <w:rPr>
          <w:rFonts w:hint="eastAsia" w:ascii="仿宋" w:hAnsi="仿宋" w:eastAsia="仿宋"/>
          <w:sz w:val="32"/>
          <w:szCs w:val="32"/>
        </w:rPr>
        <w:t>个股室。</w:t>
      </w:r>
    </w:p>
    <w:p>
      <w:pPr>
        <w:spacing w:line="560" w:lineRule="exact"/>
        <w:ind w:firstLine="643" w:firstLineChars="200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b/>
          <w:bCs/>
          <w:sz w:val="32"/>
          <w:szCs w:val="32"/>
        </w:rPr>
        <w:t>2、人员构成</w:t>
      </w:r>
    </w:p>
    <w:p>
      <w:pPr>
        <w:spacing w:line="560" w:lineRule="exact"/>
        <w:ind w:firstLine="640" w:firstLineChars="200"/>
        <w:rPr>
          <w:rFonts w:hint="default" w:ascii="仿宋" w:hAnsi="仿宋" w:eastAsia="仿宋"/>
          <w:sz w:val="32"/>
          <w:szCs w:val="32"/>
          <w:lang w:val="en-US" w:eastAsia="zh-CN"/>
        </w:rPr>
      </w:pPr>
      <w:r>
        <w:rPr>
          <w:rFonts w:hint="eastAsia" w:ascii="仿宋" w:hAnsi="仿宋" w:eastAsia="仿宋"/>
          <w:sz w:val="32"/>
          <w:szCs w:val="32"/>
          <w:lang w:eastAsia="zh-CN"/>
        </w:rPr>
        <w:t>全额拨款行政人员：年初在职人数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5人，年末5人；</w:t>
      </w:r>
    </w:p>
    <w:p>
      <w:pPr>
        <w:spacing w:line="560" w:lineRule="exact"/>
        <w:ind w:firstLine="640" w:firstLineChars="200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  <w:lang w:eastAsia="zh-CN"/>
        </w:rPr>
        <w:t>财政补助</w:t>
      </w:r>
      <w:r>
        <w:rPr>
          <w:rFonts w:hint="eastAsia" w:ascii="仿宋" w:hAnsi="仿宋" w:eastAsia="仿宋"/>
          <w:sz w:val="32"/>
          <w:szCs w:val="32"/>
        </w:rPr>
        <w:t>事业人员：</w:t>
      </w:r>
      <w:r>
        <w:rPr>
          <w:rFonts w:hint="eastAsia" w:ascii="仿宋" w:hAnsi="仿宋" w:eastAsia="仿宋"/>
          <w:sz w:val="32"/>
          <w:szCs w:val="32"/>
          <w:lang w:eastAsia="zh-CN"/>
        </w:rPr>
        <w:t>年初</w:t>
      </w:r>
      <w:r>
        <w:rPr>
          <w:rFonts w:hint="eastAsia" w:ascii="仿宋" w:hAnsi="仿宋" w:eastAsia="仿宋"/>
          <w:sz w:val="32"/>
          <w:szCs w:val="32"/>
        </w:rPr>
        <w:t>在职人数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128人</w:t>
      </w:r>
      <w:r>
        <w:rPr>
          <w:rFonts w:hint="eastAsia" w:ascii="仿宋" w:hAnsi="仿宋" w:eastAsia="仿宋"/>
          <w:sz w:val="32"/>
          <w:szCs w:val="32"/>
        </w:rPr>
        <w:t>，</w:t>
      </w:r>
      <w:r>
        <w:rPr>
          <w:rFonts w:hint="eastAsia" w:ascii="仿宋" w:hAnsi="仿宋" w:eastAsia="仿宋"/>
          <w:sz w:val="32"/>
          <w:szCs w:val="32"/>
          <w:lang w:eastAsia="zh-CN"/>
        </w:rPr>
        <w:t>年末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123人，</w:t>
      </w:r>
      <w:r>
        <w:rPr>
          <w:rFonts w:hint="eastAsia" w:ascii="仿宋" w:hAnsi="仿宋" w:eastAsia="仿宋"/>
          <w:sz w:val="32"/>
          <w:szCs w:val="32"/>
        </w:rPr>
        <w:t>退休人员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12</w:t>
      </w:r>
      <w:r>
        <w:rPr>
          <w:rFonts w:hint="eastAsia" w:ascii="仿宋" w:hAnsi="仿宋" w:eastAsia="仿宋"/>
          <w:sz w:val="32"/>
          <w:szCs w:val="32"/>
        </w:rPr>
        <w:t>人。</w:t>
      </w:r>
    </w:p>
    <w:p>
      <w:pPr>
        <w:spacing w:line="560" w:lineRule="exact"/>
        <w:ind w:firstLine="643" w:firstLineChars="200"/>
        <w:rPr>
          <w:rFonts w:hint="eastAsia" w:ascii="仿宋" w:hAnsi="仿宋" w:eastAsia="仿宋"/>
          <w:b/>
          <w:sz w:val="32"/>
          <w:szCs w:val="32"/>
        </w:rPr>
      </w:pPr>
      <w:r>
        <w:rPr>
          <w:rFonts w:hint="eastAsia" w:ascii="仿宋" w:hAnsi="仿宋" w:eastAsia="仿宋"/>
          <w:b/>
          <w:sz w:val="32"/>
          <w:szCs w:val="32"/>
          <w:lang w:val="en-US" w:eastAsia="zh-CN"/>
        </w:rPr>
        <w:t>3、</w:t>
      </w:r>
      <w:r>
        <w:rPr>
          <w:rFonts w:hint="eastAsia" w:ascii="仿宋" w:hAnsi="仿宋" w:eastAsia="仿宋"/>
          <w:b/>
          <w:sz w:val="32"/>
          <w:szCs w:val="32"/>
        </w:rPr>
        <w:t>部门主要工作职责</w:t>
      </w:r>
    </w:p>
    <w:p>
      <w:pPr>
        <w:tabs>
          <w:tab w:val="left" w:pos="600"/>
        </w:tabs>
        <w:spacing w:line="560" w:lineRule="exact"/>
        <w:ind w:firstLine="560" w:firstLineChars="200"/>
        <w:rPr>
          <w:rFonts w:hint="eastAsia" w:ascii="仿宋" w:hAnsi="仿宋" w:eastAsia="仿宋"/>
          <w:sz w:val="32"/>
        </w:rPr>
      </w:pPr>
      <w:r>
        <w:rPr>
          <w:rFonts w:hint="default" w:ascii="Calibri" w:hAnsi="Calibri" w:eastAsia="仿宋" w:cs="Calibri"/>
          <w:sz w:val="28"/>
          <w:lang w:val="en-US" w:eastAsia="zh-CN"/>
        </w:rPr>
        <w:t>①</w:t>
      </w:r>
      <w:r>
        <w:rPr>
          <w:rFonts w:hint="eastAsia" w:ascii="仿宋" w:hAnsi="仿宋" w:eastAsia="仿宋"/>
          <w:sz w:val="32"/>
        </w:rPr>
        <w:t>贯彻执行国家和地方关于城市管理法律、法规、规章和方针、政策。</w:t>
      </w:r>
    </w:p>
    <w:p>
      <w:pPr>
        <w:tabs>
          <w:tab w:val="left" w:pos="600"/>
        </w:tabs>
        <w:spacing w:line="560" w:lineRule="exact"/>
        <w:ind w:firstLine="560" w:firstLineChars="200"/>
        <w:rPr>
          <w:rFonts w:hint="eastAsia" w:ascii="仿宋" w:hAnsi="仿宋" w:eastAsia="仿宋"/>
          <w:sz w:val="32"/>
        </w:rPr>
      </w:pPr>
      <w:r>
        <w:rPr>
          <w:rFonts w:hint="default" w:ascii="Calibri" w:hAnsi="Calibri" w:eastAsia="仿宋" w:cs="Calibri"/>
          <w:sz w:val="28"/>
          <w:lang w:val="en-US" w:eastAsia="zh-CN"/>
        </w:rPr>
        <w:t>②</w:t>
      </w:r>
      <w:r>
        <w:rPr>
          <w:rFonts w:hint="eastAsia" w:ascii="仿宋" w:hAnsi="仿宋" w:eastAsia="仿宋"/>
          <w:sz w:val="32"/>
        </w:rPr>
        <w:t>研究制定全县城市管理发展规划、年度计划，起草全县城市管理规范性文件及相关的政策、措施，经批准后组织实施；负责全县城市综合管理的组织、指挥、检查、监督、调度、协调和宣传工作。</w:t>
      </w:r>
    </w:p>
    <w:p>
      <w:pPr>
        <w:tabs>
          <w:tab w:val="left" w:pos="600"/>
        </w:tabs>
        <w:spacing w:line="560" w:lineRule="exact"/>
        <w:ind w:firstLine="560" w:firstLineChars="200"/>
        <w:rPr>
          <w:rFonts w:hint="eastAsia" w:ascii="仿宋" w:hAnsi="仿宋" w:eastAsia="仿宋"/>
          <w:sz w:val="32"/>
        </w:rPr>
      </w:pPr>
      <w:r>
        <w:rPr>
          <w:rFonts w:hint="default" w:ascii="Calibri" w:hAnsi="Calibri" w:eastAsia="仿宋" w:cs="Calibri"/>
          <w:sz w:val="28"/>
          <w:lang w:val="en-US" w:eastAsia="zh-CN"/>
        </w:rPr>
        <w:t>③</w:t>
      </w:r>
      <w:r>
        <w:rPr>
          <w:rFonts w:hint="eastAsia" w:ascii="仿宋" w:hAnsi="仿宋" w:eastAsia="仿宋"/>
          <w:sz w:val="32"/>
        </w:rPr>
        <w:t>负责市容环境卫生、城市建筑垃圾、城市照明、城市绿化、城市道路、城市市政公用设施的监督和行政处罚权利；负责行使《桃江县城市管理相对集中行政处罚权实施办法》（桃政办发【2015】48号）规定的环境保护、城乡规划、工商行政管理方面的行政处罚和县人民政府授权的其他行政处罚。</w:t>
      </w:r>
    </w:p>
    <w:p>
      <w:pPr>
        <w:tabs>
          <w:tab w:val="left" w:pos="600"/>
        </w:tabs>
        <w:spacing w:line="560" w:lineRule="exact"/>
        <w:ind w:firstLine="560" w:firstLineChars="200"/>
        <w:rPr>
          <w:rFonts w:hint="eastAsia" w:ascii="仿宋" w:hAnsi="仿宋" w:eastAsia="仿宋"/>
          <w:sz w:val="32"/>
        </w:rPr>
      </w:pPr>
      <w:r>
        <w:rPr>
          <w:rFonts w:hint="default" w:ascii="Calibri" w:hAnsi="Calibri" w:eastAsia="仿宋" w:cs="Calibri"/>
          <w:sz w:val="28"/>
          <w:lang w:val="en-US" w:eastAsia="zh-CN"/>
        </w:rPr>
        <w:t>④</w:t>
      </w:r>
      <w:r>
        <w:rPr>
          <w:rFonts w:hint="eastAsia" w:ascii="仿宋" w:hAnsi="仿宋" w:eastAsia="仿宋"/>
          <w:sz w:val="32"/>
        </w:rPr>
        <w:t>负责路灯照明设施、市政设施、环卫设施的维护管理工作；负责县城洗车场、渣土消纳场、弃土场的管理工作。</w:t>
      </w:r>
    </w:p>
    <w:p>
      <w:pPr>
        <w:tabs>
          <w:tab w:val="left" w:pos="600"/>
        </w:tabs>
        <w:spacing w:line="560" w:lineRule="exact"/>
        <w:ind w:firstLine="560" w:firstLineChars="200"/>
        <w:rPr>
          <w:rFonts w:hint="eastAsia" w:ascii="仿宋" w:hAnsi="仿宋" w:eastAsia="仿宋"/>
          <w:sz w:val="32"/>
        </w:rPr>
      </w:pPr>
      <w:r>
        <w:rPr>
          <w:rFonts w:hint="default" w:ascii="Calibri" w:hAnsi="Calibri" w:eastAsia="仿宋" w:cs="Calibri"/>
          <w:sz w:val="28"/>
          <w:lang w:val="en-US" w:eastAsia="zh-CN"/>
        </w:rPr>
        <w:t>⑤</w:t>
      </w:r>
      <w:r>
        <w:rPr>
          <w:rFonts w:hint="eastAsia" w:ascii="仿宋" w:hAnsi="仿宋" w:eastAsia="仿宋"/>
          <w:sz w:val="32"/>
          <w:lang w:val="en-US" w:eastAsia="zh-CN"/>
        </w:rPr>
        <w:t>、</w:t>
      </w:r>
      <w:r>
        <w:rPr>
          <w:rFonts w:hint="eastAsia" w:ascii="仿宋" w:hAnsi="仿宋" w:eastAsia="仿宋"/>
          <w:sz w:val="32"/>
        </w:rPr>
        <w:t>负责依法组织征收渣土调配费、城市生活垃圾处理费、异地绿化费、城市道路临时占用费和挖掘修复费。</w:t>
      </w:r>
    </w:p>
    <w:p>
      <w:pPr>
        <w:tabs>
          <w:tab w:val="left" w:pos="600"/>
        </w:tabs>
        <w:spacing w:line="560" w:lineRule="exact"/>
        <w:ind w:firstLine="560" w:firstLineChars="200"/>
        <w:rPr>
          <w:rFonts w:hint="eastAsia" w:ascii="仿宋" w:hAnsi="仿宋" w:eastAsia="仿宋"/>
          <w:sz w:val="32"/>
        </w:rPr>
      </w:pPr>
      <w:r>
        <w:rPr>
          <w:rFonts w:hint="default" w:ascii="Calibri" w:hAnsi="Calibri" w:eastAsia="仿宋" w:cs="Calibri"/>
          <w:sz w:val="28"/>
          <w:lang w:val="en-US" w:eastAsia="zh-CN"/>
        </w:rPr>
        <w:t>⑥</w:t>
      </w:r>
      <w:r>
        <w:rPr>
          <w:rFonts w:hint="eastAsia" w:ascii="仿宋" w:hAnsi="仿宋" w:eastAsia="仿宋"/>
          <w:sz w:val="32"/>
        </w:rPr>
        <w:t>参与市政、环卫、路灯等城市基础设施建设项目的可行性研究、方案审查和工程竣工备案及城乡规划审查、实施和验收工作。</w:t>
      </w:r>
    </w:p>
    <w:p>
      <w:pPr>
        <w:tabs>
          <w:tab w:val="left" w:pos="600"/>
        </w:tabs>
        <w:spacing w:line="560" w:lineRule="exact"/>
        <w:ind w:firstLine="560" w:firstLineChars="200"/>
        <w:rPr>
          <w:rFonts w:hint="eastAsia" w:ascii="仿宋" w:hAnsi="仿宋" w:eastAsia="仿宋"/>
          <w:sz w:val="32"/>
        </w:rPr>
      </w:pPr>
      <w:r>
        <w:rPr>
          <w:rFonts w:hint="default" w:ascii="Calibri" w:hAnsi="Calibri" w:eastAsia="仿宋" w:cs="Calibri"/>
          <w:sz w:val="28"/>
          <w:lang w:val="en-US" w:eastAsia="zh-CN"/>
        </w:rPr>
        <w:t>⑦</w:t>
      </w:r>
      <w:r>
        <w:rPr>
          <w:rFonts w:hint="eastAsia" w:ascii="仿宋" w:hAnsi="仿宋" w:eastAsia="仿宋"/>
          <w:sz w:val="32"/>
        </w:rPr>
        <w:t>负责县城规划区内的查违控违拆违监督管理工作，对违法建设进行制止和强制拆除；组织建设项目工程规划竣工验收。</w:t>
      </w:r>
    </w:p>
    <w:p>
      <w:pPr>
        <w:spacing w:line="560" w:lineRule="exact"/>
        <w:ind w:firstLine="560" w:firstLineChars="200"/>
        <w:rPr>
          <w:kern w:val="0"/>
          <w:szCs w:val="32"/>
        </w:rPr>
      </w:pPr>
      <w:r>
        <w:rPr>
          <w:rFonts w:hint="default" w:ascii="Calibri" w:hAnsi="Calibri" w:eastAsia="仿宋" w:cs="Calibri"/>
          <w:sz w:val="28"/>
          <w:lang w:val="en-US" w:eastAsia="zh-CN"/>
        </w:rPr>
        <w:t>⑧</w:t>
      </w:r>
      <w:r>
        <w:rPr>
          <w:rFonts w:hint="eastAsia" w:ascii="仿宋" w:hAnsi="仿宋" w:eastAsia="仿宋"/>
          <w:sz w:val="32"/>
        </w:rPr>
        <w:t>承办县委、县人民政府交办的其他事项。</w:t>
      </w:r>
    </w:p>
    <w:p>
      <w:pPr>
        <w:spacing w:line="560" w:lineRule="exact"/>
        <w:ind w:firstLine="643" w:firstLineChars="200"/>
        <w:rPr>
          <w:rFonts w:hint="eastAsia" w:ascii="仿宋" w:hAnsi="仿宋" w:eastAsia="仿宋"/>
          <w:b/>
          <w:sz w:val="32"/>
          <w:szCs w:val="32"/>
        </w:rPr>
      </w:pPr>
      <w:r>
        <w:rPr>
          <w:rFonts w:hint="eastAsia" w:ascii="仿宋" w:hAnsi="仿宋" w:eastAsia="仿宋"/>
          <w:b/>
          <w:sz w:val="32"/>
          <w:szCs w:val="32"/>
        </w:rPr>
        <w:t>（</w:t>
      </w:r>
      <w:r>
        <w:rPr>
          <w:rFonts w:hint="eastAsia" w:ascii="仿宋" w:hAnsi="仿宋" w:eastAsia="仿宋"/>
          <w:b/>
          <w:sz w:val="32"/>
          <w:szCs w:val="32"/>
          <w:lang w:eastAsia="zh-CN"/>
        </w:rPr>
        <w:t>二</w:t>
      </w:r>
      <w:r>
        <w:rPr>
          <w:rFonts w:hint="eastAsia" w:ascii="仿宋" w:hAnsi="仿宋" w:eastAsia="仿宋"/>
          <w:b/>
          <w:sz w:val="32"/>
          <w:szCs w:val="32"/>
        </w:rPr>
        <w:t>）部门整体支出规模</w:t>
      </w:r>
    </w:p>
    <w:p>
      <w:pPr>
        <w:widowControl/>
        <w:spacing w:line="560" w:lineRule="exact"/>
        <w:ind w:firstLine="643" w:firstLineChars="200"/>
        <w:jc w:val="left"/>
        <w:rPr>
          <w:rFonts w:hint="eastAsia" w:ascii="楷体" w:hAnsi="楷体" w:eastAsia="楷体" w:cs="Tahoma"/>
          <w:b/>
          <w:kern w:val="0"/>
          <w:sz w:val="32"/>
          <w:szCs w:val="32"/>
        </w:rPr>
      </w:pPr>
      <w:r>
        <w:rPr>
          <w:rFonts w:hint="eastAsia" w:ascii="楷体" w:hAnsi="楷体" w:eastAsia="楷体" w:cs="Tahoma"/>
          <w:b/>
          <w:kern w:val="0"/>
          <w:sz w:val="32"/>
          <w:szCs w:val="32"/>
        </w:rPr>
        <w:t>1、收入</w:t>
      </w:r>
    </w:p>
    <w:p>
      <w:pPr>
        <w:widowControl/>
        <w:spacing w:line="560" w:lineRule="exact"/>
        <w:ind w:firstLine="640" w:firstLineChars="200"/>
        <w:jc w:val="left"/>
        <w:rPr>
          <w:rFonts w:hint="default" w:ascii="仿宋" w:hAnsi="仿宋" w:eastAsia="仿宋" w:cs="Tahoma"/>
          <w:kern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Tahoma"/>
          <w:kern w:val="0"/>
          <w:sz w:val="32"/>
          <w:szCs w:val="32"/>
          <w:lang w:eastAsia="zh-CN"/>
        </w:rPr>
        <w:t>财政资金年初预算数</w:t>
      </w:r>
      <w:r>
        <w:rPr>
          <w:rFonts w:hint="eastAsia" w:ascii="仿宋" w:hAnsi="仿宋" w:eastAsia="仿宋" w:cs="Tahoma"/>
          <w:kern w:val="0"/>
          <w:sz w:val="32"/>
          <w:szCs w:val="32"/>
          <w:lang w:val="en-US" w:eastAsia="zh-CN"/>
        </w:rPr>
        <w:t>1496.98万元，预算调整数1844.84</w:t>
      </w:r>
      <w:r>
        <w:rPr>
          <w:rFonts w:hint="eastAsia" w:ascii="仿宋" w:hAnsi="仿宋" w:eastAsia="仿宋" w:cs="Tahoma"/>
          <w:kern w:val="0"/>
          <w:sz w:val="32"/>
          <w:szCs w:val="32"/>
        </w:rPr>
        <w:t>万元，</w:t>
      </w:r>
      <w:r>
        <w:rPr>
          <w:rFonts w:hint="eastAsia" w:ascii="仿宋" w:hAnsi="仿宋" w:eastAsia="仿宋" w:cs="Tahoma"/>
          <w:kern w:val="0"/>
          <w:sz w:val="32"/>
          <w:szCs w:val="32"/>
          <w:lang w:eastAsia="zh-CN"/>
        </w:rPr>
        <w:t>年末决算数</w:t>
      </w:r>
      <w:r>
        <w:rPr>
          <w:rFonts w:hint="eastAsia" w:ascii="仿宋" w:hAnsi="仿宋" w:eastAsia="仿宋" w:cs="Tahoma"/>
          <w:kern w:val="0"/>
          <w:sz w:val="32"/>
          <w:szCs w:val="32"/>
          <w:lang w:val="en-US" w:eastAsia="zh-CN"/>
        </w:rPr>
        <w:t>1844.84万元。</w:t>
      </w:r>
    </w:p>
    <w:p>
      <w:pPr>
        <w:widowControl/>
        <w:spacing w:line="560" w:lineRule="exact"/>
        <w:ind w:firstLine="643" w:firstLineChars="200"/>
        <w:jc w:val="left"/>
        <w:rPr>
          <w:rFonts w:hint="eastAsia" w:ascii="楷体" w:hAnsi="楷体" w:eastAsia="楷体" w:cs="Tahoma"/>
          <w:b/>
          <w:kern w:val="0"/>
          <w:sz w:val="32"/>
          <w:szCs w:val="32"/>
        </w:rPr>
      </w:pPr>
      <w:r>
        <w:rPr>
          <w:rFonts w:hint="eastAsia" w:ascii="楷体" w:hAnsi="楷体" w:eastAsia="楷体" w:cs="Tahoma"/>
          <w:b/>
          <w:kern w:val="0"/>
          <w:sz w:val="32"/>
          <w:szCs w:val="32"/>
        </w:rPr>
        <w:t>2、支出</w:t>
      </w:r>
    </w:p>
    <w:p>
      <w:pPr>
        <w:widowControl/>
        <w:spacing w:line="560" w:lineRule="exact"/>
        <w:ind w:firstLine="640" w:firstLineChars="200"/>
        <w:jc w:val="left"/>
        <w:rPr>
          <w:rFonts w:hint="eastAsia" w:ascii="仿宋" w:hAnsi="仿宋" w:eastAsia="仿宋" w:cs="Tahoma"/>
          <w:kern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Tahoma"/>
          <w:kern w:val="0"/>
          <w:sz w:val="32"/>
          <w:szCs w:val="32"/>
          <w:lang w:val="en-US" w:eastAsia="zh-CN"/>
        </w:rPr>
        <w:t>2021年</w:t>
      </w:r>
      <w:r>
        <w:rPr>
          <w:rFonts w:hint="eastAsia" w:ascii="仿宋" w:hAnsi="仿宋" w:eastAsia="仿宋" w:cs="Tahoma"/>
          <w:kern w:val="0"/>
          <w:sz w:val="32"/>
          <w:szCs w:val="32"/>
        </w:rPr>
        <w:t>基本支出1370.86万元，</w:t>
      </w:r>
      <w:r>
        <w:rPr>
          <w:rFonts w:hint="eastAsia" w:ascii="仿宋" w:hAnsi="仿宋" w:eastAsia="仿宋" w:cs="Tahoma"/>
          <w:kern w:val="0"/>
          <w:sz w:val="32"/>
          <w:szCs w:val="32"/>
          <w:lang w:eastAsia="zh-CN"/>
        </w:rPr>
        <w:t>项目支出</w:t>
      </w:r>
      <w:r>
        <w:rPr>
          <w:rFonts w:hint="eastAsia" w:ascii="仿宋" w:hAnsi="仿宋" w:eastAsia="仿宋" w:cs="Tahoma"/>
          <w:kern w:val="0"/>
          <w:sz w:val="32"/>
          <w:szCs w:val="32"/>
          <w:lang w:val="en-US" w:eastAsia="zh-CN"/>
        </w:rPr>
        <w:t>473.98万元，合计1844.84万元。</w:t>
      </w:r>
    </w:p>
    <w:p>
      <w:pPr>
        <w:widowControl/>
        <w:numPr>
          <w:ilvl w:val="0"/>
          <w:numId w:val="1"/>
        </w:numPr>
        <w:spacing w:line="560" w:lineRule="exact"/>
        <w:ind w:left="6" w:leftChars="0" w:firstLine="640" w:firstLineChars="0"/>
        <w:jc w:val="left"/>
        <w:rPr>
          <w:rFonts w:hint="eastAsia" w:ascii="仿宋" w:hAnsi="仿宋" w:eastAsia="仿宋" w:cs="Tahoma"/>
          <w:b/>
          <w:bCs/>
          <w:kern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Tahoma"/>
          <w:b/>
          <w:bCs/>
          <w:kern w:val="0"/>
          <w:sz w:val="32"/>
          <w:szCs w:val="32"/>
          <w:lang w:val="en-US" w:eastAsia="zh-CN"/>
        </w:rPr>
        <w:t>部门整体支出使用方向及主要内容、涉及的范围</w:t>
      </w:r>
    </w:p>
    <w:p>
      <w:pPr>
        <w:widowControl/>
        <w:numPr>
          <w:ilvl w:val="0"/>
          <w:numId w:val="0"/>
        </w:numPr>
        <w:spacing w:line="560" w:lineRule="exact"/>
        <w:ind w:firstLine="640" w:firstLineChars="200"/>
        <w:jc w:val="left"/>
        <w:rPr>
          <w:rFonts w:hint="eastAsia" w:ascii="仿宋" w:hAnsi="仿宋" w:eastAsia="仿宋" w:cs="Tahoma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Tahoma"/>
          <w:kern w:val="0"/>
          <w:sz w:val="32"/>
          <w:szCs w:val="32"/>
          <w:lang w:eastAsia="zh-CN"/>
        </w:rPr>
        <w:t>部门整体支出</w:t>
      </w:r>
      <w:r>
        <w:rPr>
          <w:rFonts w:hint="eastAsia" w:ascii="仿宋" w:hAnsi="仿宋" w:eastAsia="仿宋" w:cs="Tahoma"/>
          <w:kern w:val="0"/>
          <w:sz w:val="32"/>
          <w:szCs w:val="32"/>
          <w:lang w:val="en-US" w:eastAsia="zh-CN"/>
        </w:rPr>
        <w:t>中</w:t>
      </w:r>
      <w:r>
        <w:rPr>
          <w:rFonts w:hint="eastAsia" w:ascii="仿宋" w:hAnsi="仿宋" w:eastAsia="仿宋" w:cs="Tahoma"/>
          <w:kern w:val="0"/>
          <w:sz w:val="32"/>
          <w:szCs w:val="32"/>
          <w:lang w:eastAsia="zh-CN"/>
        </w:rPr>
        <w:t>基本支出</w:t>
      </w:r>
      <w:r>
        <w:rPr>
          <w:rFonts w:hint="eastAsia" w:ascii="仿宋" w:hAnsi="仿宋" w:eastAsia="仿宋" w:cs="Tahoma"/>
          <w:kern w:val="0"/>
          <w:sz w:val="32"/>
          <w:szCs w:val="32"/>
          <w:lang w:val="en-US" w:eastAsia="zh-CN"/>
        </w:rPr>
        <w:t>1370.86万元，主要用于人员工资福利支出及一般公务支出，</w:t>
      </w:r>
      <w:r>
        <w:rPr>
          <w:rFonts w:hint="eastAsia" w:ascii="仿宋" w:hAnsi="仿宋" w:eastAsia="仿宋" w:cs="Tahoma"/>
          <w:kern w:val="0"/>
          <w:sz w:val="32"/>
          <w:szCs w:val="32"/>
        </w:rPr>
        <w:t>包含工资福利支出</w:t>
      </w:r>
      <w:r>
        <w:rPr>
          <w:rFonts w:hint="eastAsia" w:ascii="仿宋" w:hAnsi="仿宋" w:eastAsia="仿宋" w:cs="Tahoma"/>
          <w:kern w:val="0"/>
          <w:sz w:val="32"/>
          <w:szCs w:val="32"/>
          <w:lang w:val="en-US" w:eastAsia="zh-CN"/>
        </w:rPr>
        <w:t>1276.7</w:t>
      </w:r>
      <w:r>
        <w:rPr>
          <w:rFonts w:hint="eastAsia" w:ascii="仿宋" w:hAnsi="仿宋" w:eastAsia="仿宋" w:cs="Tahoma"/>
          <w:kern w:val="0"/>
          <w:sz w:val="32"/>
          <w:szCs w:val="32"/>
        </w:rPr>
        <w:t>万元、</w:t>
      </w:r>
      <w:r>
        <w:rPr>
          <w:rFonts w:hint="eastAsia" w:ascii="仿宋" w:hAnsi="仿宋" w:eastAsia="仿宋" w:cs="Tahoma"/>
          <w:kern w:val="0"/>
          <w:sz w:val="32"/>
          <w:szCs w:val="32"/>
          <w:lang w:eastAsia="zh-CN"/>
        </w:rPr>
        <w:t>商品服务支出</w:t>
      </w:r>
      <w:r>
        <w:rPr>
          <w:rFonts w:hint="eastAsia" w:ascii="仿宋" w:hAnsi="仿宋" w:eastAsia="仿宋" w:cs="Tahoma"/>
          <w:kern w:val="0"/>
          <w:sz w:val="32"/>
          <w:szCs w:val="32"/>
          <w:lang w:val="en-US" w:eastAsia="zh-CN"/>
        </w:rPr>
        <w:t>78.39</w:t>
      </w:r>
      <w:r>
        <w:rPr>
          <w:rFonts w:hint="eastAsia" w:ascii="仿宋" w:hAnsi="仿宋" w:eastAsia="仿宋" w:cs="Tahoma"/>
          <w:kern w:val="0"/>
          <w:sz w:val="32"/>
          <w:szCs w:val="32"/>
        </w:rPr>
        <w:t>万元、对个人和家庭的补助支出</w:t>
      </w:r>
      <w:r>
        <w:rPr>
          <w:rFonts w:hint="eastAsia" w:ascii="仿宋" w:hAnsi="仿宋" w:eastAsia="仿宋" w:cs="Tahoma"/>
          <w:kern w:val="0"/>
          <w:sz w:val="32"/>
          <w:szCs w:val="32"/>
          <w:lang w:val="en-US" w:eastAsia="zh-CN"/>
        </w:rPr>
        <w:t>15.77</w:t>
      </w:r>
      <w:r>
        <w:rPr>
          <w:rFonts w:hint="eastAsia" w:ascii="仿宋" w:hAnsi="仿宋" w:eastAsia="仿宋" w:cs="Tahoma"/>
          <w:kern w:val="0"/>
          <w:sz w:val="32"/>
          <w:szCs w:val="32"/>
        </w:rPr>
        <w:t>万元</w:t>
      </w:r>
      <w:r>
        <w:rPr>
          <w:rFonts w:hint="eastAsia" w:ascii="仿宋" w:hAnsi="仿宋" w:eastAsia="仿宋" w:cs="Tahoma"/>
          <w:kern w:val="0"/>
          <w:sz w:val="32"/>
          <w:szCs w:val="32"/>
          <w:lang w:eastAsia="zh-CN"/>
        </w:rPr>
        <w:t>。</w:t>
      </w:r>
      <w:r>
        <w:rPr>
          <w:rFonts w:hint="eastAsia" w:ascii="仿宋" w:hAnsi="仿宋" w:eastAsia="仿宋" w:cs="Tahoma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2021年</w:t>
      </w:r>
      <w:r>
        <w:rPr>
          <w:rFonts w:hint="eastAsia" w:ascii="仿宋" w:hAnsi="仿宋" w:eastAsia="仿宋" w:cs="Tahoma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“三公经费”支出</w:t>
      </w:r>
      <w:r>
        <w:rPr>
          <w:rFonts w:hint="eastAsia" w:ascii="仿宋" w:hAnsi="仿宋" w:eastAsia="仿宋" w:cs="Tahoma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1.04</w:t>
      </w:r>
      <w:r>
        <w:rPr>
          <w:rFonts w:hint="eastAsia" w:ascii="仿宋" w:hAnsi="仿宋" w:eastAsia="仿宋" w:cs="Tahoma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万元，</w:t>
      </w:r>
      <w:r>
        <w:rPr>
          <w:rFonts w:hint="eastAsia" w:ascii="仿宋" w:hAnsi="仿宋" w:eastAsia="仿宋" w:cs="Tahoma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全部为公务接待支出，因</w:t>
      </w:r>
      <w:r>
        <w:rPr>
          <w:rFonts w:hint="eastAsia" w:ascii="仿宋" w:hAnsi="仿宋" w:eastAsia="仿宋" w:cs="Tahoma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2021无大幅度的人员调整，2021年基本支出与2020年持平</w:t>
      </w:r>
      <w:r>
        <w:rPr>
          <w:rFonts w:hint="eastAsia" w:ascii="仿宋" w:hAnsi="仿宋" w:eastAsia="仿宋" w:cs="Tahoma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。</w:t>
      </w:r>
    </w:p>
    <w:p>
      <w:pPr>
        <w:tabs>
          <w:tab w:val="left" w:pos="5175"/>
        </w:tabs>
        <w:spacing w:line="560" w:lineRule="exact"/>
        <w:ind w:firstLine="640" w:firstLineChars="200"/>
        <w:rPr>
          <w:rFonts w:hint="default" w:ascii="仿宋" w:hAnsi="仿宋" w:eastAsia="仿宋" w:cs="宋体"/>
          <w:kern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Tahoma"/>
          <w:kern w:val="0"/>
          <w:sz w:val="32"/>
          <w:szCs w:val="32"/>
          <w:lang w:eastAsia="zh-CN"/>
        </w:rPr>
        <w:t>部门整体支出</w:t>
      </w:r>
      <w:r>
        <w:rPr>
          <w:rFonts w:hint="eastAsia" w:ascii="仿宋" w:hAnsi="仿宋" w:eastAsia="仿宋" w:cs="Tahoma"/>
          <w:kern w:val="0"/>
          <w:sz w:val="32"/>
          <w:szCs w:val="32"/>
          <w:lang w:val="en-US" w:eastAsia="zh-CN"/>
        </w:rPr>
        <w:t>中项目</w:t>
      </w:r>
      <w:r>
        <w:rPr>
          <w:rFonts w:hint="eastAsia" w:ascii="仿宋" w:hAnsi="仿宋" w:eastAsia="仿宋" w:cs="Tahoma"/>
          <w:kern w:val="0"/>
          <w:sz w:val="32"/>
          <w:szCs w:val="32"/>
          <w:lang w:eastAsia="zh-CN"/>
        </w:rPr>
        <w:t>支出总投入</w:t>
      </w:r>
      <w:r>
        <w:rPr>
          <w:rFonts w:hint="eastAsia" w:ascii="仿宋" w:hAnsi="仿宋" w:eastAsia="仿宋" w:cs="Tahoma"/>
          <w:kern w:val="0"/>
          <w:sz w:val="32"/>
          <w:szCs w:val="32"/>
          <w:lang w:val="en-US" w:eastAsia="zh-CN"/>
        </w:rPr>
        <w:t>473.98万元，</w:t>
      </w:r>
      <w:r>
        <w:rPr>
          <w:rFonts w:hint="eastAsia" w:ascii="仿宋" w:hAnsi="仿宋" w:eastAsia="仿宋" w:cs="Tahoma"/>
          <w:kern w:val="0"/>
          <w:sz w:val="32"/>
          <w:szCs w:val="32"/>
        </w:rPr>
        <w:t>主要用于桃江县城市管理</w:t>
      </w:r>
      <w:r>
        <w:rPr>
          <w:rFonts w:hint="eastAsia" w:ascii="仿宋" w:hAnsi="仿宋" w:eastAsia="仿宋" w:cs="Tahoma"/>
          <w:kern w:val="0"/>
          <w:sz w:val="32"/>
          <w:szCs w:val="32"/>
          <w:lang w:eastAsia="zh-CN"/>
        </w:rPr>
        <w:t>和综合执法局</w:t>
      </w:r>
      <w:r>
        <w:rPr>
          <w:rFonts w:hint="eastAsia" w:ascii="仿宋" w:hAnsi="仿宋" w:eastAsia="仿宋" w:cs="Tahoma"/>
          <w:kern w:val="0"/>
          <w:sz w:val="32"/>
          <w:szCs w:val="32"/>
        </w:rPr>
        <w:t>及下属</w:t>
      </w:r>
      <w:r>
        <w:rPr>
          <w:rFonts w:hint="eastAsia" w:ascii="仿宋" w:hAnsi="仿宋" w:eastAsia="仿宋" w:cs="Tahoma"/>
          <w:kern w:val="0"/>
          <w:sz w:val="32"/>
          <w:szCs w:val="32"/>
          <w:lang w:eastAsia="zh-CN"/>
        </w:rPr>
        <w:t>城市管理综合执法大队</w:t>
      </w:r>
      <w:r>
        <w:rPr>
          <w:rFonts w:hint="eastAsia" w:ascii="仿宋" w:hAnsi="仿宋" w:eastAsia="仿宋" w:cs="Tahoma"/>
          <w:kern w:val="0"/>
          <w:sz w:val="32"/>
          <w:szCs w:val="32"/>
        </w:rPr>
        <w:t>开展城市管理事务而发生的各项</w:t>
      </w:r>
      <w:r>
        <w:rPr>
          <w:rFonts w:hint="eastAsia" w:ascii="仿宋" w:hAnsi="仿宋" w:eastAsia="仿宋" w:cs="Tahoma"/>
          <w:kern w:val="0"/>
          <w:sz w:val="32"/>
          <w:szCs w:val="32"/>
          <w:lang w:eastAsia="zh-CN"/>
        </w:rPr>
        <w:t>业务</w:t>
      </w:r>
      <w:r>
        <w:rPr>
          <w:rFonts w:hint="eastAsia" w:ascii="仿宋" w:hAnsi="仿宋" w:eastAsia="仿宋" w:cs="Tahoma"/>
          <w:kern w:val="0"/>
          <w:sz w:val="32"/>
          <w:szCs w:val="32"/>
        </w:rPr>
        <w:t>支出</w:t>
      </w:r>
      <w:r>
        <w:rPr>
          <w:rFonts w:hint="eastAsia" w:ascii="仿宋" w:hAnsi="仿宋" w:eastAsia="仿宋" w:cs="Tahoma"/>
          <w:kern w:val="0"/>
          <w:sz w:val="32"/>
          <w:szCs w:val="32"/>
          <w:lang w:eastAsia="zh-CN"/>
        </w:rPr>
        <w:t>。</w:t>
      </w:r>
    </w:p>
    <w:p>
      <w:pPr>
        <w:numPr>
          <w:ilvl w:val="0"/>
          <w:numId w:val="0"/>
        </w:numPr>
        <w:tabs>
          <w:tab w:val="left" w:pos="5175"/>
        </w:tabs>
        <w:spacing w:line="560" w:lineRule="exact"/>
        <w:ind w:left="646" w:leftChars="0"/>
        <w:rPr>
          <w:rFonts w:hint="eastAsia" w:ascii="仿宋" w:hAnsi="仿宋" w:eastAsia="仿宋" w:cs="宋体"/>
          <w:b/>
          <w:bCs/>
          <w:kern w:val="0"/>
          <w:sz w:val="32"/>
          <w:szCs w:val="32"/>
          <w:lang w:eastAsia="zh-CN"/>
        </w:rPr>
      </w:pPr>
      <w:r>
        <w:rPr>
          <w:rFonts w:hint="eastAsia" w:ascii="仿宋" w:hAnsi="仿宋" w:eastAsia="仿宋" w:cs="宋体"/>
          <w:b/>
          <w:bCs/>
          <w:kern w:val="0"/>
          <w:sz w:val="32"/>
          <w:szCs w:val="32"/>
          <w:lang w:eastAsia="zh-CN"/>
        </w:rPr>
        <w:t>（四）绩效目标设立情况</w:t>
      </w:r>
    </w:p>
    <w:p>
      <w:pPr>
        <w:widowControl/>
        <w:numPr>
          <w:ilvl w:val="0"/>
          <w:numId w:val="0"/>
        </w:numPr>
        <w:spacing w:line="560" w:lineRule="exact"/>
        <w:ind w:firstLine="640" w:firstLineChars="200"/>
        <w:jc w:val="left"/>
        <w:rPr>
          <w:rFonts w:hint="eastAsia" w:ascii="仿宋" w:hAnsi="仿宋" w:eastAsia="仿宋" w:cs="Tahoma"/>
          <w:kern w:val="0"/>
          <w:sz w:val="32"/>
          <w:szCs w:val="32"/>
          <w:lang w:eastAsia="zh-CN"/>
        </w:rPr>
      </w:pPr>
      <w:r>
        <w:rPr>
          <w:rFonts w:hint="eastAsia" w:ascii="仿宋" w:hAnsi="仿宋" w:eastAsia="仿宋" w:cs="Tahoma"/>
          <w:kern w:val="0"/>
          <w:sz w:val="32"/>
          <w:szCs w:val="32"/>
          <w:lang w:val="en-US" w:eastAsia="zh-CN"/>
        </w:rPr>
        <w:t>年度目标：一确保123名干职工及12名退休职工的工资福利发放到位，按时缴纳社会保障费用；二保质保量完成</w:t>
      </w:r>
      <w:r>
        <w:rPr>
          <w:rFonts w:hint="eastAsia" w:ascii="仿宋" w:hAnsi="仿宋" w:eastAsia="仿宋" w:cs="Tahoma"/>
          <w:kern w:val="0"/>
          <w:sz w:val="32"/>
          <w:szCs w:val="32"/>
          <w:lang w:eastAsia="zh-CN"/>
        </w:rPr>
        <w:t>本职工作；三完成七项基础工作及县委县政府的的重点工作考核任务；四是加强城市管理，创建卫生县城。</w:t>
      </w:r>
    </w:p>
    <w:p>
      <w:pPr>
        <w:widowControl/>
        <w:numPr>
          <w:ilvl w:val="0"/>
          <w:numId w:val="0"/>
        </w:numPr>
        <w:spacing w:line="560" w:lineRule="exact"/>
        <w:ind w:firstLine="640" w:firstLineChars="200"/>
        <w:jc w:val="left"/>
        <w:rPr>
          <w:rFonts w:hint="eastAsia" w:ascii="仿宋" w:hAnsi="仿宋" w:eastAsia="仿宋" w:cs="Tahoma"/>
          <w:kern w:val="0"/>
          <w:sz w:val="32"/>
          <w:szCs w:val="32"/>
          <w:lang w:eastAsia="zh-CN"/>
        </w:rPr>
      </w:pPr>
      <w:r>
        <w:rPr>
          <w:rFonts w:hint="eastAsia" w:ascii="仿宋" w:hAnsi="仿宋" w:eastAsia="仿宋" w:cs="Tahoma"/>
          <w:kern w:val="0"/>
          <w:sz w:val="32"/>
          <w:szCs w:val="32"/>
          <w:lang w:val="en-US" w:eastAsia="zh-CN"/>
        </w:rPr>
        <w:t>中长期目标：深化城市精细化管理，逐步推进城市管理精细化向网格化、信息化纵深发展，稳步提升城市管理和服务水平。</w:t>
      </w:r>
    </w:p>
    <w:p>
      <w:pPr>
        <w:widowControl/>
        <w:numPr>
          <w:ilvl w:val="0"/>
          <w:numId w:val="0"/>
        </w:numPr>
        <w:spacing w:line="560" w:lineRule="exact"/>
        <w:ind w:firstLine="640" w:firstLineChars="200"/>
        <w:jc w:val="left"/>
        <w:rPr>
          <w:rFonts w:hint="eastAsia" w:ascii="黑体" w:hAnsi="黑体" w:eastAsia="黑体" w:cs="黑体"/>
          <w:kern w:val="0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kern w:val="0"/>
          <w:sz w:val="32"/>
          <w:szCs w:val="32"/>
          <w:lang w:eastAsia="zh-CN"/>
        </w:rPr>
        <w:t>二、部门整体支出管理及使用情况分析</w:t>
      </w:r>
    </w:p>
    <w:p>
      <w:pPr>
        <w:widowControl/>
        <w:numPr>
          <w:ilvl w:val="0"/>
          <w:numId w:val="0"/>
        </w:numPr>
        <w:spacing w:line="560" w:lineRule="exact"/>
        <w:ind w:firstLine="643" w:firstLineChars="200"/>
        <w:jc w:val="left"/>
        <w:rPr>
          <w:rFonts w:hint="eastAsia" w:ascii="仿宋" w:hAnsi="仿宋" w:eastAsia="仿宋" w:cs="仿宋"/>
          <w:b/>
          <w:bCs/>
          <w:kern w:val="0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b/>
          <w:bCs/>
          <w:kern w:val="0"/>
          <w:sz w:val="32"/>
          <w:szCs w:val="32"/>
          <w:lang w:eastAsia="zh-CN"/>
        </w:rPr>
        <w:t>（一）基本支出</w:t>
      </w:r>
    </w:p>
    <w:p>
      <w:pPr>
        <w:widowControl/>
        <w:numPr>
          <w:ilvl w:val="0"/>
          <w:numId w:val="0"/>
        </w:numPr>
        <w:spacing w:line="560" w:lineRule="exact"/>
        <w:ind w:firstLine="640" w:firstLineChars="200"/>
        <w:jc w:val="left"/>
        <w:rPr>
          <w:rFonts w:hint="default" w:ascii="仿宋" w:hAnsi="仿宋" w:eastAsia="仿宋" w:cs="Tahoma"/>
          <w:color w:val="FF0000"/>
          <w:kern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Tahoma"/>
          <w:kern w:val="0"/>
          <w:sz w:val="32"/>
          <w:szCs w:val="32"/>
          <w:lang w:val="en-US" w:eastAsia="zh-CN"/>
        </w:rPr>
        <w:t>2021年</w:t>
      </w:r>
      <w:r>
        <w:rPr>
          <w:rFonts w:hint="eastAsia" w:ascii="仿宋" w:hAnsi="仿宋" w:eastAsia="仿宋" w:cs="Tahoma"/>
          <w:kern w:val="0"/>
          <w:sz w:val="32"/>
          <w:szCs w:val="32"/>
          <w:lang w:eastAsia="zh-CN"/>
        </w:rPr>
        <w:t>基本支出</w:t>
      </w:r>
      <w:r>
        <w:rPr>
          <w:rFonts w:hint="eastAsia" w:ascii="仿宋" w:hAnsi="仿宋" w:eastAsia="仿宋" w:cs="Tahoma"/>
          <w:kern w:val="0"/>
          <w:sz w:val="32"/>
          <w:szCs w:val="32"/>
          <w:lang w:val="en-US" w:eastAsia="zh-CN"/>
        </w:rPr>
        <w:t>主要用于人员工资福利支出及一般公务支出，我局制定了《财务管理制度》《财务审批内控制度》，要求首先</w:t>
      </w:r>
      <w:r>
        <w:rPr>
          <w:rFonts w:hint="eastAsia" w:ascii="仿宋" w:hAnsi="仿宋" w:eastAsia="仿宋" w:cs="Tahoma"/>
          <w:kern w:val="0"/>
          <w:sz w:val="32"/>
          <w:szCs w:val="32"/>
          <w:lang w:eastAsia="zh-CN"/>
        </w:rPr>
        <w:t>应当保证本部门履行基本职能所需要的人员经费和公用经费，对其他弹性支出和专项支出应当严格控制。 人员支出必须严格按照国家政策规定和标准，逐项核定，没有政策规定的项目，不得列支。日常公用支出预算的编制应本着节约、从俭的原则编报。</w:t>
      </w:r>
      <w:r>
        <w:rPr>
          <w:rFonts w:hint="eastAsia" w:ascii="仿宋" w:hAnsi="仿宋" w:eastAsia="仿宋" w:cs="Tahoma"/>
          <w:kern w:val="0"/>
          <w:sz w:val="32"/>
          <w:szCs w:val="32"/>
          <w:lang w:val="en-US" w:eastAsia="zh-CN"/>
        </w:rPr>
        <w:t>2021年</w:t>
      </w:r>
      <w:r>
        <w:rPr>
          <w:rFonts w:hint="eastAsia" w:ascii="仿宋" w:hAnsi="仿宋" w:eastAsia="仿宋" w:cs="Tahoma"/>
          <w:kern w:val="0"/>
          <w:sz w:val="32"/>
          <w:szCs w:val="32"/>
        </w:rPr>
        <w:t>工资福利支出</w:t>
      </w:r>
      <w:r>
        <w:rPr>
          <w:rFonts w:hint="eastAsia" w:ascii="仿宋" w:hAnsi="仿宋" w:eastAsia="仿宋" w:cs="Tahoma"/>
          <w:kern w:val="0"/>
          <w:sz w:val="32"/>
          <w:szCs w:val="32"/>
          <w:lang w:val="en-US" w:eastAsia="zh-CN"/>
        </w:rPr>
        <w:t>1276.7</w:t>
      </w:r>
      <w:r>
        <w:rPr>
          <w:rFonts w:hint="eastAsia" w:ascii="仿宋" w:hAnsi="仿宋" w:eastAsia="仿宋" w:cs="Tahoma"/>
          <w:kern w:val="0"/>
          <w:sz w:val="32"/>
          <w:szCs w:val="32"/>
        </w:rPr>
        <w:t>万元、</w:t>
      </w:r>
      <w:r>
        <w:rPr>
          <w:rFonts w:hint="eastAsia" w:ascii="仿宋" w:hAnsi="仿宋" w:eastAsia="仿宋" w:cs="Tahoma"/>
          <w:kern w:val="0"/>
          <w:sz w:val="32"/>
          <w:szCs w:val="32"/>
          <w:lang w:eastAsia="zh-CN"/>
        </w:rPr>
        <w:t>商品服务支出</w:t>
      </w:r>
      <w:r>
        <w:rPr>
          <w:rFonts w:hint="eastAsia" w:ascii="仿宋" w:hAnsi="仿宋" w:eastAsia="仿宋" w:cs="Tahoma"/>
          <w:kern w:val="0"/>
          <w:sz w:val="32"/>
          <w:szCs w:val="32"/>
          <w:lang w:val="en-US" w:eastAsia="zh-CN"/>
        </w:rPr>
        <w:t>78.39</w:t>
      </w:r>
      <w:r>
        <w:rPr>
          <w:rFonts w:hint="eastAsia" w:ascii="仿宋" w:hAnsi="仿宋" w:eastAsia="仿宋" w:cs="Tahoma"/>
          <w:kern w:val="0"/>
          <w:sz w:val="32"/>
          <w:szCs w:val="32"/>
        </w:rPr>
        <w:t>万元、对个人和家庭的补助支出</w:t>
      </w:r>
      <w:r>
        <w:rPr>
          <w:rFonts w:hint="eastAsia" w:ascii="仿宋" w:hAnsi="仿宋" w:eastAsia="仿宋" w:cs="Tahoma"/>
          <w:kern w:val="0"/>
          <w:sz w:val="32"/>
          <w:szCs w:val="32"/>
          <w:lang w:val="en-US" w:eastAsia="zh-CN"/>
        </w:rPr>
        <w:t>15.77</w:t>
      </w:r>
      <w:r>
        <w:rPr>
          <w:rFonts w:hint="eastAsia" w:ascii="仿宋" w:hAnsi="仿宋" w:eastAsia="仿宋" w:cs="Tahoma"/>
          <w:kern w:val="0"/>
          <w:sz w:val="32"/>
          <w:szCs w:val="32"/>
        </w:rPr>
        <w:t>万元</w:t>
      </w:r>
      <w:r>
        <w:rPr>
          <w:rFonts w:hint="eastAsia" w:ascii="仿宋" w:hAnsi="仿宋" w:eastAsia="仿宋" w:cs="Tahoma"/>
          <w:kern w:val="0"/>
          <w:sz w:val="32"/>
          <w:szCs w:val="32"/>
          <w:lang w:eastAsia="zh-CN"/>
        </w:rPr>
        <w:t>。</w:t>
      </w:r>
      <w:r>
        <w:rPr>
          <w:rFonts w:hint="eastAsia" w:ascii="仿宋" w:hAnsi="仿宋" w:eastAsia="仿宋" w:cs="Tahoma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2021年公务接待费用实际支出1.04</w:t>
      </w:r>
      <w:r>
        <w:rPr>
          <w:rFonts w:hint="eastAsia" w:ascii="仿宋" w:hAnsi="仿宋" w:eastAsia="仿宋" w:cs="Tahoma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万元，为年初预算的</w:t>
      </w:r>
      <w:r>
        <w:rPr>
          <w:rFonts w:hint="eastAsia" w:ascii="仿宋" w:hAnsi="仿宋" w:eastAsia="仿宋" w:cs="Tahoma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10.78%，主要是我局严格落实中央八项规定，</w:t>
      </w:r>
      <w:r>
        <w:rPr>
          <w:rFonts w:hint="eastAsia" w:ascii="仿宋" w:hAnsi="仿宋" w:eastAsia="仿宋" w:cs="Tahoma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公务接待支出</w:t>
      </w:r>
      <w:r>
        <w:rPr>
          <w:rFonts w:hint="eastAsia" w:ascii="仿宋" w:hAnsi="仿宋" w:eastAsia="仿宋" w:cs="Tahoma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按《桃江县党政机关国内公务接待管理实施细则（桃办公发[2020]3号）文件相关规定严格执行。</w:t>
      </w:r>
    </w:p>
    <w:p>
      <w:pPr>
        <w:widowControl/>
        <w:numPr>
          <w:ilvl w:val="0"/>
          <w:numId w:val="0"/>
        </w:numPr>
        <w:spacing w:line="560" w:lineRule="exact"/>
        <w:ind w:firstLine="643" w:firstLineChars="200"/>
        <w:jc w:val="left"/>
        <w:rPr>
          <w:rFonts w:hint="eastAsia" w:ascii="仿宋" w:hAnsi="仿宋" w:eastAsia="仿宋" w:cs="Tahoma"/>
          <w:b/>
          <w:bCs/>
          <w:kern w:val="0"/>
          <w:sz w:val="32"/>
          <w:szCs w:val="32"/>
          <w:lang w:eastAsia="zh-CN"/>
        </w:rPr>
      </w:pPr>
      <w:r>
        <w:rPr>
          <w:rFonts w:hint="eastAsia" w:ascii="仿宋" w:hAnsi="仿宋" w:eastAsia="仿宋" w:cs="Tahoma"/>
          <w:b/>
          <w:bCs/>
          <w:kern w:val="0"/>
          <w:sz w:val="32"/>
          <w:szCs w:val="32"/>
          <w:lang w:eastAsia="zh-CN"/>
        </w:rPr>
        <w:t>（二）项目支出</w:t>
      </w:r>
      <w:r>
        <w:rPr>
          <w:rFonts w:hint="eastAsia" w:ascii="仿宋" w:hAnsi="仿宋" w:eastAsia="仿宋" w:cs="Tahoma"/>
          <w:b/>
          <w:bCs/>
          <w:kern w:val="0"/>
          <w:sz w:val="32"/>
          <w:szCs w:val="32"/>
          <w:lang w:eastAsia="zh-CN"/>
        </w:rPr>
        <w:tab/>
      </w:r>
    </w:p>
    <w:p>
      <w:pPr>
        <w:widowControl/>
        <w:numPr>
          <w:ilvl w:val="0"/>
          <w:numId w:val="0"/>
        </w:numPr>
        <w:spacing w:line="560" w:lineRule="exact"/>
        <w:ind w:firstLine="640" w:firstLineChars="200"/>
        <w:jc w:val="left"/>
        <w:rPr>
          <w:rFonts w:hint="eastAsia" w:ascii="仿宋" w:hAnsi="仿宋" w:eastAsia="仿宋" w:cs="Tahoma"/>
          <w:kern w:val="0"/>
          <w:sz w:val="32"/>
          <w:szCs w:val="32"/>
          <w:lang w:eastAsia="zh-CN"/>
        </w:rPr>
      </w:pPr>
      <w:r>
        <w:rPr>
          <w:rFonts w:hint="eastAsia" w:ascii="仿宋" w:hAnsi="仿宋" w:eastAsia="仿宋" w:cs="Tahoma"/>
          <w:kern w:val="0"/>
          <w:sz w:val="32"/>
          <w:szCs w:val="32"/>
          <w:lang w:eastAsia="zh-CN"/>
        </w:rPr>
        <w:t>1.项目资金安排落实、总投入等情况分析。</w:t>
      </w:r>
    </w:p>
    <w:p>
      <w:pPr>
        <w:widowControl/>
        <w:numPr>
          <w:ilvl w:val="0"/>
          <w:numId w:val="0"/>
        </w:numPr>
        <w:spacing w:line="560" w:lineRule="exact"/>
        <w:ind w:firstLine="640" w:firstLineChars="200"/>
        <w:jc w:val="left"/>
        <w:rPr>
          <w:rFonts w:hint="eastAsia" w:ascii="仿宋" w:hAnsi="仿宋" w:eastAsia="仿宋" w:cs="Tahoma"/>
          <w:kern w:val="0"/>
          <w:sz w:val="32"/>
          <w:szCs w:val="32"/>
          <w:lang w:eastAsia="zh-CN"/>
        </w:rPr>
      </w:pPr>
      <w:r>
        <w:rPr>
          <w:rFonts w:hint="eastAsia" w:ascii="仿宋" w:hAnsi="仿宋" w:eastAsia="仿宋" w:cs="Tahoma"/>
          <w:kern w:val="0"/>
          <w:sz w:val="32"/>
          <w:szCs w:val="32"/>
          <w:lang w:eastAsia="zh-CN"/>
        </w:rPr>
        <w:t>部门整体支出</w:t>
      </w:r>
      <w:r>
        <w:rPr>
          <w:rFonts w:hint="eastAsia" w:ascii="仿宋" w:hAnsi="仿宋" w:eastAsia="仿宋" w:cs="Tahoma"/>
          <w:kern w:val="0"/>
          <w:sz w:val="32"/>
          <w:szCs w:val="32"/>
          <w:lang w:val="en-US" w:eastAsia="zh-CN"/>
        </w:rPr>
        <w:t>中项目</w:t>
      </w:r>
      <w:r>
        <w:rPr>
          <w:rFonts w:hint="eastAsia" w:ascii="仿宋" w:hAnsi="仿宋" w:eastAsia="仿宋" w:cs="Tahoma"/>
          <w:kern w:val="0"/>
          <w:sz w:val="32"/>
          <w:szCs w:val="32"/>
          <w:lang w:eastAsia="zh-CN"/>
        </w:rPr>
        <w:t>支出财政资金年初预算247</w:t>
      </w:r>
      <w:r>
        <w:rPr>
          <w:rFonts w:hint="eastAsia" w:ascii="仿宋" w:hAnsi="仿宋" w:eastAsia="仿宋" w:cs="Tahoma"/>
          <w:kern w:val="0"/>
          <w:sz w:val="32"/>
          <w:szCs w:val="32"/>
          <w:lang w:val="en-US" w:eastAsia="zh-CN"/>
        </w:rPr>
        <w:t>万元，年中追加226.98万元，</w:t>
      </w:r>
      <w:r>
        <w:rPr>
          <w:rFonts w:hint="eastAsia" w:ascii="仿宋" w:hAnsi="仿宋" w:eastAsia="仿宋" w:cs="Tahoma"/>
          <w:kern w:val="0"/>
          <w:sz w:val="32"/>
          <w:szCs w:val="32"/>
          <w:lang w:eastAsia="zh-CN"/>
        </w:rPr>
        <w:t>总投入473.98</w:t>
      </w:r>
      <w:r>
        <w:rPr>
          <w:rFonts w:hint="eastAsia" w:ascii="仿宋" w:hAnsi="仿宋" w:eastAsia="仿宋" w:cs="Tahoma"/>
          <w:kern w:val="0"/>
          <w:sz w:val="32"/>
          <w:szCs w:val="32"/>
          <w:lang w:val="en-US" w:eastAsia="zh-CN"/>
        </w:rPr>
        <w:t>万元，</w:t>
      </w:r>
      <w:r>
        <w:rPr>
          <w:rFonts w:hint="eastAsia" w:ascii="仿宋" w:hAnsi="仿宋" w:eastAsia="仿宋" w:cs="Tahoma"/>
          <w:kern w:val="0"/>
          <w:sz w:val="32"/>
          <w:szCs w:val="32"/>
          <w:lang w:eastAsia="zh-CN"/>
        </w:rPr>
        <w:t>主要项目如下：</w:t>
      </w:r>
    </w:p>
    <w:p>
      <w:pPr>
        <w:widowControl/>
        <w:numPr>
          <w:ilvl w:val="0"/>
          <w:numId w:val="0"/>
        </w:numPr>
        <w:spacing w:line="560" w:lineRule="exact"/>
        <w:ind w:firstLine="640" w:firstLineChars="200"/>
        <w:jc w:val="left"/>
        <w:rPr>
          <w:rFonts w:hint="eastAsia" w:ascii="仿宋" w:hAnsi="仿宋" w:eastAsia="仿宋" w:cs="Tahoma"/>
          <w:kern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Tahoma"/>
          <w:kern w:val="0"/>
          <w:sz w:val="32"/>
          <w:szCs w:val="32"/>
          <w:lang w:eastAsia="zh-CN"/>
        </w:rPr>
        <w:t>城管协管专项经费：</w:t>
      </w:r>
      <w:r>
        <w:rPr>
          <w:rFonts w:hint="eastAsia" w:ascii="仿宋" w:hAnsi="仿宋" w:eastAsia="仿宋" w:cs="Tahoma"/>
          <w:kern w:val="0"/>
          <w:sz w:val="32"/>
          <w:szCs w:val="32"/>
          <w:lang w:val="en-US" w:eastAsia="zh-CN"/>
        </w:rPr>
        <w:t>120万元</w:t>
      </w:r>
    </w:p>
    <w:p>
      <w:pPr>
        <w:widowControl/>
        <w:numPr>
          <w:ilvl w:val="0"/>
          <w:numId w:val="0"/>
        </w:numPr>
        <w:spacing w:line="560" w:lineRule="exact"/>
        <w:ind w:firstLine="640" w:firstLineChars="200"/>
        <w:jc w:val="left"/>
        <w:rPr>
          <w:rFonts w:hint="eastAsia" w:ascii="仿宋" w:hAnsi="仿宋" w:eastAsia="仿宋" w:cs="Tahoma"/>
          <w:kern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Tahoma"/>
          <w:kern w:val="0"/>
          <w:sz w:val="32"/>
          <w:szCs w:val="32"/>
          <w:lang w:eastAsia="zh-CN"/>
        </w:rPr>
        <w:t>专项整治经费：95</w:t>
      </w:r>
      <w:r>
        <w:rPr>
          <w:rFonts w:hint="eastAsia" w:ascii="仿宋" w:hAnsi="仿宋" w:eastAsia="仿宋" w:cs="Tahoma"/>
          <w:kern w:val="0"/>
          <w:sz w:val="32"/>
          <w:szCs w:val="32"/>
          <w:lang w:val="en-US" w:eastAsia="zh-CN"/>
        </w:rPr>
        <w:t>万元</w:t>
      </w:r>
    </w:p>
    <w:p>
      <w:pPr>
        <w:widowControl/>
        <w:numPr>
          <w:ilvl w:val="0"/>
          <w:numId w:val="0"/>
        </w:numPr>
        <w:spacing w:line="560" w:lineRule="exact"/>
        <w:ind w:firstLine="640" w:firstLineChars="200"/>
        <w:jc w:val="left"/>
        <w:rPr>
          <w:rFonts w:hint="eastAsia" w:ascii="仿宋" w:hAnsi="仿宋" w:eastAsia="仿宋" w:cs="Tahoma"/>
          <w:kern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Tahoma"/>
          <w:kern w:val="0"/>
          <w:sz w:val="32"/>
          <w:szCs w:val="32"/>
          <w:lang w:val="en-US" w:eastAsia="zh-CN"/>
        </w:rPr>
        <w:t xml:space="preserve">执法车辆购置费：100万元 </w:t>
      </w:r>
    </w:p>
    <w:p>
      <w:pPr>
        <w:widowControl/>
        <w:numPr>
          <w:ilvl w:val="0"/>
          <w:numId w:val="0"/>
        </w:numPr>
        <w:spacing w:line="560" w:lineRule="exact"/>
        <w:ind w:firstLine="640" w:firstLineChars="200"/>
        <w:jc w:val="left"/>
        <w:rPr>
          <w:rFonts w:hint="default" w:ascii="仿宋" w:hAnsi="仿宋" w:eastAsia="仿宋" w:cs="Tahoma"/>
          <w:kern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Tahoma"/>
          <w:kern w:val="0"/>
          <w:sz w:val="32"/>
          <w:szCs w:val="32"/>
          <w:lang w:val="en-US" w:eastAsia="zh-CN"/>
        </w:rPr>
        <w:t>2020年非税体制结算：126.98万元</w:t>
      </w:r>
    </w:p>
    <w:p>
      <w:pPr>
        <w:widowControl/>
        <w:numPr>
          <w:ilvl w:val="0"/>
          <w:numId w:val="0"/>
        </w:numPr>
        <w:spacing w:line="560" w:lineRule="exact"/>
        <w:ind w:firstLine="640" w:firstLineChars="200"/>
        <w:jc w:val="left"/>
        <w:rPr>
          <w:rFonts w:hint="eastAsia" w:ascii="仿宋" w:hAnsi="仿宋" w:eastAsia="仿宋" w:cs="Tahoma"/>
          <w:kern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Tahoma"/>
          <w:kern w:val="0"/>
          <w:sz w:val="32"/>
          <w:szCs w:val="32"/>
          <w:lang w:eastAsia="zh-CN"/>
        </w:rPr>
        <w:t>其他：32万元</w:t>
      </w:r>
    </w:p>
    <w:p>
      <w:pPr>
        <w:pStyle w:val="2"/>
        <w:numPr>
          <w:ilvl w:val="0"/>
          <w:numId w:val="2"/>
        </w:numPr>
        <w:ind w:firstLine="640"/>
        <w:rPr>
          <w:rFonts w:hint="eastAsia" w:ascii="仿宋" w:hAnsi="仿宋" w:eastAsia="仿宋" w:cs="Tahoma"/>
          <w:kern w:val="0"/>
          <w:sz w:val="32"/>
          <w:szCs w:val="32"/>
          <w:lang w:eastAsia="zh-CN"/>
        </w:rPr>
      </w:pPr>
      <w:r>
        <w:rPr>
          <w:rFonts w:hint="eastAsia" w:ascii="仿宋" w:hAnsi="仿宋" w:eastAsia="仿宋" w:cs="Tahoma"/>
          <w:kern w:val="0"/>
          <w:sz w:val="32"/>
          <w:szCs w:val="32"/>
          <w:lang w:eastAsia="zh-CN"/>
        </w:rPr>
        <w:t>项目资金（财政资金）实际使用情况分析。</w:t>
      </w:r>
    </w:p>
    <w:p>
      <w:pPr>
        <w:pStyle w:val="2"/>
        <w:numPr>
          <w:ilvl w:val="0"/>
          <w:numId w:val="0"/>
        </w:numPr>
        <w:ind w:firstLine="640" w:firstLineChars="200"/>
        <w:rPr>
          <w:rFonts w:hint="default" w:ascii="仿宋" w:hAnsi="仿宋" w:eastAsia="仿宋" w:cs="Tahoma"/>
          <w:kern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Tahoma"/>
          <w:kern w:val="0"/>
          <w:sz w:val="32"/>
          <w:szCs w:val="32"/>
          <w:lang w:val="en-US" w:eastAsia="zh-CN"/>
        </w:rPr>
        <w:t>2021年项目资金共计473.98万元，其中商品和服务支出370.9万元，资本性支出103.08万元。</w:t>
      </w:r>
    </w:p>
    <w:p>
      <w:pPr>
        <w:widowControl/>
        <w:numPr>
          <w:ilvl w:val="0"/>
          <w:numId w:val="0"/>
        </w:numPr>
        <w:spacing w:line="560" w:lineRule="exact"/>
        <w:ind w:firstLine="640" w:firstLineChars="200"/>
        <w:jc w:val="left"/>
        <w:rPr>
          <w:rFonts w:hint="eastAsia" w:ascii="仿宋" w:hAnsi="仿宋" w:eastAsia="仿宋" w:cs="Tahoma"/>
          <w:kern w:val="0"/>
          <w:sz w:val="32"/>
          <w:szCs w:val="32"/>
          <w:lang w:eastAsia="zh-CN"/>
        </w:rPr>
      </w:pPr>
      <w:r>
        <w:rPr>
          <w:rFonts w:hint="eastAsia" w:ascii="仿宋" w:hAnsi="仿宋" w:eastAsia="仿宋" w:cs="Tahoma"/>
          <w:kern w:val="0"/>
          <w:sz w:val="32"/>
          <w:szCs w:val="32"/>
          <w:lang w:val="en-US" w:eastAsia="zh-CN"/>
        </w:rPr>
        <w:t>3.</w:t>
      </w:r>
      <w:r>
        <w:rPr>
          <w:rFonts w:hint="eastAsia" w:ascii="仿宋" w:hAnsi="仿宋" w:eastAsia="仿宋" w:cs="Tahoma"/>
          <w:kern w:val="0"/>
          <w:sz w:val="32"/>
          <w:szCs w:val="32"/>
          <w:lang w:eastAsia="zh-CN"/>
        </w:rPr>
        <w:t>项目资金管理情况分析。</w:t>
      </w:r>
    </w:p>
    <w:p>
      <w:pPr>
        <w:widowControl/>
        <w:numPr>
          <w:ilvl w:val="0"/>
          <w:numId w:val="0"/>
        </w:numPr>
        <w:spacing w:line="560" w:lineRule="exact"/>
        <w:ind w:firstLine="640" w:firstLineChars="200"/>
        <w:jc w:val="left"/>
        <w:rPr>
          <w:rFonts w:hint="eastAsia" w:ascii="仿宋" w:hAnsi="仿宋" w:eastAsia="仿宋" w:cs="Tahoma"/>
          <w:kern w:val="0"/>
          <w:sz w:val="32"/>
          <w:szCs w:val="32"/>
          <w:lang w:eastAsia="zh-CN"/>
        </w:rPr>
      </w:pPr>
      <w:r>
        <w:rPr>
          <w:rFonts w:hint="eastAsia" w:ascii="仿宋" w:hAnsi="仿宋" w:eastAsia="仿宋" w:cs="Tahoma"/>
          <w:kern w:val="0"/>
          <w:sz w:val="32"/>
          <w:szCs w:val="32"/>
          <w:lang w:eastAsia="zh-CN"/>
        </w:rPr>
        <w:t>按照我局</w:t>
      </w:r>
      <w:r>
        <w:rPr>
          <w:rFonts w:hint="eastAsia" w:ascii="仿宋" w:hAnsi="仿宋" w:eastAsia="仿宋" w:cs="Tahoma"/>
          <w:kern w:val="0"/>
          <w:sz w:val="32"/>
          <w:szCs w:val="32"/>
          <w:lang w:val="en-US" w:eastAsia="zh-CN"/>
        </w:rPr>
        <w:t>《财务管理制度》《项目资金管理办法》规定项目</w:t>
      </w:r>
      <w:r>
        <w:rPr>
          <w:rFonts w:hint="eastAsia" w:ascii="仿宋" w:hAnsi="仿宋" w:eastAsia="仿宋" w:cs="Tahoma"/>
          <w:kern w:val="0"/>
          <w:sz w:val="32"/>
          <w:szCs w:val="32"/>
          <w:lang w:eastAsia="zh-CN"/>
        </w:rPr>
        <w:t>资金支出应紧密结合单位当年主要职责任务、工作目标及事业发展设想，并充分考虑单位财力，本着实事求是，从严从紧、区别轻重缓急，急事优先的原则按序安排支出事项。</w:t>
      </w:r>
    </w:p>
    <w:p>
      <w:pPr>
        <w:widowControl/>
        <w:numPr>
          <w:ilvl w:val="0"/>
          <w:numId w:val="0"/>
        </w:numPr>
        <w:spacing w:line="560" w:lineRule="exact"/>
        <w:ind w:firstLine="640" w:firstLineChars="200"/>
        <w:jc w:val="left"/>
        <w:rPr>
          <w:rFonts w:hint="eastAsia" w:ascii="仿宋" w:hAnsi="仿宋" w:eastAsia="仿宋" w:cs="Tahoma"/>
          <w:kern w:val="0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kern w:val="0"/>
          <w:sz w:val="32"/>
          <w:szCs w:val="32"/>
          <w:lang w:eastAsia="zh-CN"/>
        </w:rPr>
        <w:t>三、项目组织实施情况分析</w:t>
      </w:r>
    </w:p>
    <w:p>
      <w:pPr>
        <w:widowControl/>
        <w:spacing w:line="594" w:lineRule="exact"/>
        <w:ind w:firstLine="640" w:firstLineChars="200"/>
        <w:rPr>
          <w:kern w:val="0"/>
          <w:szCs w:val="32"/>
        </w:rPr>
      </w:pPr>
      <w:r>
        <w:rPr>
          <w:kern w:val="0"/>
          <w:szCs w:val="32"/>
        </w:rPr>
        <w:t>（一）项目组织情况分析</w:t>
      </w:r>
    </w:p>
    <w:p>
      <w:pPr>
        <w:widowControl/>
        <w:numPr>
          <w:ilvl w:val="0"/>
          <w:numId w:val="0"/>
        </w:numPr>
        <w:spacing w:line="560" w:lineRule="exact"/>
        <w:ind w:firstLine="640" w:firstLineChars="200"/>
        <w:jc w:val="left"/>
        <w:rPr>
          <w:rFonts w:hint="default" w:eastAsia="仿宋_GB2312"/>
          <w:kern w:val="0"/>
          <w:szCs w:val="32"/>
          <w:lang w:val="en-US" w:eastAsia="zh-CN"/>
        </w:rPr>
      </w:pPr>
      <w:r>
        <w:rPr>
          <w:rFonts w:hint="eastAsia"/>
          <w:color w:val="000000" w:themeColor="text1"/>
          <w:kern w:val="0"/>
          <w:szCs w:val="32"/>
          <w:lang w:eastAsia="zh-CN"/>
          <w14:textFill>
            <w14:solidFill>
              <w14:schemeClr w14:val="tx1"/>
            </w14:solidFill>
          </w14:textFill>
        </w:rPr>
        <w:t>我局项目为大多常年支出项目，其中非税体制结算根据上年度非税完成情况下拨预算指标，主要用于弥补单位经费不足。城管协管经费、专项整治经费为</w:t>
      </w:r>
      <w:r>
        <w:rPr>
          <w:rFonts w:hint="eastAsia" w:ascii="仿宋" w:hAnsi="仿宋" w:eastAsia="仿宋" w:cs="Tahoma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每年固定支出。</w:t>
      </w:r>
    </w:p>
    <w:p>
      <w:pPr>
        <w:widowControl/>
        <w:numPr>
          <w:ilvl w:val="0"/>
          <w:numId w:val="0"/>
        </w:numPr>
        <w:spacing w:line="594" w:lineRule="exact"/>
        <w:ind w:left="646" w:leftChars="0"/>
        <w:rPr>
          <w:kern w:val="0"/>
          <w:szCs w:val="32"/>
        </w:rPr>
      </w:pPr>
      <w:r>
        <w:rPr>
          <w:rFonts w:hint="eastAsia"/>
          <w:kern w:val="0"/>
          <w:szCs w:val="32"/>
          <w:lang w:eastAsia="zh-CN"/>
        </w:rPr>
        <w:t>（二）</w:t>
      </w:r>
      <w:r>
        <w:rPr>
          <w:kern w:val="0"/>
          <w:szCs w:val="32"/>
        </w:rPr>
        <w:t>项目管理情况分析</w:t>
      </w:r>
    </w:p>
    <w:p>
      <w:pPr>
        <w:pStyle w:val="5"/>
        <w:widowControl w:val="0"/>
        <w:shd w:val="clear" w:color="auto" w:fill="FFFFFF"/>
        <w:spacing w:line="560" w:lineRule="exact"/>
        <w:ind w:firstLine="640" w:firstLineChars="200"/>
        <w:jc w:val="both"/>
        <w:rPr>
          <w:rFonts w:hint="eastAsia" w:ascii="仿宋" w:hAnsi="仿宋" w:eastAsia="仿宋"/>
          <w:color w:val="333333"/>
          <w:sz w:val="32"/>
          <w:szCs w:val="32"/>
        </w:rPr>
      </w:pPr>
      <w:r>
        <w:rPr>
          <w:rFonts w:hint="eastAsia" w:ascii="仿宋" w:hAnsi="仿宋" w:eastAsia="仿宋" w:cs="仿宋"/>
          <w:kern w:val="0"/>
          <w:sz w:val="32"/>
          <w:szCs w:val="32"/>
          <w:lang w:eastAsia="zh-CN"/>
        </w:rPr>
        <w:t>为加强项目（专项）资金管理，我局制定了</w:t>
      </w:r>
      <w:r>
        <w:rPr>
          <w:rFonts w:hint="eastAsia" w:ascii="仿宋" w:hAnsi="仿宋" w:eastAsia="仿宋" w:cs="仿宋"/>
          <w:kern w:val="0"/>
          <w:sz w:val="32"/>
          <w:szCs w:val="32"/>
          <w:lang w:val="en-US" w:eastAsia="zh-CN"/>
        </w:rPr>
        <w:t>《专项</w:t>
      </w:r>
      <w:r>
        <w:rPr>
          <w:rFonts w:hint="eastAsia" w:ascii="仿宋" w:hAnsi="仿宋" w:eastAsia="仿宋" w:cs="Tahoma"/>
          <w:kern w:val="0"/>
          <w:sz w:val="32"/>
          <w:szCs w:val="32"/>
          <w:lang w:val="en-US" w:eastAsia="zh-CN"/>
        </w:rPr>
        <w:t>资金管理办法》，对</w:t>
      </w:r>
      <w:r>
        <w:rPr>
          <w:rFonts w:hint="eastAsia" w:ascii="仿宋" w:hAnsi="仿宋" w:eastAsia="仿宋"/>
          <w:color w:val="000000"/>
          <w:sz w:val="32"/>
          <w:szCs w:val="32"/>
        </w:rPr>
        <w:t>县财政局下达的单位部门预算、城维费预算中的具有指定项目和用途的资金</w:t>
      </w:r>
      <w:r>
        <w:rPr>
          <w:rFonts w:hint="eastAsia" w:ascii="仿宋" w:hAnsi="仿宋" w:eastAsia="仿宋"/>
          <w:color w:val="000000"/>
          <w:sz w:val="32"/>
          <w:szCs w:val="32"/>
          <w:lang w:eastAsia="zh-CN"/>
        </w:rPr>
        <w:t>加强管理</w:t>
      </w:r>
      <w:r>
        <w:rPr>
          <w:rFonts w:hint="eastAsia" w:ascii="仿宋" w:hAnsi="仿宋" w:eastAsia="仿宋"/>
          <w:color w:val="000000"/>
          <w:sz w:val="32"/>
          <w:szCs w:val="32"/>
        </w:rPr>
        <w:t>，项目从立项、执行、完工到运营的全过程接受县城市管理行政执法局及财政、审计等部门的管理和监督。</w:t>
      </w:r>
    </w:p>
    <w:p>
      <w:pPr>
        <w:widowControl/>
        <w:spacing w:line="594" w:lineRule="exact"/>
        <w:ind w:firstLine="640" w:firstLineChars="200"/>
        <w:rPr>
          <w:rFonts w:eastAsia="黑体"/>
          <w:bCs/>
          <w:kern w:val="0"/>
          <w:szCs w:val="32"/>
        </w:rPr>
      </w:pPr>
      <w:r>
        <w:rPr>
          <w:rFonts w:eastAsia="黑体"/>
          <w:bCs/>
          <w:kern w:val="0"/>
          <w:szCs w:val="32"/>
        </w:rPr>
        <w:t>四、部门整体支出绩效情况分析</w:t>
      </w:r>
    </w:p>
    <w:p>
      <w:pPr>
        <w:widowControl/>
        <w:spacing w:line="594" w:lineRule="exact"/>
        <w:ind w:firstLine="643" w:firstLineChars="200"/>
        <w:rPr>
          <w:rFonts w:hint="eastAsia"/>
          <w:kern w:val="0"/>
          <w:szCs w:val="32"/>
          <w:lang w:eastAsia="zh-CN"/>
        </w:rPr>
      </w:pPr>
      <w:r>
        <w:rPr>
          <w:rFonts w:hint="eastAsia"/>
          <w:b/>
          <w:bCs/>
          <w:kern w:val="0"/>
          <w:szCs w:val="32"/>
          <w:lang w:eastAsia="zh-CN"/>
        </w:rPr>
        <w:t>（一）经济性分析</w:t>
      </w:r>
    </w:p>
    <w:p>
      <w:pPr>
        <w:widowControl/>
        <w:numPr>
          <w:ilvl w:val="0"/>
          <w:numId w:val="0"/>
        </w:numPr>
        <w:spacing w:line="560" w:lineRule="exact"/>
        <w:ind w:firstLine="640" w:firstLineChars="200"/>
        <w:jc w:val="left"/>
        <w:rPr>
          <w:rFonts w:hint="default" w:ascii="仿宋" w:hAnsi="仿宋" w:eastAsia="仿宋" w:cs="Tahoma"/>
          <w:kern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Tahoma"/>
          <w:kern w:val="0"/>
          <w:sz w:val="32"/>
          <w:szCs w:val="32"/>
          <w:lang w:val="en-US" w:eastAsia="zh-CN"/>
        </w:rPr>
        <w:t>2021年</w:t>
      </w:r>
      <w:r>
        <w:rPr>
          <w:rFonts w:hint="eastAsia" w:ascii="仿宋" w:hAnsi="仿宋" w:eastAsia="仿宋" w:cs="Tahoma"/>
          <w:kern w:val="0"/>
          <w:sz w:val="32"/>
          <w:szCs w:val="32"/>
        </w:rPr>
        <w:t>工资福利支出</w:t>
      </w:r>
      <w:r>
        <w:rPr>
          <w:rFonts w:hint="eastAsia" w:ascii="仿宋" w:hAnsi="仿宋" w:eastAsia="仿宋" w:cs="Tahoma"/>
          <w:kern w:val="0"/>
          <w:sz w:val="32"/>
          <w:szCs w:val="32"/>
          <w:lang w:val="en-US" w:eastAsia="zh-CN"/>
        </w:rPr>
        <w:t>1276.7</w:t>
      </w:r>
      <w:r>
        <w:rPr>
          <w:rFonts w:hint="eastAsia" w:ascii="仿宋" w:hAnsi="仿宋" w:eastAsia="仿宋" w:cs="Tahoma"/>
          <w:kern w:val="0"/>
          <w:sz w:val="32"/>
          <w:szCs w:val="32"/>
        </w:rPr>
        <w:t>万元、</w:t>
      </w:r>
      <w:r>
        <w:rPr>
          <w:rFonts w:hint="eastAsia" w:ascii="仿宋" w:hAnsi="仿宋" w:eastAsia="仿宋" w:cs="Tahoma"/>
          <w:kern w:val="0"/>
          <w:sz w:val="32"/>
          <w:szCs w:val="32"/>
          <w:lang w:eastAsia="zh-CN"/>
        </w:rPr>
        <w:t>商品服务支出</w:t>
      </w:r>
      <w:r>
        <w:rPr>
          <w:rFonts w:hint="eastAsia" w:ascii="仿宋" w:hAnsi="仿宋" w:eastAsia="仿宋" w:cs="Tahoma"/>
          <w:kern w:val="0"/>
          <w:sz w:val="32"/>
          <w:szCs w:val="32"/>
          <w:lang w:val="en-US" w:eastAsia="zh-CN"/>
        </w:rPr>
        <w:t>78.39</w:t>
      </w:r>
      <w:r>
        <w:rPr>
          <w:rFonts w:hint="eastAsia" w:ascii="仿宋" w:hAnsi="仿宋" w:eastAsia="仿宋" w:cs="Tahoma"/>
          <w:kern w:val="0"/>
          <w:sz w:val="32"/>
          <w:szCs w:val="32"/>
        </w:rPr>
        <w:t>万元、对个人和家庭的补助支出</w:t>
      </w:r>
      <w:r>
        <w:rPr>
          <w:rFonts w:hint="eastAsia" w:ascii="仿宋" w:hAnsi="仿宋" w:eastAsia="仿宋" w:cs="Tahoma"/>
          <w:kern w:val="0"/>
          <w:sz w:val="32"/>
          <w:szCs w:val="32"/>
          <w:lang w:val="en-US" w:eastAsia="zh-CN"/>
        </w:rPr>
        <w:t>15.77</w:t>
      </w:r>
      <w:r>
        <w:rPr>
          <w:rFonts w:hint="eastAsia" w:ascii="仿宋" w:hAnsi="仿宋" w:eastAsia="仿宋" w:cs="Tahoma"/>
          <w:kern w:val="0"/>
          <w:sz w:val="32"/>
          <w:szCs w:val="32"/>
        </w:rPr>
        <w:t>万元</w:t>
      </w:r>
      <w:r>
        <w:rPr>
          <w:rFonts w:hint="eastAsia" w:ascii="仿宋" w:hAnsi="仿宋" w:eastAsia="仿宋" w:cs="Tahoma"/>
          <w:kern w:val="0"/>
          <w:sz w:val="32"/>
          <w:szCs w:val="32"/>
          <w:lang w:eastAsia="zh-CN"/>
        </w:rPr>
        <w:t>。综合执法大队人员在编人员调出</w:t>
      </w:r>
      <w:r>
        <w:rPr>
          <w:rFonts w:hint="eastAsia" w:ascii="仿宋" w:hAnsi="仿宋" w:eastAsia="仿宋" w:cs="Tahoma"/>
          <w:kern w:val="0"/>
          <w:sz w:val="32"/>
          <w:szCs w:val="32"/>
          <w:lang w:val="en-US" w:eastAsia="zh-CN"/>
        </w:rPr>
        <w:t>2</w:t>
      </w:r>
      <w:r>
        <w:rPr>
          <w:rFonts w:hint="eastAsia" w:ascii="仿宋" w:hAnsi="仿宋" w:eastAsia="仿宋" w:cs="Tahoma"/>
          <w:kern w:val="0"/>
          <w:sz w:val="32"/>
          <w:szCs w:val="32"/>
          <w:lang w:eastAsia="zh-CN"/>
        </w:rPr>
        <w:t>人，退休</w:t>
      </w:r>
      <w:r>
        <w:rPr>
          <w:rFonts w:hint="eastAsia" w:ascii="仿宋" w:hAnsi="仿宋" w:eastAsia="仿宋" w:cs="Tahoma"/>
          <w:kern w:val="0"/>
          <w:sz w:val="32"/>
          <w:szCs w:val="32"/>
          <w:lang w:val="en-US" w:eastAsia="zh-CN"/>
        </w:rPr>
        <w:t>2人，去世1人，人员数并</w:t>
      </w:r>
      <w:r>
        <w:rPr>
          <w:rFonts w:hint="eastAsia" w:ascii="仿宋" w:hAnsi="仿宋" w:eastAsia="仿宋" w:cs="Tahoma"/>
          <w:kern w:val="0"/>
          <w:sz w:val="32"/>
          <w:szCs w:val="32"/>
          <w:lang w:eastAsia="zh-CN"/>
        </w:rPr>
        <w:t>没有大的变动，支出与</w:t>
      </w:r>
      <w:r>
        <w:rPr>
          <w:rFonts w:hint="eastAsia" w:ascii="仿宋" w:hAnsi="仿宋" w:eastAsia="仿宋" w:cs="Tahoma"/>
          <w:kern w:val="0"/>
          <w:sz w:val="32"/>
          <w:szCs w:val="32"/>
          <w:lang w:val="en-US" w:eastAsia="zh-CN"/>
        </w:rPr>
        <w:t>2020年基本持平，2021年</w:t>
      </w:r>
      <w:r>
        <w:rPr>
          <w:rFonts w:hint="eastAsia" w:ascii="仿宋" w:hAnsi="仿宋" w:eastAsia="仿宋" w:cs="Tahoma"/>
          <w:kern w:val="0"/>
          <w:sz w:val="32"/>
          <w:szCs w:val="32"/>
          <w:lang w:eastAsia="zh-CN"/>
        </w:rPr>
        <w:t>三公经费决算数为</w:t>
      </w:r>
      <w:r>
        <w:rPr>
          <w:rFonts w:hint="eastAsia" w:ascii="仿宋" w:hAnsi="仿宋" w:eastAsia="仿宋" w:cs="Tahoma"/>
          <w:kern w:val="0"/>
          <w:sz w:val="32"/>
          <w:szCs w:val="32"/>
          <w:lang w:val="en-US" w:eastAsia="zh-CN"/>
        </w:rPr>
        <w:t>1.04万元，全部为公务接待费用，</w:t>
      </w:r>
      <w:r>
        <w:rPr>
          <w:rFonts w:hint="eastAsia" w:ascii="仿宋" w:hAnsi="仿宋" w:eastAsia="仿宋" w:cs="Tahoma"/>
          <w:kern w:val="0"/>
          <w:sz w:val="32"/>
          <w:szCs w:val="32"/>
          <w:lang w:eastAsia="zh-CN"/>
        </w:rPr>
        <w:t>为年初预算的</w:t>
      </w:r>
      <w:r>
        <w:rPr>
          <w:rFonts w:hint="eastAsia" w:ascii="仿宋" w:hAnsi="仿宋" w:eastAsia="仿宋" w:cs="Tahoma"/>
          <w:kern w:val="0"/>
          <w:sz w:val="32"/>
          <w:szCs w:val="32"/>
          <w:lang w:val="en-US" w:eastAsia="zh-CN"/>
        </w:rPr>
        <w:t>10.78%，基本与上年度持平。公务接待费用低主要由于我局严格落实中央八项规定，</w:t>
      </w:r>
      <w:r>
        <w:rPr>
          <w:rFonts w:hint="eastAsia" w:ascii="仿宋" w:hAnsi="仿宋" w:eastAsia="仿宋" w:cs="Tahoma"/>
          <w:kern w:val="0"/>
          <w:sz w:val="32"/>
          <w:szCs w:val="32"/>
          <w:lang w:eastAsia="zh-CN"/>
        </w:rPr>
        <w:t>公务接待支出</w:t>
      </w:r>
      <w:r>
        <w:rPr>
          <w:rFonts w:hint="eastAsia" w:ascii="仿宋" w:hAnsi="仿宋" w:eastAsia="仿宋" w:cs="Tahoma"/>
          <w:kern w:val="0"/>
          <w:sz w:val="32"/>
          <w:szCs w:val="32"/>
          <w:lang w:val="en-US" w:eastAsia="zh-CN"/>
        </w:rPr>
        <w:t>按《桃江县党政机关国内公务接待管理实施细则（桃办公发[2020]3号）文件相关规定严格执行。</w:t>
      </w:r>
    </w:p>
    <w:p>
      <w:pPr>
        <w:widowControl/>
        <w:numPr>
          <w:ilvl w:val="0"/>
          <w:numId w:val="0"/>
        </w:numPr>
        <w:spacing w:line="594" w:lineRule="exact"/>
        <w:ind w:firstLine="643" w:firstLineChars="200"/>
        <w:rPr>
          <w:rFonts w:hint="eastAsia" w:ascii="仿宋" w:hAnsi="仿宋" w:eastAsia="仿宋" w:cs="Tahoma"/>
          <w:kern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Tahoma"/>
          <w:b/>
          <w:bCs/>
          <w:kern w:val="0"/>
          <w:sz w:val="32"/>
          <w:szCs w:val="32"/>
          <w:lang w:val="en-US" w:eastAsia="zh-CN"/>
        </w:rPr>
        <w:t>（二）效率性分析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594" w:lineRule="exact"/>
        <w:ind w:firstLine="640" w:firstLineChars="200"/>
        <w:textAlignment w:val="auto"/>
        <w:rPr>
          <w:rFonts w:hint="eastAsia" w:ascii="仿宋" w:hAnsi="仿宋" w:eastAsia="仿宋" w:cs="仿宋"/>
          <w:b w:val="0"/>
          <w:bCs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b w:val="0"/>
          <w:bCs/>
          <w:color w:val="000000"/>
          <w:sz w:val="32"/>
          <w:szCs w:val="32"/>
        </w:rPr>
        <w:t>蓝天保卫战方面</w:t>
      </w:r>
      <w:r>
        <w:rPr>
          <w:rFonts w:hint="eastAsia" w:ascii="仿宋" w:hAnsi="仿宋" w:eastAsia="仿宋" w:cs="仿宋"/>
          <w:b w:val="0"/>
          <w:bCs/>
          <w:color w:val="000000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lang w:val="en-US" w:eastAsia="zh-CN" w:bidi="ar-SA"/>
        </w:rPr>
        <w:t>组织人员力量对城区餐饮门店油烟净化器安装、使用情况进行了登记造册和监管。劝导、规范相关门店152家，暂扣越门经营、占道经营烧烤器具35台，桌椅板凳57套，冰箱10个，伸缩帐篷28个。对建成区在建工地巡查发现的问题，下发整改通知书152份，立案查处13起。查处违规运输渣土车辆170余辆，立案14起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594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lang w:val="en-US" w:eastAsia="zh-CN" w:bidi="ar-SA"/>
        </w:rPr>
      </w:pPr>
      <w:r>
        <w:rPr>
          <w:rFonts w:hint="eastAsia" w:ascii="仿宋" w:hAnsi="仿宋" w:eastAsia="仿宋" w:cs="仿宋"/>
          <w:b w:val="0"/>
          <w:bCs/>
          <w:color w:val="000000"/>
          <w:sz w:val="32"/>
          <w:szCs w:val="32"/>
        </w:rPr>
        <w:t>市容秩序方面</w:t>
      </w:r>
      <w:r>
        <w:rPr>
          <w:rFonts w:hint="eastAsia" w:ascii="仿宋" w:hAnsi="仿宋" w:eastAsia="仿宋" w:cs="仿宋"/>
          <w:b w:val="0"/>
          <w:bCs/>
          <w:color w:val="000000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lang w:val="en-US" w:eastAsia="zh-CN" w:bidi="ar-SA"/>
        </w:rPr>
        <w:t>持续开展专项整治和校园周边综合治理，今年来，累计劝导、查处流动商贩占道经营行为3560起,规范越门经营门店2280余家，拆除大型户外广告牌16处、违规设置的帐篷150余顶、横幅1200余条，登记保全其它各类工具600余件，完成简易程序391起，立案7起。查处散发小广告、张贴牛皮癣、乱涂乱画等违规行为70余起，收缴违规发放小广告33860余份。查处、规范电动车违规停放行为178起。严查“车窗抛物”行为，共受理处置132起。查处县城乱堆乱放、焚烧生活垃圾、违规饲养牲畜产生异味等破坏环境行为210余起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594" w:lineRule="exact"/>
        <w:ind w:firstLine="640" w:firstLineChars="200"/>
        <w:textAlignment w:val="auto"/>
        <w:rPr>
          <w:rFonts w:hint="default" w:ascii="仿宋_GB2312" w:hAnsi="仿宋_GB2312" w:eastAsia="仿宋_GB2312" w:cs="仿宋_GB2312"/>
          <w:color w:val="00000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cs="仿宋_GB2312"/>
          <w:color w:val="000000"/>
          <w:kern w:val="2"/>
          <w:sz w:val="32"/>
          <w:szCs w:val="32"/>
          <w:lang w:val="en-US" w:eastAsia="zh-CN" w:bidi="ar-SA"/>
        </w:rPr>
        <w:t>控违拆违方面：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lang w:val="en-US" w:eastAsia="zh-CN" w:bidi="ar-SA"/>
        </w:rPr>
        <w:t>集中人员力量开展“圈地占用”和县城规划区违法建设专项整治行动。出动执法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lang w:val="en-US" w:eastAsia="zh-CN" w:bidi="ar-SA"/>
        </w:rPr>
        <w:t>人员640余次，整治空中菜园、违规搭建杂物间等空中违建144处，整治面积6567.55平方米。组织大型拆违行动28次，中小型拆违行动76次，拆拆除各类违法建筑250处，拆违面积计4.51万余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lang w:val="en-US" w:eastAsia="zh-CN" w:bidi="ar-SA"/>
        </w:rPr>
        <w:t>平方米。</w:t>
      </w:r>
    </w:p>
    <w:p>
      <w:pPr>
        <w:widowControl/>
        <w:spacing w:line="594" w:lineRule="exact"/>
        <w:ind w:firstLine="640" w:firstLineChars="200"/>
        <w:rPr>
          <w:kern w:val="0"/>
          <w:szCs w:val="32"/>
        </w:rPr>
      </w:pPr>
      <w:r>
        <w:rPr>
          <w:rFonts w:eastAsia="黑体"/>
          <w:bCs/>
          <w:kern w:val="0"/>
          <w:szCs w:val="32"/>
        </w:rPr>
        <w:t>五、绩效评价工作开展情况</w:t>
      </w:r>
    </w:p>
    <w:p>
      <w:pPr>
        <w:ind w:firstLine="645"/>
        <w:rPr>
          <w:rFonts w:hint="eastAsia" w:ascii="仿宋" w:hAnsi="仿宋" w:eastAsia="仿宋"/>
          <w:sz w:val="32"/>
          <w:szCs w:val="32"/>
          <w:lang w:eastAsia="zh-CN"/>
        </w:rPr>
      </w:pPr>
      <w:r>
        <w:rPr>
          <w:rFonts w:hint="eastAsia" w:ascii="仿宋" w:hAnsi="仿宋" w:eastAsia="仿宋"/>
          <w:sz w:val="32"/>
          <w:szCs w:val="32"/>
          <w:lang w:eastAsia="zh-CN"/>
        </w:rPr>
        <w:t>（一）绩效评价的目的</w:t>
      </w:r>
    </w:p>
    <w:p>
      <w:pPr>
        <w:ind w:firstLine="645"/>
        <w:rPr>
          <w:rFonts w:hint="eastAsia"/>
          <w:szCs w:val="32"/>
          <w:lang w:eastAsia="zh-CN"/>
        </w:rPr>
      </w:pPr>
      <w:r>
        <w:rPr>
          <w:szCs w:val="32"/>
        </w:rPr>
        <w:t>为认真贯彻落实十九大报告精神，强化财政支出绩效理念和部门责任意识，规范财政资金管理，提高财政资金使用效益，依据中央、省、市、县相关文件精神和工作要求</w:t>
      </w:r>
      <w:r>
        <w:rPr>
          <w:rFonts w:hint="eastAsia"/>
          <w:szCs w:val="32"/>
          <w:lang w:eastAsia="zh-CN"/>
        </w:rPr>
        <w:t>对年度财政资金使用情况及产生的效益进行评价。</w:t>
      </w:r>
    </w:p>
    <w:p>
      <w:pPr>
        <w:numPr>
          <w:ilvl w:val="0"/>
          <w:numId w:val="3"/>
        </w:numPr>
        <w:ind w:firstLine="645"/>
        <w:rPr>
          <w:rFonts w:hint="eastAsia"/>
          <w:szCs w:val="32"/>
          <w:lang w:eastAsia="zh-CN"/>
        </w:rPr>
      </w:pPr>
      <w:r>
        <w:rPr>
          <w:rFonts w:hint="eastAsia"/>
          <w:szCs w:val="32"/>
          <w:lang w:eastAsia="zh-CN"/>
        </w:rPr>
        <w:t>绩效评价的过程</w:t>
      </w:r>
    </w:p>
    <w:p>
      <w:pPr>
        <w:widowControl/>
        <w:numPr>
          <w:ilvl w:val="0"/>
          <w:numId w:val="0"/>
        </w:numPr>
        <w:spacing w:line="560" w:lineRule="exact"/>
        <w:ind w:firstLine="640" w:firstLineChars="200"/>
        <w:jc w:val="left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1、成立绩效评价领导小组。组长：</w:t>
      </w:r>
      <w:r>
        <w:rPr>
          <w:rFonts w:hint="eastAsia" w:ascii="仿宋" w:hAnsi="仿宋" w:eastAsia="仿宋"/>
          <w:sz w:val="32"/>
          <w:szCs w:val="32"/>
          <w:lang w:eastAsia="zh-CN"/>
        </w:rPr>
        <w:t>李庆华</w:t>
      </w:r>
      <w:r>
        <w:rPr>
          <w:rFonts w:hint="eastAsia" w:ascii="仿宋" w:hAnsi="仿宋" w:eastAsia="仿宋"/>
          <w:sz w:val="32"/>
          <w:szCs w:val="32"/>
        </w:rPr>
        <w:t xml:space="preserve"> 副组长：</w:t>
      </w:r>
      <w:r>
        <w:rPr>
          <w:rFonts w:hint="eastAsia" w:ascii="仿宋" w:hAnsi="仿宋" w:eastAsia="仿宋"/>
          <w:sz w:val="32"/>
          <w:szCs w:val="32"/>
          <w:lang w:eastAsia="zh-CN"/>
        </w:rPr>
        <w:t>李宇红、胡合平、</w:t>
      </w:r>
      <w:r>
        <w:rPr>
          <w:rFonts w:hint="eastAsia" w:ascii="仿宋" w:hAnsi="仿宋" w:eastAsia="仿宋"/>
          <w:sz w:val="32"/>
          <w:szCs w:val="32"/>
        </w:rPr>
        <w:t>郭永平</w:t>
      </w:r>
      <w:r>
        <w:rPr>
          <w:rFonts w:hint="eastAsia" w:ascii="仿宋" w:hAnsi="仿宋" w:eastAsia="仿宋"/>
          <w:sz w:val="32"/>
          <w:szCs w:val="32"/>
          <w:lang w:eastAsia="zh-CN"/>
        </w:rPr>
        <w:t>；</w:t>
      </w:r>
      <w:r>
        <w:rPr>
          <w:rFonts w:hint="eastAsia" w:ascii="仿宋" w:hAnsi="仿宋" w:eastAsia="仿宋"/>
          <w:sz w:val="32"/>
          <w:szCs w:val="32"/>
        </w:rPr>
        <w:t xml:space="preserve"> 成员：</w:t>
      </w:r>
      <w:r>
        <w:rPr>
          <w:rFonts w:hint="eastAsia" w:ascii="仿宋" w:hAnsi="仿宋" w:eastAsia="仿宋"/>
          <w:sz w:val="32"/>
          <w:szCs w:val="32"/>
          <w:lang w:eastAsia="zh-CN"/>
        </w:rPr>
        <w:t>杨君、</w:t>
      </w:r>
      <w:r>
        <w:rPr>
          <w:rFonts w:hint="eastAsia" w:ascii="仿宋" w:hAnsi="仿宋" w:eastAsia="仿宋"/>
          <w:sz w:val="32"/>
          <w:szCs w:val="32"/>
        </w:rPr>
        <w:t>吴琛英、</w:t>
      </w:r>
      <w:r>
        <w:rPr>
          <w:rFonts w:hint="eastAsia" w:ascii="仿宋" w:hAnsi="仿宋" w:eastAsia="仿宋"/>
          <w:sz w:val="32"/>
          <w:szCs w:val="32"/>
          <w:lang w:eastAsia="zh-CN"/>
        </w:rPr>
        <w:t>肖潇、代琼立、</w:t>
      </w:r>
      <w:r>
        <w:rPr>
          <w:rFonts w:hint="eastAsia" w:ascii="仿宋" w:hAnsi="仿宋" w:eastAsia="仿宋"/>
          <w:sz w:val="32"/>
          <w:szCs w:val="32"/>
        </w:rPr>
        <w:t>谭赛强、</w:t>
      </w:r>
      <w:r>
        <w:rPr>
          <w:rFonts w:hint="eastAsia" w:ascii="仿宋" w:hAnsi="仿宋" w:eastAsia="仿宋"/>
          <w:sz w:val="32"/>
          <w:szCs w:val="32"/>
          <w:lang w:eastAsia="zh-CN"/>
        </w:rPr>
        <w:t>贺庆</w:t>
      </w:r>
      <w:r>
        <w:rPr>
          <w:rFonts w:hint="eastAsia" w:ascii="仿宋" w:hAnsi="仿宋" w:eastAsia="仿宋"/>
          <w:sz w:val="32"/>
          <w:szCs w:val="32"/>
        </w:rPr>
        <w:t>、苏照华，各二级机构办公室人员。</w:t>
      </w:r>
      <w:r>
        <w:rPr>
          <w:rFonts w:hint="eastAsia" w:ascii="仿宋" w:hAnsi="仿宋" w:eastAsia="仿宋" w:cs="Tahoma"/>
          <w:kern w:val="0"/>
          <w:sz w:val="32"/>
          <w:szCs w:val="32"/>
          <w:lang w:eastAsia="zh-CN"/>
        </w:rPr>
        <w:t>本职工作每月考核；七项基础工作、县委县政府的重点工作和其他工作按相应考核细则进行考核，由平常抽查考核和局绩效考核领导小组年终考核相结合。</w:t>
      </w:r>
    </w:p>
    <w:p>
      <w:pPr>
        <w:ind w:firstLine="645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2、资料收集整理。自评工作资料整理由局财务室牵头，各业务股室、二级机构、直属大队办全面配合，收集相关资料，按绩效评价指标及评分表相关内容一一对照整理成册。</w:t>
      </w:r>
    </w:p>
    <w:p>
      <w:pPr>
        <w:ind w:firstLine="645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3、自查自评。按照《预算绩效管理政策与业务操作手册》的文件要求，对照20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21</w:t>
      </w:r>
      <w:r>
        <w:rPr>
          <w:rFonts w:hint="eastAsia" w:ascii="仿宋" w:hAnsi="仿宋" w:eastAsia="仿宋"/>
          <w:sz w:val="32"/>
          <w:szCs w:val="32"/>
        </w:rPr>
        <w:t>年度部门整体支出绩效评价指标及评分表的内容如实填报相关资料，作出公正、客观、真实的自评。自评分9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5</w:t>
      </w:r>
      <w:r>
        <w:rPr>
          <w:rFonts w:hint="eastAsia" w:ascii="仿宋" w:hAnsi="仿宋" w:eastAsia="仿宋"/>
          <w:sz w:val="32"/>
          <w:szCs w:val="32"/>
        </w:rPr>
        <w:t>分。</w:t>
      </w:r>
    </w:p>
    <w:p>
      <w:pPr>
        <w:numPr>
          <w:ilvl w:val="0"/>
          <w:numId w:val="0"/>
        </w:numPr>
        <w:spacing w:line="620" w:lineRule="exact"/>
        <w:ind w:firstLine="640" w:firstLineChars="200"/>
        <w:jc w:val="both"/>
        <w:outlineLvl w:val="0"/>
        <w:rPr>
          <w:rFonts w:hint="eastAsia" w:ascii="仿宋" w:eastAsia="仿宋" w:cs="仿宋"/>
          <w:b/>
          <w:bCs/>
          <w:color w:val="000000"/>
          <w:spacing w:val="-6"/>
          <w:sz w:val="32"/>
          <w:szCs w:val="32"/>
          <w:lang w:val="en-US" w:eastAsia="zh-CN" w:bidi="ar-SA"/>
        </w:rPr>
      </w:pPr>
      <w:r>
        <w:rPr>
          <w:rFonts w:hint="eastAsia" w:ascii="仿宋" w:hAnsi="仿宋" w:eastAsia="仿宋"/>
          <w:sz w:val="32"/>
          <w:szCs w:val="32"/>
        </w:rPr>
        <w:t>4、上报审核。局财务室工作人员按时上报相关自评资料，对上报资料跟进，及时反馈县财政局提出的审查意见，根据审查结果认真分析工作中存在的不足，进行整改，并对来年财政部门预算编制计划提出建议和意见。</w:t>
      </w:r>
    </w:p>
    <w:p>
      <w:pPr>
        <w:ind w:firstLine="645"/>
        <w:rPr>
          <w:rFonts w:hint="eastAsia"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 xml:space="preserve"> 六、存在的主要问题</w:t>
      </w:r>
    </w:p>
    <w:p>
      <w:pPr>
        <w:spacing w:line="600" w:lineRule="exact"/>
        <w:ind w:firstLine="640" w:firstLineChars="200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我局在经费保障方面一直得到了县政府及县财政的大力支持与关怀，但随着工作的深入开展，各项支出的增加，经费短缺的矛盾越来越突出，严重影响到我局工作的正常开展。</w:t>
      </w:r>
      <w:bookmarkStart w:id="0" w:name="_GoBack"/>
      <w:bookmarkEnd w:id="0"/>
      <w:r>
        <w:rPr>
          <w:rFonts w:hint="eastAsia" w:ascii="仿宋_GB2312" w:eastAsia="仿宋_GB2312"/>
          <w:sz w:val="32"/>
          <w:szCs w:val="32"/>
        </w:rPr>
        <w:t>资金</w:t>
      </w:r>
      <w:r>
        <w:rPr>
          <w:rFonts w:hint="eastAsia" w:ascii="仿宋_GB2312" w:eastAsia="仿宋_GB2312"/>
          <w:sz w:val="32"/>
          <w:szCs w:val="32"/>
          <w:lang w:eastAsia="zh-CN"/>
        </w:rPr>
        <w:t>缺口问题，主要</w:t>
      </w:r>
      <w:r>
        <w:rPr>
          <w:rFonts w:hint="eastAsia" w:ascii="仿宋_GB2312" w:eastAsia="仿宋_GB2312"/>
          <w:sz w:val="32"/>
          <w:szCs w:val="32"/>
        </w:rPr>
        <w:t>是由于按政策可以发放的职工工会福利待遇、伙食补助、年度绩效考核奖励金等未纳入财政预算</w:t>
      </w:r>
      <w:r>
        <w:rPr>
          <w:rFonts w:hint="eastAsia" w:ascii="仿宋_GB2312" w:eastAsia="仿宋_GB2312"/>
          <w:sz w:val="32"/>
          <w:szCs w:val="32"/>
          <w:lang w:eastAsia="zh-CN"/>
        </w:rPr>
        <w:t>，造成人员经费缺口巨大。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altName w:val="黑体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228F1159"/>
    <w:multiLevelType w:val="singleLevel"/>
    <w:tmpl w:val="228F1159"/>
    <w:lvl w:ilvl="0" w:tentative="0">
      <w:start w:val="3"/>
      <w:numFmt w:val="chineseCounting"/>
      <w:suff w:val="nothing"/>
      <w:lvlText w:val="（%1）"/>
      <w:lvlJc w:val="left"/>
      <w:pPr>
        <w:ind w:left="6"/>
      </w:pPr>
      <w:rPr>
        <w:rFonts w:hint="eastAsia"/>
      </w:rPr>
    </w:lvl>
  </w:abstractNum>
  <w:abstractNum w:abstractNumId="1">
    <w:nsid w:val="365CAB77"/>
    <w:multiLevelType w:val="singleLevel"/>
    <w:tmpl w:val="365CAB77"/>
    <w:lvl w:ilvl="0" w:tentative="0">
      <w:start w:val="2"/>
      <w:numFmt w:val="decimal"/>
      <w:lvlText w:val="%1."/>
      <w:lvlJc w:val="left"/>
      <w:pPr>
        <w:tabs>
          <w:tab w:val="left" w:pos="312"/>
        </w:tabs>
      </w:pPr>
    </w:lvl>
  </w:abstractNum>
  <w:abstractNum w:abstractNumId="2">
    <w:nsid w:val="5E65D4C3"/>
    <w:multiLevelType w:val="singleLevel"/>
    <w:tmpl w:val="5E65D4C3"/>
    <w:lvl w:ilvl="0" w:tentative="0">
      <w:start w:val="2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Q3MDRmMjQ1NGU2NzQ4YTJiOTQxNDRlYzg3OTEzNTMifQ=="/>
  </w:docVars>
  <w:rsids>
    <w:rsidRoot w:val="03DF611C"/>
    <w:rsid w:val="01D60DCA"/>
    <w:rsid w:val="03DF611C"/>
    <w:rsid w:val="088209B9"/>
    <w:rsid w:val="09E95841"/>
    <w:rsid w:val="0B846CE0"/>
    <w:rsid w:val="0BDE17BD"/>
    <w:rsid w:val="0CAC26BE"/>
    <w:rsid w:val="0EE91A98"/>
    <w:rsid w:val="0F924021"/>
    <w:rsid w:val="1B595A23"/>
    <w:rsid w:val="2137579E"/>
    <w:rsid w:val="2672148A"/>
    <w:rsid w:val="2A2A12F0"/>
    <w:rsid w:val="2D035999"/>
    <w:rsid w:val="4014567C"/>
    <w:rsid w:val="44FA350F"/>
    <w:rsid w:val="4B981ACB"/>
    <w:rsid w:val="596974D9"/>
    <w:rsid w:val="5ABA70D5"/>
    <w:rsid w:val="5C9F576B"/>
    <w:rsid w:val="62C47E48"/>
    <w:rsid w:val="6382412B"/>
    <w:rsid w:val="66EE66D3"/>
    <w:rsid w:val="7AF950D2"/>
    <w:rsid w:val="7C4F7621"/>
    <w:rsid w:val="7F241B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unhideWhenUsed/>
    <w:qFormat/>
    <w:uiPriority w:val="99"/>
    <w:pPr>
      <w:spacing w:after="120"/>
    </w:p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5">
    <w:name w:val="Normal (Web)"/>
    <w:basedOn w:val="1"/>
    <w:qFormat/>
    <w:uiPriority w:val="0"/>
    <w:pPr>
      <w:widowControl/>
      <w:jc w:val="left"/>
    </w:pPr>
    <w:rPr>
      <w:rFonts w:ascii="宋体" w:hAnsi="宋体" w:cs="宋体"/>
      <w:kern w:val="0"/>
      <w:sz w:val="24"/>
    </w:rPr>
  </w:style>
  <w:style w:type="character" w:styleId="8">
    <w:name w:val="page number"/>
    <w:basedOn w:val="7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10</Pages>
  <Words>3752</Words>
  <Characters>4036</Characters>
  <Lines>0</Lines>
  <Paragraphs>0</Paragraphs>
  <TotalTime>50</TotalTime>
  <ScaleCrop>false</ScaleCrop>
  <LinksUpToDate>false</LinksUpToDate>
  <CharactersWithSpaces>4053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2021-04-14T02:29:00Z</dcterms:created>
  <dc:creator>春天在哪里</dc:creator>
  <cp:lastModifiedBy>春天在哪里</cp:lastModifiedBy>
  <cp:lastPrinted>2022-05-31T07:57:00Z</cp:lastPrinted>
  <dcterms:modified xsi:type="dcterms:W3CDTF">2022-11-15T07:40:11Z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BB646687FEAC4F409E8AA07A0FC385CA</vt:lpwstr>
  </property>
</Properties>
</file>