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p>
    <w:p>
      <w:pPr>
        <w:widowControl/>
        <w:spacing w:line="594" w:lineRule="exact"/>
        <w:jc w:val="center"/>
        <w:rPr>
          <w:rFonts w:hint="eastAsia" w:eastAsia="方正小标宋简体"/>
          <w:kern w:val="0"/>
          <w:sz w:val="44"/>
          <w:szCs w:val="44"/>
        </w:rPr>
      </w:pPr>
    </w:p>
    <w:p>
      <w:pPr>
        <w:widowControl/>
        <w:spacing w:line="594" w:lineRule="exact"/>
        <w:jc w:val="center"/>
        <w:rPr>
          <w:rFonts w:hint="eastAsia" w:eastAsia="方正小标宋简体"/>
          <w:kern w:val="0"/>
          <w:sz w:val="44"/>
          <w:szCs w:val="44"/>
        </w:rPr>
      </w:pPr>
    </w:p>
    <w:p>
      <w:pPr>
        <w:widowControl/>
        <w:spacing w:line="594" w:lineRule="exact"/>
        <w:jc w:val="center"/>
        <w:rPr>
          <w:rFonts w:hint="eastAsia" w:eastAsia="方正小标宋简体"/>
          <w:kern w:val="0"/>
          <w:sz w:val="44"/>
          <w:szCs w:val="44"/>
        </w:rPr>
      </w:pPr>
    </w:p>
    <w:p>
      <w:pPr>
        <w:widowControl/>
        <w:spacing w:line="594" w:lineRule="exact"/>
        <w:jc w:val="center"/>
        <w:rPr>
          <w:rFonts w:hint="eastAsia" w:eastAsia="方正小标宋简体"/>
          <w:kern w:val="0"/>
          <w:sz w:val="44"/>
          <w:szCs w:val="44"/>
        </w:rPr>
      </w:pPr>
    </w:p>
    <w:p>
      <w:pPr>
        <w:widowControl/>
        <w:spacing w:line="594" w:lineRule="exact"/>
        <w:jc w:val="center"/>
        <w:rPr>
          <w:rFonts w:eastAsia="方正小标宋简体"/>
          <w:kern w:val="0"/>
          <w:sz w:val="44"/>
          <w:szCs w:val="44"/>
        </w:rPr>
      </w:pPr>
      <w:r>
        <w:rPr>
          <w:rFonts w:hint="eastAsia" w:eastAsia="方正小标宋简体"/>
          <w:kern w:val="0"/>
          <w:sz w:val="44"/>
          <w:szCs w:val="44"/>
        </w:rPr>
        <w:t>202</w:t>
      </w:r>
      <w:r>
        <w:rPr>
          <w:rFonts w:hint="eastAsia" w:eastAsia="方正小标宋简体"/>
          <w:kern w:val="0"/>
          <w:sz w:val="44"/>
          <w:szCs w:val="44"/>
          <w:lang w:val="en-US" w:eastAsia="zh-CN"/>
        </w:rPr>
        <w:t>1</w:t>
      </w:r>
      <w:r>
        <w:rPr>
          <w:rFonts w:hint="eastAsia" w:eastAsia="方正小标宋简体"/>
          <w:kern w:val="0"/>
          <w:sz w:val="44"/>
          <w:szCs w:val="44"/>
        </w:rPr>
        <w:t>年度</w:t>
      </w:r>
      <w:r>
        <w:rPr>
          <w:rFonts w:eastAsia="方正小标宋简体"/>
          <w:kern w:val="0"/>
          <w:sz w:val="44"/>
          <w:szCs w:val="44"/>
        </w:rPr>
        <w:t>部门整体支出绩效报告</w:t>
      </w:r>
      <w:r>
        <w:rPr>
          <w:rFonts w:eastAsia="方正小标宋简体"/>
          <w:kern w:val="0"/>
          <w:sz w:val="44"/>
          <w:szCs w:val="44"/>
        </w:rPr>
        <w:br w:type="textWrapping"/>
      </w: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hint="eastAsia" w:eastAsia="方正小标宋简体"/>
          <w:kern w:val="0"/>
          <w:sz w:val="44"/>
          <w:szCs w:val="44"/>
          <w:lang w:eastAsia="zh-CN"/>
        </w:rPr>
      </w:pPr>
      <w:r>
        <w:rPr>
          <w:rFonts w:hint="eastAsia" w:eastAsia="方正小标宋简体"/>
          <w:kern w:val="0"/>
          <w:sz w:val="44"/>
          <w:szCs w:val="44"/>
          <w:lang w:eastAsia="zh-CN"/>
        </w:rPr>
        <w:t>桃江县城市管理和综合执法局（汇总）</w:t>
      </w: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left"/>
        <w:rPr>
          <w:kern w:val="0"/>
          <w:szCs w:val="32"/>
        </w:rPr>
      </w:pPr>
      <w:r>
        <w:rPr>
          <w:kern w:val="0"/>
          <w:szCs w:val="32"/>
        </w:rPr>
        <w:t xml:space="preserve">   </w:t>
      </w:r>
    </w:p>
    <w:p>
      <w:pPr>
        <w:widowControl/>
        <w:spacing w:line="594" w:lineRule="exact"/>
        <w:ind w:firstLine="640" w:firstLineChars="200"/>
        <w:rPr>
          <w:rFonts w:eastAsia="黑体"/>
          <w:bCs/>
          <w:kern w:val="0"/>
          <w:szCs w:val="32"/>
        </w:rPr>
      </w:pPr>
    </w:p>
    <w:p>
      <w:pPr>
        <w:widowControl/>
        <w:spacing w:line="594" w:lineRule="exact"/>
        <w:ind w:firstLine="640" w:firstLineChars="200"/>
        <w:rPr>
          <w:rFonts w:hint="eastAsia" w:eastAsia="黑体"/>
          <w:bCs/>
          <w:kern w:val="0"/>
          <w:szCs w:val="32"/>
          <w:lang w:eastAsia="zh-CN"/>
        </w:rPr>
      </w:pPr>
    </w:p>
    <w:p>
      <w:pPr>
        <w:widowControl/>
        <w:spacing w:line="594" w:lineRule="exact"/>
        <w:ind w:firstLine="3200" w:firstLineChars="1000"/>
        <w:rPr>
          <w:rFonts w:hint="eastAsia" w:eastAsia="黑体"/>
          <w:bCs/>
          <w:kern w:val="0"/>
          <w:szCs w:val="32"/>
          <w:lang w:eastAsia="zh-CN"/>
        </w:rPr>
      </w:pPr>
      <w:r>
        <w:rPr>
          <w:rFonts w:hint="eastAsia" w:eastAsia="黑体"/>
          <w:bCs/>
          <w:kern w:val="0"/>
          <w:szCs w:val="32"/>
          <w:lang w:eastAsia="zh-CN"/>
        </w:rPr>
        <w:t>目</w:t>
      </w:r>
      <w:r>
        <w:rPr>
          <w:rFonts w:hint="eastAsia" w:eastAsia="黑体"/>
          <w:bCs/>
          <w:kern w:val="0"/>
          <w:szCs w:val="32"/>
          <w:lang w:val="en-US" w:eastAsia="zh-CN"/>
        </w:rPr>
        <w:t xml:space="preserve">    </w:t>
      </w:r>
      <w:r>
        <w:rPr>
          <w:rFonts w:hint="eastAsia" w:eastAsia="黑体"/>
          <w:bCs/>
          <w:kern w:val="0"/>
          <w:szCs w:val="32"/>
          <w:lang w:eastAsia="zh-CN"/>
        </w:rPr>
        <w:t>录</w:t>
      </w:r>
    </w:p>
    <w:p>
      <w:pPr>
        <w:widowControl/>
        <w:spacing w:line="594" w:lineRule="exact"/>
        <w:ind w:firstLine="640" w:firstLineChars="200"/>
        <w:rPr>
          <w:rFonts w:eastAsia="黑体"/>
          <w:kern w:val="0"/>
          <w:szCs w:val="32"/>
        </w:rPr>
      </w:pPr>
      <w:r>
        <w:rPr>
          <w:rFonts w:eastAsia="黑体"/>
          <w:bCs/>
          <w:kern w:val="0"/>
          <w:szCs w:val="32"/>
        </w:rPr>
        <w:t xml:space="preserve"> 一、部门概况</w:t>
      </w:r>
    </w:p>
    <w:p>
      <w:pPr>
        <w:widowControl/>
        <w:spacing w:line="594" w:lineRule="exact"/>
        <w:ind w:firstLine="640" w:firstLineChars="200"/>
        <w:rPr>
          <w:kern w:val="0"/>
          <w:szCs w:val="32"/>
        </w:rPr>
      </w:pPr>
      <w:r>
        <w:rPr>
          <w:kern w:val="0"/>
          <w:szCs w:val="32"/>
        </w:rPr>
        <w:t>（一）部门基本情况</w:t>
      </w:r>
    </w:p>
    <w:p>
      <w:pPr>
        <w:widowControl/>
        <w:spacing w:line="594" w:lineRule="exact"/>
        <w:ind w:firstLine="640" w:firstLineChars="200"/>
        <w:rPr>
          <w:kern w:val="0"/>
          <w:szCs w:val="32"/>
        </w:rPr>
      </w:pPr>
      <w:r>
        <w:rPr>
          <w:kern w:val="0"/>
          <w:szCs w:val="32"/>
        </w:rPr>
        <w:t>（二）部门整体支出规模</w:t>
      </w:r>
    </w:p>
    <w:p>
      <w:pPr>
        <w:widowControl/>
        <w:spacing w:line="594" w:lineRule="exact"/>
        <w:ind w:firstLine="640" w:firstLineChars="200"/>
        <w:rPr>
          <w:kern w:val="0"/>
          <w:szCs w:val="32"/>
        </w:rPr>
      </w:pPr>
      <w:r>
        <w:rPr>
          <w:rFonts w:hint="eastAsia"/>
          <w:kern w:val="0"/>
          <w:szCs w:val="32"/>
          <w:lang w:eastAsia="zh-CN"/>
        </w:rPr>
        <w:t>（三）部门整体支出</w:t>
      </w:r>
      <w:r>
        <w:rPr>
          <w:kern w:val="0"/>
          <w:szCs w:val="32"/>
        </w:rPr>
        <w:t>使用方向和主要内容、涉及范围</w:t>
      </w:r>
    </w:p>
    <w:p>
      <w:pPr>
        <w:widowControl/>
        <w:spacing w:line="594" w:lineRule="exact"/>
        <w:ind w:firstLine="640" w:firstLineChars="200"/>
        <w:rPr>
          <w:kern w:val="0"/>
          <w:szCs w:val="32"/>
        </w:rPr>
      </w:pPr>
      <w:r>
        <w:rPr>
          <w:kern w:val="0"/>
          <w:szCs w:val="32"/>
        </w:rPr>
        <w:t>（</w:t>
      </w:r>
      <w:r>
        <w:rPr>
          <w:rFonts w:hint="eastAsia"/>
          <w:kern w:val="0"/>
          <w:szCs w:val="32"/>
          <w:lang w:eastAsia="zh-CN"/>
        </w:rPr>
        <w:t>四</w:t>
      </w:r>
      <w:r>
        <w:rPr>
          <w:kern w:val="0"/>
          <w:szCs w:val="32"/>
        </w:rPr>
        <w:t>）绩效目标设立情况</w:t>
      </w:r>
    </w:p>
    <w:p>
      <w:pPr>
        <w:widowControl/>
        <w:spacing w:line="594" w:lineRule="exact"/>
        <w:ind w:firstLine="640" w:firstLineChars="200"/>
        <w:rPr>
          <w:kern w:val="0"/>
          <w:szCs w:val="32"/>
        </w:rPr>
      </w:pPr>
      <w:r>
        <w:rPr>
          <w:rFonts w:eastAsia="黑体"/>
          <w:bCs/>
          <w:kern w:val="0"/>
          <w:szCs w:val="32"/>
        </w:rPr>
        <w:t>二、部门整体支出管理及使用情况分析</w:t>
      </w:r>
    </w:p>
    <w:p>
      <w:pPr>
        <w:widowControl/>
        <w:spacing w:line="594" w:lineRule="exact"/>
        <w:ind w:firstLine="640" w:firstLineChars="200"/>
        <w:rPr>
          <w:kern w:val="0"/>
          <w:szCs w:val="32"/>
        </w:rPr>
      </w:pPr>
      <w:r>
        <w:rPr>
          <w:rFonts w:eastAsia="楷体_GB2312"/>
          <w:kern w:val="0"/>
          <w:szCs w:val="32"/>
        </w:rPr>
        <w:t>（</w:t>
      </w:r>
      <w:r>
        <w:rPr>
          <w:kern w:val="0"/>
          <w:szCs w:val="32"/>
        </w:rPr>
        <w:t>一）基本支出</w:t>
      </w:r>
    </w:p>
    <w:p>
      <w:pPr>
        <w:widowControl/>
        <w:spacing w:line="594" w:lineRule="exact"/>
        <w:ind w:firstLine="640" w:firstLineChars="200"/>
        <w:rPr>
          <w:kern w:val="0"/>
          <w:szCs w:val="32"/>
        </w:rPr>
      </w:pPr>
      <w:r>
        <w:rPr>
          <w:kern w:val="0"/>
          <w:szCs w:val="32"/>
        </w:rPr>
        <w:t>（二）项目支出</w:t>
      </w:r>
    </w:p>
    <w:p>
      <w:pPr>
        <w:widowControl/>
        <w:spacing w:line="594" w:lineRule="exact"/>
        <w:ind w:firstLine="640" w:firstLineChars="200"/>
        <w:rPr>
          <w:rFonts w:hint="eastAsia"/>
          <w:kern w:val="0"/>
          <w:szCs w:val="32"/>
          <w:lang w:eastAsia="zh-CN"/>
        </w:rPr>
      </w:pPr>
      <w:r>
        <w:rPr>
          <w:rFonts w:hint="eastAsia"/>
          <w:kern w:val="0"/>
          <w:szCs w:val="32"/>
          <w:lang w:val="en-US" w:eastAsia="zh-CN"/>
        </w:rPr>
        <w:t xml:space="preserve"> </w:t>
      </w:r>
      <w:r>
        <w:rPr>
          <w:rFonts w:hint="eastAsia"/>
          <w:kern w:val="0"/>
          <w:szCs w:val="32"/>
          <w:lang w:eastAsia="zh-CN"/>
        </w:rPr>
        <w:t>1.项目资金安排落实、总投入等情况分析。</w:t>
      </w:r>
    </w:p>
    <w:p>
      <w:pPr>
        <w:widowControl/>
        <w:spacing w:line="594" w:lineRule="exact"/>
        <w:ind w:firstLine="640" w:firstLineChars="200"/>
        <w:rPr>
          <w:rFonts w:hint="eastAsia"/>
          <w:kern w:val="0"/>
          <w:szCs w:val="32"/>
          <w:lang w:eastAsia="zh-CN"/>
        </w:rPr>
      </w:pPr>
      <w:r>
        <w:rPr>
          <w:rFonts w:hint="eastAsia"/>
          <w:kern w:val="0"/>
          <w:szCs w:val="32"/>
          <w:lang w:val="en-US" w:eastAsia="zh-CN"/>
        </w:rPr>
        <w:t xml:space="preserve"> 2.</w:t>
      </w:r>
      <w:r>
        <w:rPr>
          <w:rFonts w:hint="eastAsia"/>
          <w:kern w:val="0"/>
          <w:szCs w:val="32"/>
          <w:lang w:eastAsia="zh-CN"/>
        </w:rPr>
        <w:t>项目资金（财政资金）实际使用情况分析。</w:t>
      </w:r>
    </w:p>
    <w:p>
      <w:pPr>
        <w:widowControl/>
        <w:spacing w:line="594" w:lineRule="exact"/>
        <w:ind w:firstLine="640" w:firstLineChars="200"/>
        <w:rPr>
          <w:rFonts w:hint="default" w:ascii="仿宋" w:hAnsi="仿宋" w:eastAsia="仿宋" w:cs="Tahoma"/>
          <w:kern w:val="0"/>
          <w:sz w:val="32"/>
          <w:szCs w:val="32"/>
          <w:lang w:val="en-US" w:eastAsia="zh-CN"/>
        </w:rPr>
      </w:pPr>
      <w:r>
        <w:rPr>
          <w:rFonts w:hint="eastAsia"/>
          <w:kern w:val="0"/>
          <w:szCs w:val="32"/>
          <w:lang w:val="en-US" w:eastAsia="zh-CN"/>
        </w:rPr>
        <w:t xml:space="preserve"> 3.</w:t>
      </w:r>
      <w:r>
        <w:rPr>
          <w:rFonts w:hint="eastAsia"/>
          <w:kern w:val="0"/>
          <w:szCs w:val="32"/>
          <w:lang w:eastAsia="zh-CN"/>
        </w:rPr>
        <w:t>项目资金管理情况分析。</w:t>
      </w:r>
    </w:p>
    <w:p>
      <w:pPr>
        <w:widowControl/>
        <w:spacing w:line="594" w:lineRule="exact"/>
        <w:ind w:firstLine="640" w:firstLineChars="200"/>
        <w:rPr>
          <w:rFonts w:eastAsia="黑体"/>
          <w:bCs/>
          <w:kern w:val="0"/>
          <w:szCs w:val="32"/>
        </w:rPr>
      </w:pPr>
      <w:r>
        <w:rPr>
          <w:rFonts w:eastAsia="黑体"/>
          <w:bCs/>
          <w:kern w:val="0"/>
          <w:szCs w:val="32"/>
        </w:rPr>
        <w:t>三、项目组织实施情况分析</w:t>
      </w:r>
    </w:p>
    <w:p>
      <w:pPr>
        <w:widowControl/>
        <w:spacing w:line="594" w:lineRule="exact"/>
        <w:ind w:firstLine="640" w:firstLineChars="200"/>
        <w:rPr>
          <w:kern w:val="0"/>
          <w:szCs w:val="32"/>
        </w:rPr>
      </w:pPr>
      <w:r>
        <w:rPr>
          <w:kern w:val="0"/>
          <w:szCs w:val="32"/>
        </w:rPr>
        <w:t>（一）项目组织情况分析</w:t>
      </w:r>
    </w:p>
    <w:p>
      <w:pPr>
        <w:widowControl/>
        <w:spacing w:line="594" w:lineRule="exact"/>
        <w:ind w:firstLine="640" w:firstLineChars="200"/>
        <w:rPr>
          <w:kern w:val="0"/>
          <w:szCs w:val="32"/>
        </w:rPr>
      </w:pPr>
      <w:r>
        <w:rPr>
          <w:kern w:val="0"/>
          <w:szCs w:val="32"/>
        </w:rPr>
        <w:t>（二）项目管理情况分析</w:t>
      </w:r>
    </w:p>
    <w:p>
      <w:pPr>
        <w:widowControl/>
        <w:spacing w:line="594" w:lineRule="exact"/>
        <w:ind w:firstLine="640" w:firstLineChars="200"/>
        <w:rPr>
          <w:rFonts w:eastAsia="黑体"/>
          <w:bCs/>
          <w:kern w:val="0"/>
          <w:szCs w:val="32"/>
        </w:rPr>
      </w:pPr>
      <w:r>
        <w:rPr>
          <w:rFonts w:eastAsia="黑体"/>
          <w:bCs/>
          <w:kern w:val="0"/>
          <w:szCs w:val="32"/>
        </w:rPr>
        <w:t>四、部门整体支出绩效情况分析</w:t>
      </w:r>
    </w:p>
    <w:p>
      <w:pPr>
        <w:widowControl/>
        <w:spacing w:line="594" w:lineRule="exact"/>
        <w:ind w:firstLine="640" w:firstLineChars="200"/>
        <w:rPr>
          <w:rFonts w:hint="eastAsia"/>
          <w:kern w:val="0"/>
          <w:szCs w:val="32"/>
          <w:lang w:eastAsia="zh-CN"/>
        </w:rPr>
      </w:pPr>
      <w:r>
        <w:rPr>
          <w:rFonts w:hint="eastAsia"/>
          <w:kern w:val="0"/>
          <w:szCs w:val="32"/>
          <w:lang w:eastAsia="zh-CN"/>
        </w:rPr>
        <w:t>（一）</w:t>
      </w:r>
      <w:r>
        <w:rPr>
          <w:kern w:val="0"/>
          <w:szCs w:val="32"/>
        </w:rPr>
        <w:t>经济性</w:t>
      </w:r>
      <w:r>
        <w:rPr>
          <w:rFonts w:hint="eastAsia"/>
          <w:kern w:val="0"/>
          <w:szCs w:val="32"/>
          <w:lang w:eastAsia="zh-CN"/>
        </w:rPr>
        <w:t>分析</w:t>
      </w:r>
    </w:p>
    <w:p>
      <w:pPr>
        <w:widowControl/>
        <w:spacing w:line="594" w:lineRule="exact"/>
        <w:ind w:firstLine="640" w:firstLineChars="200"/>
        <w:rPr>
          <w:rFonts w:hint="eastAsia" w:eastAsia="仿宋_GB2312"/>
          <w:bCs/>
          <w:kern w:val="0"/>
          <w:szCs w:val="32"/>
          <w:lang w:eastAsia="zh-CN"/>
        </w:rPr>
      </w:pPr>
      <w:r>
        <w:rPr>
          <w:rFonts w:hint="eastAsia"/>
          <w:kern w:val="0"/>
          <w:szCs w:val="32"/>
          <w:lang w:eastAsia="zh-CN"/>
        </w:rPr>
        <w:t>（二）</w:t>
      </w:r>
      <w:r>
        <w:rPr>
          <w:kern w:val="0"/>
          <w:szCs w:val="32"/>
        </w:rPr>
        <w:t>效率性</w:t>
      </w:r>
      <w:r>
        <w:rPr>
          <w:rFonts w:hint="eastAsia"/>
          <w:kern w:val="0"/>
          <w:szCs w:val="32"/>
          <w:lang w:eastAsia="zh-CN"/>
        </w:rPr>
        <w:t>分析</w:t>
      </w:r>
    </w:p>
    <w:p>
      <w:pPr>
        <w:widowControl/>
        <w:spacing w:line="594" w:lineRule="exact"/>
        <w:ind w:firstLine="640" w:firstLineChars="200"/>
        <w:rPr>
          <w:kern w:val="0"/>
          <w:szCs w:val="32"/>
        </w:rPr>
      </w:pPr>
      <w:r>
        <w:rPr>
          <w:rFonts w:eastAsia="黑体"/>
          <w:bCs/>
          <w:kern w:val="0"/>
          <w:szCs w:val="32"/>
        </w:rPr>
        <w:t>五、绩效评价工作开展情况</w:t>
      </w:r>
    </w:p>
    <w:p>
      <w:pPr>
        <w:widowControl/>
        <w:spacing w:line="594" w:lineRule="exact"/>
        <w:ind w:firstLine="640" w:firstLineChars="200"/>
        <w:rPr>
          <w:kern w:val="0"/>
          <w:szCs w:val="32"/>
        </w:rPr>
      </w:pPr>
      <w:r>
        <w:rPr>
          <w:kern w:val="0"/>
          <w:szCs w:val="32"/>
        </w:rPr>
        <w:t>（一）绩效评价目的。</w:t>
      </w:r>
    </w:p>
    <w:p>
      <w:pPr>
        <w:widowControl/>
        <w:spacing w:line="594" w:lineRule="exact"/>
        <w:ind w:firstLine="640" w:firstLineChars="200"/>
        <w:rPr>
          <w:kern w:val="0"/>
          <w:szCs w:val="32"/>
        </w:rPr>
      </w:pPr>
      <w:r>
        <w:rPr>
          <w:kern w:val="0"/>
          <w:szCs w:val="32"/>
        </w:rPr>
        <w:t>（二）绩效评价工作过程，</w:t>
      </w:r>
    </w:p>
    <w:p>
      <w:pPr>
        <w:ind w:firstLine="645"/>
        <w:rPr>
          <w:rFonts w:hint="eastAsia" w:ascii="黑体" w:hAnsi="黑体" w:eastAsia="黑体"/>
          <w:sz w:val="32"/>
          <w:szCs w:val="32"/>
        </w:rPr>
      </w:pPr>
      <w:r>
        <w:rPr>
          <w:rFonts w:hint="eastAsia" w:ascii="黑体" w:hAnsi="黑体" w:eastAsia="黑体"/>
          <w:sz w:val="32"/>
          <w:szCs w:val="32"/>
        </w:rPr>
        <w:t>六、存在的主要问题</w:t>
      </w:r>
    </w:p>
    <w:p>
      <w:pPr>
        <w:pStyle w:val="2"/>
        <w:rPr>
          <w:rFonts w:eastAsia="黑体"/>
          <w:bCs/>
          <w:kern w:val="0"/>
          <w:szCs w:val="32"/>
        </w:rPr>
      </w:pPr>
      <w:r>
        <w:rPr>
          <w:rFonts w:hint="eastAsia" w:ascii="黑体" w:hAnsi="黑体" w:eastAsia="黑体"/>
          <w:sz w:val="32"/>
          <w:szCs w:val="32"/>
          <w:lang w:val="en-US" w:eastAsia="zh-CN"/>
        </w:rPr>
        <w:t xml:space="preserve">    七、有关建议</w:t>
      </w:r>
    </w:p>
    <w:p>
      <w:pPr>
        <w:widowControl/>
        <w:spacing w:line="594" w:lineRule="exact"/>
        <w:ind w:firstLine="640" w:firstLineChars="200"/>
        <w:rPr>
          <w:rFonts w:eastAsia="黑体"/>
          <w:kern w:val="0"/>
          <w:szCs w:val="32"/>
        </w:rPr>
      </w:pPr>
      <w:r>
        <w:rPr>
          <w:rFonts w:eastAsia="黑体"/>
          <w:bCs/>
          <w:kern w:val="0"/>
          <w:szCs w:val="32"/>
        </w:rPr>
        <w:t>一、部门概况</w:t>
      </w:r>
    </w:p>
    <w:p>
      <w:pPr>
        <w:spacing w:line="560" w:lineRule="exact"/>
        <w:ind w:firstLine="643" w:firstLineChars="200"/>
        <w:rPr>
          <w:rFonts w:hint="eastAsia" w:ascii="仿宋" w:hAnsi="仿宋" w:eastAsia="仿宋"/>
          <w:b/>
          <w:bCs/>
          <w:sz w:val="32"/>
          <w:szCs w:val="32"/>
          <w:lang w:eastAsia="zh-CN"/>
        </w:rPr>
      </w:pPr>
      <w:r>
        <w:rPr>
          <w:rFonts w:hint="eastAsia" w:ascii="仿宋" w:hAnsi="仿宋" w:eastAsia="仿宋"/>
          <w:b/>
          <w:bCs/>
          <w:sz w:val="32"/>
          <w:szCs w:val="32"/>
          <w:lang w:eastAsia="zh-CN"/>
        </w:rPr>
        <w:t>（一）部门基本情况</w:t>
      </w:r>
    </w:p>
    <w:p>
      <w:pPr>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1、机构设置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全额拨款</w:t>
      </w:r>
      <w:r>
        <w:rPr>
          <w:rFonts w:hint="eastAsia" w:ascii="仿宋" w:hAnsi="仿宋" w:eastAsia="仿宋"/>
          <w:sz w:val="32"/>
          <w:szCs w:val="32"/>
          <w:lang w:eastAsia="zh-CN"/>
        </w:rPr>
        <w:t>行政</w:t>
      </w:r>
      <w:r>
        <w:rPr>
          <w:rFonts w:hint="eastAsia" w:ascii="仿宋" w:hAnsi="仿宋" w:eastAsia="仿宋"/>
          <w:sz w:val="32"/>
          <w:szCs w:val="32"/>
        </w:rPr>
        <w:t>单位1个：桃江县城市管理</w:t>
      </w:r>
      <w:r>
        <w:rPr>
          <w:rFonts w:hint="eastAsia" w:ascii="仿宋" w:hAnsi="仿宋" w:eastAsia="仿宋"/>
          <w:sz w:val="32"/>
          <w:szCs w:val="32"/>
          <w:lang w:eastAsia="zh-CN"/>
        </w:rPr>
        <w:t>和综合</w:t>
      </w:r>
      <w:r>
        <w:rPr>
          <w:rFonts w:hint="eastAsia" w:ascii="仿宋" w:hAnsi="仿宋" w:eastAsia="仿宋"/>
          <w:sz w:val="32"/>
          <w:szCs w:val="32"/>
        </w:rPr>
        <w:t>执法局</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财政补助事业单位</w:t>
      </w:r>
      <w:r>
        <w:rPr>
          <w:rFonts w:hint="eastAsia" w:ascii="仿宋" w:hAnsi="仿宋" w:eastAsia="仿宋"/>
          <w:sz w:val="32"/>
          <w:szCs w:val="32"/>
          <w:lang w:val="en-US" w:eastAsia="zh-CN"/>
        </w:rPr>
        <w:t>5</w:t>
      </w:r>
      <w:r>
        <w:rPr>
          <w:rFonts w:hint="eastAsia" w:ascii="仿宋" w:hAnsi="仿宋" w:eastAsia="仿宋"/>
          <w:sz w:val="32"/>
          <w:szCs w:val="32"/>
        </w:rPr>
        <w:t>个：桃江县路灯管理所</w:t>
      </w:r>
      <w:r>
        <w:rPr>
          <w:rFonts w:hint="eastAsia" w:ascii="仿宋" w:hAnsi="仿宋" w:eastAsia="仿宋"/>
          <w:sz w:val="32"/>
          <w:szCs w:val="32"/>
          <w:lang w:eastAsia="zh-CN"/>
        </w:rPr>
        <w:t>、桃江县城市管理综合执法大队、</w:t>
      </w:r>
      <w:r>
        <w:rPr>
          <w:rFonts w:hint="eastAsia" w:ascii="仿宋" w:hAnsi="仿宋" w:eastAsia="仿宋"/>
          <w:sz w:val="32"/>
          <w:szCs w:val="32"/>
        </w:rPr>
        <w:t>桃江县市政设施管理站、桃江县环境卫生</w:t>
      </w:r>
      <w:r>
        <w:rPr>
          <w:rFonts w:hint="eastAsia" w:ascii="仿宋" w:hAnsi="仿宋" w:eastAsia="仿宋"/>
          <w:sz w:val="32"/>
          <w:szCs w:val="32"/>
          <w:lang w:eastAsia="zh-CN"/>
        </w:rPr>
        <w:t>服务中心。</w:t>
      </w:r>
    </w:p>
    <w:p>
      <w:pPr>
        <w:spacing w:line="560" w:lineRule="exact"/>
        <w:ind w:firstLine="645"/>
        <w:rPr>
          <w:rFonts w:hint="eastAsia" w:ascii="仿宋" w:hAnsi="仿宋" w:eastAsia="仿宋"/>
          <w:sz w:val="32"/>
          <w:szCs w:val="32"/>
        </w:rPr>
      </w:pPr>
      <w:r>
        <w:rPr>
          <w:rFonts w:hint="eastAsia" w:ascii="仿宋" w:hAnsi="仿宋" w:eastAsia="仿宋"/>
          <w:sz w:val="32"/>
          <w:szCs w:val="32"/>
        </w:rPr>
        <w:t>我局下设办公室、人事教育股、计划财务股、政策法规股、城市管理股、督查股</w:t>
      </w:r>
      <w:r>
        <w:rPr>
          <w:rFonts w:hint="eastAsia" w:ascii="仿宋" w:hAnsi="仿宋" w:eastAsia="仿宋"/>
          <w:sz w:val="32"/>
          <w:szCs w:val="32"/>
          <w:lang w:eastAsia="zh-CN"/>
        </w:rPr>
        <w:t>、市容秩序股</w:t>
      </w:r>
      <w:r>
        <w:rPr>
          <w:rFonts w:hint="eastAsia" w:ascii="仿宋" w:hAnsi="仿宋" w:eastAsia="仿宋"/>
          <w:sz w:val="32"/>
          <w:szCs w:val="32"/>
          <w:lang w:val="en-US" w:eastAsia="zh-CN"/>
        </w:rPr>
        <w:t>7</w:t>
      </w:r>
      <w:r>
        <w:rPr>
          <w:rFonts w:hint="eastAsia" w:ascii="仿宋" w:hAnsi="仿宋" w:eastAsia="仿宋"/>
          <w:sz w:val="32"/>
          <w:szCs w:val="32"/>
        </w:rPr>
        <w:t>个股室。</w:t>
      </w:r>
    </w:p>
    <w:p>
      <w:pPr>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2、人员构成</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全额拨款行政人员：年初在职人数</w:t>
      </w:r>
      <w:r>
        <w:rPr>
          <w:rFonts w:hint="eastAsia" w:ascii="仿宋" w:hAnsi="仿宋" w:eastAsia="仿宋"/>
          <w:sz w:val="32"/>
          <w:szCs w:val="32"/>
          <w:lang w:val="en-US" w:eastAsia="zh-CN"/>
        </w:rPr>
        <w:t>5人，年末5人；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财政补助</w:t>
      </w:r>
      <w:r>
        <w:rPr>
          <w:rFonts w:hint="eastAsia" w:ascii="仿宋" w:hAnsi="仿宋" w:eastAsia="仿宋"/>
          <w:sz w:val="32"/>
          <w:szCs w:val="32"/>
        </w:rPr>
        <w:t>事业人员：</w:t>
      </w:r>
      <w:r>
        <w:rPr>
          <w:rFonts w:hint="eastAsia" w:ascii="仿宋" w:hAnsi="仿宋" w:eastAsia="仿宋"/>
          <w:sz w:val="32"/>
          <w:szCs w:val="32"/>
          <w:lang w:eastAsia="zh-CN"/>
        </w:rPr>
        <w:t>年初</w:t>
      </w:r>
      <w:r>
        <w:rPr>
          <w:rFonts w:hint="eastAsia" w:ascii="仿宋" w:hAnsi="仿宋" w:eastAsia="仿宋"/>
          <w:sz w:val="32"/>
          <w:szCs w:val="32"/>
        </w:rPr>
        <w:t>在职人数</w:t>
      </w:r>
      <w:r>
        <w:rPr>
          <w:rFonts w:hint="eastAsia" w:ascii="仿宋" w:hAnsi="仿宋" w:eastAsia="仿宋"/>
          <w:sz w:val="32"/>
          <w:szCs w:val="32"/>
          <w:lang w:val="en-US" w:eastAsia="zh-CN"/>
        </w:rPr>
        <w:t>254 人</w:t>
      </w:r>
      <w:r>
        <w:rPr>
          <w:rFonts w:hint="eastAsia" w:ascii="仿宋" w:hAnsi="仿宋" w:eastAsia="仿宋"/>
          <w:sz w:val="32"/>
          <w:szCs w:val="32"/>
        </w:rPr>
        <w:t>，</w:t>
      </w:r>
      <w:r>
        <w:rPr>
          <w:rFonts w:hint="eastAsia" w:ascii="仿宋" w:hAnsi="仿宋" w:eastAsia="仿宋"/>
          <w:sz w:val="32"/>
          <w:szCs w:val="32"/>
          <w:lang w:eastAsia="zh-CN"/>
        </w:rPr>
        <w:t>年末</w:t>
      </w:r>
      <w:r>
        <w:rPr>
          <w:rFonts w:hint="eastAsia" w:ascii="仿宋" w:hAnsi="仿宋" w:eastAsia="仿宋"/>
          <w:sz w:val="32"/>
          <w:szCs w:val="32"/>
          <w:lang w:val="en-US" w:eastAsia="zh-CN"/>
        </w:rPr>
        <w:t>254人。</w:t>
      </w:r>
    </w:p>
    <w:p>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3、</w:t>
      </w:r>
      <w:r>
        <w:rPr>
          <w:rFonts w:hint="eastAsia" w:ascii="仿宋" w:hAnsi="仿宋" w:eastAsia="仿宋"/>
          <w:b/>
          <w:sz w:val="32"/>
          <w:szCs w:val="32"/>
        </w:rPr>
        <w:t>部门主要工作职责</w:t>
      </w:r>
    </w:p>
    <w:p>
      <w:pPr>
        <w:tabs>
          <w:tab w:val="left" w:pos="600"/>
        </w:tabs>
        <w:spacing w:line="560" w:lineRule="exact"/>
        <w:ind w:firstLine="560" w:firstLineChars="200"/>
        <w:rPr>
          <w:rFonts w:hint="eastAsia" w:ascii="仿宋" w:hAnsi="仿宋" w:eastAsia="仿宋"/>
          <w:sz w:val="32"/>
        </w:rPr>
      </w:pPr>
      <w:r>
        <w:rPr>
          <w:rFonts w:hint="default" w:ascii="Calibri" w:hAnsi="Calibri" w:eastAsia="仿宋" w:cs="Calibri"/>
          <w:sz w:val="28"/>
          <w:lang w:val="en-US" w:eastAsia="zh-CN"/>
        </w:rPr>
        <w:t>①</w:t>
      </w:r>
      <w:r>
        <w:rPr>
          <w:rFonts w:hint="eastAsia" w:ascii="仿宋" w:hAnsi="仿宋" w:eastAsia="仿宋"/>
          <w:sz w:val="32"/>
        </w:rPr>
        <w:t>贯彻执行国家和地方关于城市管理法律、法规、规章和方针、政策。</w:t>
      </w:r>
    </w:p>
    <w:p>
      <w:pPr>
        <w:tabs>
          <w:tab w:val="left" w:pos="600"/>
        </w:tabs>
        <w:spacing w:line="560" w:lineRule="exact"/>
        <w:ind w:firstLine="560" w:firstLineChars="200"/>
        <w:rPr>
          <w:rFonts w:hint="eastAsia" w:ascii="仿宋" w:hAnsi="仿宋" w:eastAsia="仿宋"/>
          <w:sz w:val="32"/>
        </w:rPr>
      </w:pPr>
      <w:r>
        <w:rPr>
          <w:rFonts w:hint="default" w:ascii="Calibri" w:hAnsi="Calibri" w:eastAsia="仿宋" w:cs="Calibri"/>
          <w:sz w:val="28"/>
          <w:lang w:val="en-US" w:eastAsia="zh-CN"/>
        </w:rPr>
        <w:t>②</w:t>
      </w:r>
      <w:r>
        <w:rPr>
          <w:rFonts w:hint="eastAsia" w:ascii="仿宋" w:hAnsi="仿宋" w:eastAsia="仿宋"/>
          <w:sz w:val="32"/>
        </w:rPr>
        <w:t>研究制定全县城市管理发展规划、年度计划，起草全县城市管理规范性文件及相关的政策、措施，经批准后组织实施；负责全县城市综合管理的组织、指挥、检查、监督、调度、协调和宣传工作。</w:t>
      </w:r>
    </w:p>
    <w:p>
      <w:pPr>
        <w:tabs>
          <w:tab w:val="left" w:pos="600"/>
        </w:tabs>
        <w:spacing w:line="560" w:lineRule="exact"/>
        <w:ind w:firstLine="560" w:firstLineChars="200"/>
        <w:rPr>
          <w:rFonts w:hint="eastAsia" w:ascii="仿宋" w:hAnsi="仿宋" w:eastAsia="仿宋"/>
          <w:sz w:val="32"/>
        </w:rPr>
      </w:pPr>
      <w:r>
        <w:rPr>
          <w:rFonts w:hint="default" w:ascii="Calibri" w:hAnsi="Calibri" w:eastAsia="仿宋" w:cs="Calibri"/>
          <w:sz w:val="28"/>
          <w:lang w:val="en-US" w:eastAsia="zh-CN"/>
        </w:rPr>
        <w:t>③</w:t>
      </w:r>
      <w:r>
        <w:rPr>
          <w:rFonts w:hint="eastAsia" w:ascii="仿宋" w:hAnsi="仿宋" w:eastAsia="仿宋"/>
          <w:sz w:val="32"/>
        </w:rPr>
        <w:t>负责市容环境卫生、城市建筑垃圾、城市照明、城市绿化、城市道路、城市市政公用设施的监督和行政处罚权利；负责行使《桃江县城市管理相对集中行政处罚权实施办法》（桃政办发【2015】48号）规定的环境保护、城乡规划、工商行政管理方面的行政处罚和县人民政府授权的其他行政处罚。</w:t>
      </w:r>
    </w:p>
    <w:p>
      <w:pPr>
        <w:tabs>
          <w:tab w:val="left" w:pos="600"/>
        </w:tabs>
        <w:spacing w:line="560" w:lineRule="exact"/>
        <w:ind w:firstLine="560" w:firstLineChars="200"/>
        <w:rPr>
          <w:rFonts w:hint="eastAsia" w:ascii="仿宋" w:hAnsi="仿宋" w:eastAsia="仿宋"/>
          <w:sz w:val="32"/>
        </w:rPr>
      </w:pPr>
      <w:r>
        <w:rPr>
          <w:rFonts w:hint="default" w:ascii="Calibri" w:hAnsi="Calibri" w:eastAsia="仿宋" w:cs="Calibri"/>
          <w:sz w:val="28"/>
          <w:lang w:val="en-US" w:eastAsia="zh-CN"/>
        </w:rPr>
        <w:t>④</w:t>
      </w:r>
      <w:r>
        <w:rPr>
          <w:rFonts w:hint="eastAsia" w:ascii="仿宋" w:hAnsi="仿宋" w:eastAsia="仿宋"/>
          <w:sz w:val="32"/>
        </w:rPr>
        <w:t>负责路灯照明设施、市政设施、环卫设施的维护管理工作；负责县城洗车场、渣土消纳场、弃土场的管理工作。</w:t>
      </w:r>
    </w:p>
    <w:p>
      <w:pPr>
        <w:tabs>
          <w:tab w:val="left" w:pos="600"/>
        </w:tabs>
        <w:spacing w:line="560" w:lineRule="exact"/>
        <w:ind w:firstLine="560" w:firstLineChars="200"/>
        <w:rPr>
          <w:rFonts w:hint="eastAsia" w:ascii="仿宋" w:hAnsi="仿宋" w:eastAsia="仿宋"/>
          <w:sz w:val="32"/>
        </w:rPr>
      </w:pPr>
      <w:r>
        <w:rPr>
          <w:rFonts w:hint="default" w:ascii="Calibri" w:hAnsi="Calibri" w:eastAsia="仿宋" w:cs="Calibri"/>
          <w:sz w:val="28"/>
          <w:lang w:val="en-US" w:eastAsia="zh-CN"/>
        </w:rPr>
        <w:t>⑤</w:t>
      </w:r>
      <w:r>
        <w:rPr>
          <w:rFonts w:hint="eastAsia" w:ascii="仿宋" w:hAnsi="仿宋" w:eastAsia="仿宋"/>
          <w:sz w:val="32"/>
          <w:lang w:val="en-US" w:eastAsia="zh-CN"/>
        </w:rPr>
        <w:t>、</w:t>
      </w:r>
      <w:r>
        <w:rPr>
          <w:rFonts w:hint="eastAsia" w:ascii="仿宋" w:hAnsi="仿宋" w:eastAsia="仿宋"/>
          <w:sz w:val="32"/>
        </w:rPr>
        <w:t>负责依法组织征收渣土调配费、城市生活垃圾处理费、异地绿化费、城市道路临时占用费和挖掘修复费。</w:t>
      </w:r>
    </w:p>
    <w:p>
      <w:pPr>
        <w:tabs>
          <w:tab w:val="left" w:pos="600"/>
        </w:tabs>
        <w:spacing w:line="560" w:lineRule="exact"/>
        <w:ind w:firstLine="560" w:firstLineChars="200"/>
        <w:rPr>
          <w:rFonts w:hint="eastAsia" w:ascii="仿宋" w:hAnsi="仿宋" w:eastAsia="仿宋"/>
          <w:sz w:val="32"/>
        </w:rPr>
      </w:pPr>
      <w:r>
        <w:rPr>
          <w:rFonts w:hint="default" w:ascii="Calibri" w:hAnsi="Calibri" w:eastAsia="仿宋" w:cs="Calibri"/>
          <w:sz w:val="28"/>
          <w:lang w:val="en-US" w:eastAsia="zh-CN"/>
        </w:rPr>
        <w:t>⑥</w:t>
      </w:r>
      <w:r>
        <w:rPr>
          <w:rFonts w:hint="eastAsia" w:ascii="仿宋" w:hAnsi="仿宋" w:eastAsia="仿宋"/>
          <w:sz w:val="32"/>
        </w:rPr>
        <w:t>参与市政、环卫、路灯等城市基础设施建设项目的可行性研究、方案审查和工程竣工备案及城乡规划审查、实施和验收工作。</w:t>
      </w:r>
    </w:p>
    <w:p>
      <w:pPr>
        <w:tabs>
          <w:tab w:val="left" w:pos="600"/>
        </w:tabs>
        <w:spacing w:line="560" w:lineRule="exact"/>
        <w:ind w:firstLine="560" w:firstLineChars="200"/>
        <w:rPr>
          <w:rFonts w:hint="eastAsia" w:ascii="仿宋" w:hAnsi="仿宋" w:eastAsia="仿宋"/>
          <w:sz w:val="32"/>
        </w:rPr>
      </w:pPr>
      <w:r>
        <w:rPr>
          <w:rFonts w:hint="default" w:ascii="Calibri" w:hAnsi="Calibri" w:eastAsia="仿宋" w:cs="Calibri"/>
          <w:sz w:val="28"/>
          <w:lang w:val="en-US" w:eastAsia="zh-CN"/>
        </w:rPr>
        <w:t>⑦</w:t>
      </w:r>
      <w:r>
        <w:rPr>
          <w:rFonts w:hint="eastAsia" w:ascii="仿宋" w:hAnsi="仿宋" w:eastAsia="仿宋"/>
          <w:sz w:val="32"/>
        </w:rPr>
        <w:t>负责县城规划区内的查违控违拆违监督管理工作，对违法建设进行制止和强制拆除；组织建设项目工程规划竣工验收。</w:t>
      </w:r>
    </w:p>
    <w:p>
      <w:pPr>
        <w:spacing w:line="560" w:lineRule="exact"/>
        <w:ind w:firstLine="560" w:firstLineChars="200"/>
        <w:rPr>
          <w:kern w:val="0"/>
          <w:szCs w:val="32"/>
        </w:rPr>
      </w:pPr>
      <w:r>
        <w:rPr>
          <w:rFonts w:hint="default" w:ascii="Calibri" w:hAnsi="Calibri" w:eastAsia="仿宋" w:cs="Calibri"/>
          <w:sz w:val="28"/>
          <w:lang w:val="en-US" w:eastAsia="zh-CN"/>
        </w:rPr>
        <w:t>⑧</w:t>
      </w:r>
      <w:r>
        <w:rPr>
          <w:rFonts w:hint="eastAsia" w:ascii="仿宋" w:hAnsi="仿宋" w:eastAsia="仿宋"/>
          <w:sz w:val="32"/>
        </w:rPr>
        <w:t>承办县委、县人民政府交办的其他事项。</w:t>
      </w:r>
    </w:p>
    <w:p>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eastAsia="zh-CN"/>
        </w:rPr>
        <w:t>二</w:t>
      </w:r>
      <w:r>
        <w:rPr>
          <w:rFonts w:hint="eastAsia" w:ascii="仿宋" w:hAnsi="仿宋" w:eastAsia="仿宋"/>
          <w:b/>
          <w:sz w:val="32"/>
          <w:szCs w:val="32"/>
        </w:rPr>
        <w:t>）部门整体支出规模</w:t>
      </w:r>
    </w:p>
    <w:p>
      <w:pPr>
        <w:widowControl/>
        <w:spacing w:line="560" w:lineRule="exact"/>
        <w:ind w:firstLine="643" w:firstLineChars="200"/>
        <w:jc w:val="left"/>
        <w:rPr>
          <w:rFonts w:hint="eastAsia" w:ascii="楷体" w:hAnsi="楷体" w:eastAsia="楷体" w:cs="Tahoma"/>
          <w:b/>
          <w:kern w:val="0"/>
          <w:sz w:val="32"/>
          <w:szCs w:val="32"/>
        </w:rPr>
      </w:pPr>
      <w:r>
        <w:rPr>
          <w:rFonts w:hint="eastAsia" w:ascii="楷体" w:hAnsi="楷体" w:eastAsia="楷体" w:cs="Tahoma"/>
          <w:b/>
          <w:kern w:val="0"/>
          <w:sz w:val="32"/>
          <w:szCs w:val="32"/>
        </w:rPr>
        <w:t>1、收入</w:t>
      </w:r>
    </w:p>
    <w:p>
      <w:pPr>
        <w:widowControl/>
        <w:spacing w:line="560" w:lineRule="exact"/>
        <w:ind w:firstLine="640" w:firstLineChars="200"/>
        <w:jc w:val="left"/>
        <w:rPr>
          <w:rFonts w:hint="default" w:ascii="仿宋" w:hAnsi="仿宋" w:eastAsia="仿宋" w:cs="Tahoma"/>
          <w:kern w:val="0"/>
          <w:sz w:val="32"/>
          <w:szCs w:val="32"/>
          <w:lang w:val="en-US" w:eastAsia="zh-CN"/>
        </w:rPr>
      </w:pPr>
      <w:r>
        <w:rPr>
          <w:rFonts w:hint="eastAsia" w:ascii="仿宋" w:hAnsi="仿宋" w:eastAsia="仿宋" w:cs="Tahoma"/>
          <w:kern w:val="0"/>
          <w:sz w:val="32"/>
          <w:szCs w:val="32"/>
          <w:lang w:eastAsia="zh-CN"/>
        </w:rPr>
        <w:t>财政资金年初预算数</w:t>
      </w:r>
      <w:r>
        <w:rPr>
          <w:rFonts w:hint="eastAsia" w:ascii="宋体" w:hAnsi="宋体" w:eastAsia="宋体" w:cs="宋体"/>
          <w:color w:val="000000"/>
          <w:kern w:val="2"/>
          <w:sz w:val="32"/>
          <w:szCs w:val="32"/>
          <w:lang w:val="en-US" w:eastAsia="zh-CN"/>
        </w:rPr>
        <w:t>5671.74</w:t>
      </w:r>
      <w:r>
        <w:rPr>
          <w:rFonts w:hint="eastAsia" w:ascii="仿宋" w:hAnsi="仿宋" w:eastAsia="仿宋" w:cs="Tahoma"/>
          <w:kern w:val="0"/>
          <w:sz w:val="32"/>
          <w:szCs w:val="32"/>
          <w:lang w:val="en-US" w:eastAsia="zh-CN"/>
        </w:rPr>
        <w:t>万元，预算调整数7533.56</w:t>
      </w:r>
      <w:r>
        <w:rPr>
          <w:rFonts w:hint="eastAsia" w:ascii="仿宋" w:hAnsi="仿宋" w:eastAsia="仿宋" w:cs="Tahoma"/>
          <w:kern w:val="0"/>
          <w:sz w:val="32"/>
          <w:szCs w:val="32"/>
        </w:rPr>
        <w:t>万元，</w:t>
      </w:r>
      <w:r>
        <w:rPr>
          <w:rFonts w:hint="eastAsia" w:ascii="仿宋" w:hAnsi="仿宋" w:eastAsia="仿宋" w:cs="Tahoma"/>
          <w:kern w:val="0"/>
          <w:sz w:val="32"/>
          <w:szCs w:val="32"/>
          <w:lang w:eastAsia="zh-CN"/>
        </w:rPr>
        <w:t>年末决算数</w:t>
      </w:r>
      <w:r>
        <w:rPr>
          <w:rFonts w:hint="eastAsia" w:ascii="宋体" w:hAnsi="宋体" w:eastAsia="宋体" w:cs="宋体"/>
          <w:color w:val="000000"/>
          <w:kern w:val="2"/>
          <w:sz w:val="32"/>
          <w:szCs w:val="32"/>
          <w:lang w:val="en-US" w:eastAsia="zh-CN"/>
        </w:rPr>
        <w:t>75335.56</w:t>
      </w:r>
      <w:r>
        <w:rPr>
          <w:rFonts w:hint="eastAsia" w:ascii="仿宋" w:hAnsi="仿宋" w:eastAsia="仿宋" w:cs="Tahoma"/>
          <w:kern w:val="0"/>
          <w:sz w:val="32"/>
          <w:szCs w:val="32"/>
          <w:lang w:val="en-US" w:eastAsia="zh-CN"/>
        </w:rPr>
        <w:t>万元。</w:t>
      </w:r>
    </w:p>
    <w:p>
      <w:pPr>
        <w:widowControl/>
        <w:spacing w:line="560" w:lineRule="exact"/>
        <w:ind w:firstLine="643" w:firstLineChars="200"/>
        <w:jc w:val="left"/>
        <w:rPr>
          <w:rFonts w:hint="eastAsia" w:ascii="楷体" w:hAnsi="楷体" w:eastAsia="楷体" w:cs="Tahoma"/>
          <w:b/>
          <w:kern w:val="0"/>
          <w:sz w:val="32"/>
          <w:szCs w:val="32"/>
        </w:rPr>
      </w:pPr>
      <w:r>
        <w:rPr>
          <w:rFonts w:hint="eastAsia" w:ascii="楷体" w:hAnsi="楷体" w:eastAsia="楷体" w:cs="Tahoma"/>
          <w:b/>
          <w:kern w:val="0"/>
          <w:sz w:val="32"/>
          <w:szCs w:val="32"/>
        </w:rPr>
        <w:t>2、支出</w:t>
      </w:r>
    </w:p>
    <w:p>
      <w:pPr>
        <w:widowControl/>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val="en-US" w:eastAsia="zh-CN"/>
        </w:rPr>
        <w:t>2021年</w:t>
      </w:r>
      <w:r>
        <w:rPr>
          <w:rFonts w:hint="eastAsia" w:ascii="仿宋" w:hAnsi="仿宋" w:eastAsia="仿宋" w:cs="Tahoma"/>
          <w:kern w:val="0"/>
          <w:sz w:val="32"/>
          <w:szCs w:val="32"/>
        </w:rPr>
        <w:t>基本支出</w:t>
      </w:r>
      <w:r>
        <w:rPr>
          <w:rFonts w:hint="eastAsia" w:ascii="仿宋" w:hAnsi="仿宋" w:eastAsia="仿宋" w:cs="Tahoma"/>
          <w:kern w:val="0"/>
          <w:sz w:val="32"/>
          <w:szCs w:val="32"/>
          <w:lang w:val="en-US" w:eastAsia="zh-CN"/>
        </w:rPr>
        <w:t>2937.12</w:t>
      </w:r>
      <w:r>
        <w:rPr>
          <w:rFonts w:hint="eastAsia" w:ascii="仿宋" w:hAnsi="仿宋" w:eastAsia="仿宋" w:cs="Tahoma"/>
          <w:kern w:val="0"/>
          <w:sz w:val="32"/>
          <w:szCs w:val="32"/>
        </w:rPr>
        <w:t>万元，</w:t>
      </w:r>
      <w:r>
        <w:rPr>
          <w:rFonts w:hint="eastAsia" w:ascii="仿宋" w:hAnsi="仿宋" w:eastAsia="仿宋" w:cs="Tahoma"/>
          <w:kern w:val="0"/>
          <w:sz w:val="32"/>
          <w:szCs w:val="32"/>
          <w:lang w:eastAsia="zh-CN"/>
        </w:rPr>
        <w:t>项目支出</w:t>
      </w:r>
      <w:r>
        <w:rPr>
          <w:rFonts w:hint="eastAsia" w:ascii="仿宋" w:hAnsi="仿宋" w:eastAsia="仿宋" w:cs="Tahoma"/>
          <w:kern w:val="0"/>
          <w:sz w:val="32"/>
          <w:szCs w:val="32"/>
          <w:lang w:val="en-US" w:eastAsia="zh-CN"/>
        </w:rPr>
        <w:t>4598.44万元，合计7535.56万元。</w:t>
      </w:r>
    </w:p>
    <w:p>
      <w:pPr>
        <w:widowControl/>
        <w:numPr>
          <w:ilvl w:val="0"/>
          <w:numId w:val="1"/>
        </w:numPr>
        <w:spacing w:line="560" w:lineRule="exact"/>
        <w:ind w:left="6" w:leftChars="0" w:firstLine="640" w:firstLineChars="0"/>
        <w:jc w:val="left"/>
        <w:rPr>
          <w:rFonts w:hint="eastAsia" w:ascii="仿宋" w:hAnsi="仿宋" w:eastAsia="仿宋" w:cs="Tahoma"/>
          <w:b/>
          <w:bCs/>
          <w:kern w:val="0"/>
          <w:sz w:val="32"/>
          <w:szCs w:val="32"/>
          <w:lang w:val="en-US" w:eastAsia="zh-CN"/>
        </w:rPr>
      </w:pPr>
      <w:r>
        <w:rPr>
          <w:rFonts w:hint="eastAsia" w:ascii="仿宋" w:hAnsi="仿宋" w:eastAsia="仿宋" w:cs="Tahoma"/>
          <w:b/>
          <w:bCs/>
          <w:kern w:val="0"/>
          <w:sz w:val="32"/>
          <w:szCs w:val="32"/>
          <w:lang w:val="en-US" w:eastAsia="zh-CN"/>
        </w:rPr>
        <w:t>部门整体支出使用方向及主要内容、涉及的范围</w:t>
      </w:r>
    </w:p>
    <w:p>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部门整体支出</w:t>
      </w:r>
      <w:r>
        <w:rPr>
          <w:rFonts w:hint="eastAsia" w:ascii="仿宋" w:hAnsi="仿宋" w:eastAsia="仿宋" w:cs="Tahoma"/>
          <w:kern w:val="0"/>
          <w:sz w:val="32"/>
          <w:szCs w:val="32"/>
          <w:lang w:val="en-US" w:eastAsia="zh-CN"/>
        </w:rPr>
        <w:t>中</w:t>
      </w:r>
      <w:r>
        <w:rPr>
          <w:rFonts w:hint="eastAsia" w:ascii="仿宋" w:hAnsi="仿宋" w:eastAsia="仿宋" w:cs="Tahoma"/>
          <w:kern w:val="0"/>
          <w:sz w:val="32"/>
          <w:szCs w:val="32"/>
          <w:lang w:eastAsia="zh-CN"/>
        </w:rPr>
        <w:t>基本支出</w:t>
      </w:r>
      <w:r>
        <w:rPr>
          <w:rFonts w:hint="eastAsia" w:ascii="仿宋" w:hAnsi="仿宋" w:eastAsia="仿宋" w:cs="Tahoma"/>
          <w:kern w:val="0"/>
          <w:sz w:val="32"/>
          <w:szCs w:val="32"/>
          <w:lang w:val="en-US" w:eastAsia="zh-CN"/>
        </w:rPr>
        <w:t>2937.12万元，主要用于人员工资福利支出及一般公务支出，</w:t>
      </w:r>
      <w:r>
        <w:rPr>
          <w:rFonts w:hint="eastAsia" w:ascii="仿宋" w:hAnsi="仿宋" w:eastAsia="仿宋" w:cs="Tahoma"/>
          <w:kern w:val="0"/>
          <w:sz w:val="32"/>
          <w:szCs w:val="32"/>
        </w:rPr>
        <w:t>包含工资福利支出</w:t>
      </w:r>
      <w:r>
        <w:rPr>
          <w:rFonts w:hint="eastAsia" w:ascii="仿宋" w:hAnsi="仿宋" w:eastAsia="仿宋" w:cs="Tahoma"/>
          <w:kern w:val="0"/>
          <w:sz w:val="32"/>
          <w:szCs w:val="32"/>
          <w:lang w:val="en-US" w:eastAsia="zh-CN"/>
        </w:rPr>
        <w:t>2568.81</w:t>
      </w:r>
      <w:r>
        <w:rPr>
          <w:rFonts w:hint="eastAsia" w:ascii="仿宋" w:hAnsi="仿宋" w:eastAsia="仿宋" w:cs="Tahoma"/>
          <w:kern w:val="0"/>
          <w:sz w:val="32"/>
          <w:szCs w:val="32"/>
        </w:rPr>
        <w:t>万元、</w:t>
      </w:r>
      <w:r>
        <w:rPr>
          <w:rFonts w:hint="eastAsia" w:ascii="仿宋" w:hAnsi="仿宋" w:eastAsia="仿宋" w:cs="Tahoma"/>
          <w:kern w:val="0"/>
          <w:sz w:val="32"/>
          <w:szCs w:val="32"/>
          <w:lang w:eastAsia="zh-CN"/>
        </w:rPr>
        <w:t>商品服务支出</w:t>
      </w:r>
      <w:r>
        <w:rPr>
          <w:rFonts w:hint="eastAsia" w:ascii="仿宋" w:hAnsi="仿宋" w:eastAsia="仿宋" w:cs="Tahoma"/>
          <w:kern w:val="0"/>
          <w:sz w:val="32"/>
          <w:szCs w:val="32"/>
          <w:lang w:val="en-US" w:eastAsia="zh-CN"/>
        </w:rPr>
        <w:t>310.18</w:t>
      </w:r>
      <w:r>
        <w:rPr>
          <w:rFonts w:hint="eastAsia" w:ascii="仿宋" w:hAnsi="仿宋" w:eastAsia="仿宋" w:cs="Tahoma"/>
          <w:kern w:val="0"/>
          <w:sz w:val="32"/>
          <w:szCs w:val="32"/>
        </w:rPr>
        <w:t>万元、对个人和家庭的补助支出</w:t>
      </w:r>
      <w:r>
        <w:rPr>
          <w:rFonts w:hint="eastAsia" w:ascii="仿宋" w:hAnsi="仿宋" w:eastAsia="仿宋" w:cs="Tahoma"/>
          <w:kern w:val="0"/>
          <w:sz w:val="32"/>
          <w:szCs w:val="32"/>
          <w:lang w:val="en-US" w:eastAsia="zh-CN"/>
        </w:rPr>
        <w:t>54.89</w:t>
      </w:r>
      <w:r>
        <w:rPr>
          <w:rFonts w:hint="eastAsia" w:ascii="仿宋" w:hAnsi="仿宋" w:eastAsia="仿宋" w:cs="Tahoma"/>
          <w:kern w:val="0"/>
          <w:sz w:val="32"/>
          <w:szCs w:val="32"/>
        </w:rPr>
        <w:t>万元</w:t>
      </w:r>
      <w:r>
        <w:rPr>
          <w:rFonts w:hint="eastAsia" w:ascii="仿宋" w:hAnsi="仿宋" w:eastAsia="仿宋" w:cs="Tahoma"/>
          <w:kern w:val="0"/>
          <w:sz w:val="32"/>
          <w:szCs w:val="32"/>
          <w:lang w:eastAsia="zh-CN"/>
        </w:rPr>
        <w:t>、资本性支出</w:t>
      </w:r>
      <w:r>
        <w:rPr>
          <w:rFonts w:hint="eastAsia" w:ascii="仿宋" w:hAnsi="仿宋" w:eastAsia="仿宋" w:cs="Tahoma"/>
          <w:kern w:val="0"/>
          <w:sz w:val="32"/>
          <w:szCs w:val="32"/>
          <w:lang w:val="en-US" w:eastAsia="zh-CN"/>
        </w:rPr>
        <w:t>3.24万元</w:t>
      </w:r>
      <w:r>
        <w:rPr>
          <w:rFonts w:hint="eastAsia" w:ascii="仿宋" w:hAnsi="仿宋" w:eastAsia="仿宋" w:cs="Tahoma"/>
          <w:kern w:val="0"/>
          <w:sz w:val="32"/>
          <w:szCs w:val="32"/>
          <w:lang w:eastAsia="zh-CN"/>
        </w:rPr>
        <w:t>。</w:t>
      </w:r>
      <w:r>
        <w:rPr>
          <w:rFonts w:hint="eastAsia" w:ascii="仿宋" w:hAnsi="仿宋" w:eastAsia="仿宋" w:cs="Tahoma"/>
          <w:kern w:val="0"/>
          <w:sz w:val="32"/>
          <w:szCs w:val="32"/>
          <w:lang w:val="en-US" w:eastAsia="zh-CN"/>
        </w:rPr>
        <w:t>2021年</w:t>
      </w:r>
      <w:r>
        <w:rPr>
          <w:rFonts w:hint="eastAsia" w:ascii="仿宋" w:hAnsi="仿宋" w:eastAsia="仿宋" w:cs="Tahoma"/>
          <w:kern w:val="0"/>
          <w:sz w:val="32"/>
          <w:szCs w:val="32"/>
        </w:rPr>
        <w:t>“三公经费”支出</w:t>
      </w:r>
      <w:r>
        <w:rPr>
          <w:rFonts w:hint="eastAsia" w:ascii="仿宋" w:hAnsi="仿宋" w:eastAsia="仿宋" w:cs="Tahoma"/>
          <w:kern w:val="0"/>
          <w:sz w:val="32"/>
          <w:szCs w:val="32"/>
          <w:lang w:val="en-US" w:eastAsia="zh-CN"/>
        </w:rPr>
        <w:t>0.56</w:t>
      </w:r>
      <w:r>
        <w:rPr>
          <w:rFonts w:hint="eastAsia" w:ascii="仿宋" w:hAnsi="仿宋" w:eastAsia="仿宋" w:cs="Tahoma"/>
          <w:kern w:val="0"/>
          <w:sz w:val="32"/>
          <w:szCs w:val="32"/>
        </w:rPr>
        <w:t>万元，</w:t>
      </w:r>
      <w:r>
        <w:rPr>
          <w:rFonts w:hint="eastAsia" w:ascii="仿宋" w:hAnsi="仿宋" w:eastAsia="仿宋" w:cs="Tahoma"/>
          <w:kern w:val="0"/>
          <w:sz w:val="32"/>
          <w:szCs w:val="32"/>
          <w:lang w:eastAsia="zh-CN"/>
        </w:rPr>
        <w:t>其中</w:t>
      </w:r>
      <w:r>
        <w:rPr>
          <w:rFonts w:hint="eastAsia" w:ascii="仿宋" w:hAnsi="仿宋" w:eastAsia="仿宋" w:cs="仿宋"/>
          <w:color w:val="000000"/>
          <w:kern w:val="2"/>
          <w:sz w:val="32"/>
          <w:szCs w:val="32"/>
        </w:rPr>
        <w:t>公务接待费支出</w:t>
      </w:r>
      <w:r>
        <w:rPr>
          <w:rFonts w:hint="eastAsia" w:ascii="仿宋" w:hAnsi="仿宋" w:eastAsia="仿宋" w:cs="仿宋"/>
          <w:color w:val="000000"/>
          <w:kern w:val="2"/>
          <w:sz w:val="32"/>
          <w:szCs w:val="32"/>
          <w:lang w:val="en-US" w:eastAsia="zh-CN"/>
        </w:rPr>
        <w:t>0.56</w:t>
      </w:r>
      <w:r>
        <w:rPr>
          <w:rFonts w:hint="eastAsia" w:ascii="仿宋" w:hAnsi="仿宋" w:eastAsia="仿宋" w:cs="仿宋"/>
          <w:color w:val="000000"/>
          <w:kern w:val="2"/>
          <w:sz w:val="32"/>
          <w:szCs w:val="32"/>
        </w:rPr>
        <w:t>万元，公务用车购置费及运行维护费支出决算为</w:t>
      </w:r>
      <w:r>
        <w:rPr>
          <w:rFonts w:hint="eastAsia" w:ascii="仿宋" w:hAnsi="仿宋" w:eastAsia="仿宋" w:cs="仿宋"/>
          <w:color w:val="000000"/>
          <w:kern w:val="2"/>
          <w:sz w:val="32"/>
          <w:szCs w:val="32"/>
          <w:lang w:val="en-US" w:eastAsia="zh-CN"/>
        </w:rPr>
        <w:t>0</w:t>
      </w:r>
      <w:r>
        <w:rPr>
          <w:rFonts w:hint="eastAsia" w:ascii="仿宋" w:hAnsi="仿宋" w:eastAsia="仿宋" w:cs="仿宋"/>
          <w:color w:val="000000"/>
          <w:kern w:val="2"/>
          <w:sz w:val="32"/>
          <w:szCs w:val="32"/>
        </w:rPr>
        <w:t>万元</w:t>
      </w:r>
      <w:r>
        <w:rPr>
          <w:rFonts w:hint="eastAsia" w:ascii="仿宋" w:hAnsi="仿宋" w:eastAsia="仿宋" w:cs="仿宋"/>
          <w:color w:val="000000"/>
          <w:kern w:val="2"/>
          <w:sz w:val="32"/>
          <w:szCs w:val="32"/>
          <w:lang w:eastAsia="zh-CN"/>
        </w:rPr>
        <w:t>。</w:t>
      </w:r>
    </w:p>
    <w:p>
      <w:pPr>
        <w:tabs>
          <w:tab w:val="left" w:pos="5175"/>
        </w:tabs>
        <w:spacing w:line="560" w:lineRule="exact"/>
        <w:ind w:firstLine="640" w:firstLineChars="200"/>
        <w:rPr>
          <w:rFonts w:hint="default" w:ascii="仿宋" w:hAnsi="仿宋" w:eastAsia="仿宋" w:cs="宋体"/>
          <w:kern w:val="0"/>
          <w:sz w:val="32"/>
          <w:szCs w:val="32"/>
          <w:lang w:val="en-US" w:eastAsia="zh-CN"/>
        </w:rPr>
      </w:pPr>
      <w:r>
        <w:rPr>
          <w:rFonts w:hint="eastAsia" w:ascii="仿宋" w:hAnsi="仿宋" w:eastAsia="仿宋" w:cs="Tahoma"/>
          <w:kern w:val="0"/>
          <w:sz w:val="32"/>
          <w:szCs w:val="32"/>
          <w:lang w:eastAsia="zh-CN"/>
        </w:rPr>
        <w:t>部门整体支出</w:t>
      </w:r>
      <w:r>
        <w:rPr>
          <w:rFonts w:hint="eastAsia" w:ascii="仿宋" w:hAnsi="仿宋" w:eastAsia="仿宋" w:cs="Tahoma"/>
          <w:kern w:val="0"/>
          <w:sz w:val="32"/>
          <w:szCs w:val="32"/>
          <w:lang w:val="en-US" w:eastAsia="zh-CN"/>
        </w:rPr>
        <w:t>中项目</w:t>
      </w:r>
      <w:r>
        <w:rPr>
          <w:rFonts w:hint="eastAsia" w:ascii="仿宋" w:hAnsi="仿宋" w:eastAsia="仿宋" w:cs="Tahoma"/>
          <w:kern w:val="0"/>
          <w:sz w:val="32"/>
          <w:szCs w:val="32"/>
          <w:lang w:eastAsia="zh-CN"/>
        </w:rPr>
        <w:t>支出总投入</w:t>
      </w:r>
      <w:r>
        <w:rPr>
          <w:rFonts w:hint="eastAsia" w:ascii="仿宋" w:hAnsi="仿宋" w:eastAsia="仿宋" w:cs="Tahoma"/>
          <w:kern w:val="0"/>
          <w:sz w:val="32"/>
          <w:szCs w:val="32"/>
          <w:lang w:val="en-US" w:eastAsia="zh-CN"/>
        </w:rPr>
        <w:t>4598.44万元，</w:t>
      </w:r>
      <w:r>
        <w:rPr>
          <w:rFonts w:hint="eastAsia" w:ascii="仿宋" w:hAnsi="仿宋" w:eastAsia="仿宋" w:cs="Tahoma"/>
          <w:kern w:val="0"/>
          <w:sz w:val="32"/>
          <w:szCs w:val="32"/>
        </w:rPr>
        <w:t>主要用于桃江县城市管理</w:t>
      </w:r>
      <w:r>
        <w:rPr>
          <w:rFonts w:hint="eastAsia" w:ascii="仿宋" w:hAnsi="仿宋" w:eastAsia="仿宋" w:cs="Tahoma"/>
          <w:kern w:val="0"/>
          <w:sz w:val="32"/>
          <w:szCs w:val="32"/>
          <w:lang w:eastAsia="zh-CN"/>
        </w:rPr>
        <w:t>和综合执法局</w:t>
      </w:r>
      <w:r>
        <w:rPr>
          <w:rFonts w:hint="eastAsia" w:ascii="仿宋" w:hAnsi="仿宋" w:eastAsia="仿宋" w:cs="Tahoma"/>
          <w:kern w:val="0"/>
          <w:sz w:val="32"/>
          <w:szCs w:val="32"/>
        </w:rPr>
        <w:t>及下属</w:t>
      </w:r>
      <w:r>
        <w:rPr>
          <w:rFonts w:hint="eastAsia" w:ascii="仿宋" w:hAnsi="仿宋" w:eastAsia="仿宋" w:cs="Tahoma"/>
          <w:kern w:val="0"/>
          <w:sz w:val="32"/>
          <w:szCs w:val="32"/>
          <w:lang w:eastAsia="zh-CN"/>
        </w:rPr>
        <w:t>二级机构</w:t>
      </w:r>
      <w:r>
        <w:rPr>
          <w:rFonts w:hint="eastAsia" w:ascii="仿宋" w:hAnsi="仿宋" w:eastAsia="仿宋" w:cs="Tahoma"/>
          <w:kern w:val="0"/>
          <w:sz w:val="32"/>
          <w:szCs w:val="32"/>
        </w:rPr>
        <w:t>开展城市管理事务而发生的各项</w:t>
      </w:r>
      <w:r>
        <w:rPr>
          <w:rFonts w:hint="eastAsia" w:ascii="仿宋" w:hAnsi="仿宋" w:eastAsia="仿宋" w:cs="Tahoma"/>
          <w:kern w:val="0"/>
          <w:sz w:val="32"/>
          <w:szCs w:val="32"/>
          <w:lang w:eastAsia="zh-CN"/>
        </w:rPr>
        <w:t>业务</w:t>
      </w:r>
      <w:r>
        <w:rPr>
          <w:rFonts w:hint="eastAsia" w:ascii="仿宋" w:hAnsi="仿宋" w:eastAsia="仿宋" w:cs="Tahoma"/>
          <w:kern w:val="0"/>
          <w:sz w:val="32"/>
          <w:szCs w:val="32"/>
        </w:rPr>
        <w:t>支出</w:t>
      </w:r>
      <w:r>
        <w:rPr>
          <w:rFonts w:hint="eastAsia" w:ascii="仿宋" w:hAnsi="仿宋" w:eastAsia="仿宋" w:cs="Tahoma"/>
          <w:kern w:val="0"/>
          <w:sz w:val="32"/>
          <w:szCs w:val="32"/>
          <w:lang w:eastAsia="zh-CN"/>
        </w:rPr>
        <w:t>。</w:t>
      </w:r>
    </w:p>
    <w:p>
      <w:pPr>
        <w:numPr>
          <w:ilvl w:val="0"/>
          <w:numId w:val="0"/>
        </w:numPr>
        <w:tabs>
          <w:tab w:val="left" w:pos="5175"/>
        </w:tabs>
        <w:spacing w:line="560" w:lineRule="exact"/>
        <w:ind w:left="646" w:leftChars="0"/>
        <w:rPr>
          <w:rFonts w:hint="eastAsia" w:ascii="仿宋" w:hAnsi="仿宋" w:eastAsia="仿宋" w:cs="宋体"/>
          <w:b/>
          <w:bCs/>
          <w:kern w:val="0"/>
          <w:sz w:val="32"/>
          <w:szCs w:val="32"/>
          <w:lang w:eastAsia="zh-CN"/>
        </w:rPr>
      </w:pPr>
      <w:r>
        <w:rPr>
          <w:rFonts w:hint="eastAsia" w:ascii="仿宋" w:hAnsi="仿宋" w:eastAsia="仿宋" w:cs="宋体"/>
          <w:b/>
          <w:bCs/>
          <w:kern w:val="0"/>
          <w:sz w:val="32"/>
          <w:szCs w:val="32"/>
          <w:lang w:eastAsia="zh-CN"/>
        </w:rPr>
        <w:t>（四）绩效目标设立情况</w:t>
      </w:r>
    </w:p>
    <w:p>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val="en-US" w:eastAsia="zh-CN"/>
        </w:rPr>
        <w:t>年度目标：一确保259名干职工及91名退休职工的工资福利发放到位，按时缴纳社会保障费用；二保质保量完成</w:t>
      </w:r>
      <w:r>
        <w:rPr>
          <w:rFonts w:hint="eastAsia" w:ascii="仿宋" w:hAnsi="仿宋" w:eastAsia="仿宋" w:cs="Tahoma"/>
          <w:kern w:val="0"/>
          <w:sz w:val="32"/>
          <w:szCs w:val="32"/>
          <w:lang w:eastAsia="zh-CN"/>
        </w:rPr>
        <w:t>本职工作；三完成七项基础工作及县委县政府的的重点工作考核任务；四是加强城市管理，创建卫生县城。</w:t>
      </w:r>
    </w:p>
    <w:p>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val="en-US" w:eastAsia="zh-CN"/>
        </w:rPr>
        <w:t>中长期目标：深化城市精细化管理，逐步推进城市管理精细化向网格化、信息化纵深发展，稳步提升城市管理和服务水平。</w:t>
      </w:r>
    </w:p>
    <w:p>
      <w:pPr>
        <w:widowControl/>
        <w:numPr>
          <w:ilvl w:val="0"/>
          <w:numId w:val="0"/>
        </w:numPr>
        <w:spacing w:line="560" w:lineRule="exact"/>
        <w:ind w:firstLine="640" w:firstLineChars="200"/>
        <w:jc w:val="left"/>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二、部门整体支出管理及使用情况分析</w:t>
      </w:r>
    </w:p>
    <w:p>
      <w:pPr>
        <w:widowControl/>
        <w:numPr>
          <w:ilvl w:val="0"/>
          <w:numId w:val="0"/>
        </w:numPr>
        <w:spacing w:line="560" w:lineRule="exact"/>
        <w:ind w:firstLine="643" w:firstLineChars="200"/>
        <w:jc w:val="left"/>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（一）基本支出</w:t>
      </w:r>
    </w:p>
    <w:p>
      <w:pPr>
        <w:widowControl/>
        <w:numPr>
          <w:ilvl w:val="0"/>
          <w:numId w:val="0"/>
        </w:numPr>
        <w:spacing w:line="560" w:lineRule="exact"/>
        <w:ind w:firstLine="640" w:firstLineChars="200"/>
        <w:jc w:val="left"/>
        <w:rPr>
          <w:rFonts w:hint="default" w:ascii="仿宋" w:hAnsi="仿宋" w:eastAsia="仿宋" w:cs="Tahoma"/>
          <w:kern w:val="0"/>
          <w:sz w:val="32"/>
          <w:szCs w:val="32"/>
          <w:lang w:val="en-US" w:eastAsia="zh-CN"/>
        </w:rPr>
      </w:pPr>
      <w:r>
        <w:rPr>
          <w:rFonts w:hint="eastAsia" w:ascii="仿宋" w:hAnsi="仿宋" w:eastAsia="仿宋" w:cs="Tahoma"/>
          <w:kern w:val="0"/>
          <w:sz w:val="32"/>
          <w:szCs w:val="32"/>
          <w:lang w:val="en-US" w:eastAsia="zh-CN"/>
        </w:rPr>
        <w:t>2021年</w:t>
      </w:r>
      <w:r>
        <w:rPr>
          <w:rFonts w:hint="eastAsia" w:ascii="仿宋" w:hAnsi="仿宋" w:eastAsia="仿宋" w:cs="Tahoma"/>
          <w:kern w:val="0"/>
          <w:sz w:val="32"/>
          <w:szCs w:val="32"/>
          <w:lang w:eastAsia="zh-CN"/>
        </w:rPr>
        <w:t>基本支出</w:t>
      </w:r>
      <w:r>
        <w:rPr>
          <w:rFonts w:hint="eastAsia" w:ascii="仿宋" w:hAnsi="仿宋" w:eastAsia="仿宋" w:cs="Tahoma"/>
          <w:kern w:val="0"/>
          <w:sz w:val="32"/>
          <w:szCs w:val="32"/>
          <w:lang w:val="en-US" w:eastAsia="zh-CN"/>
        </w:rPr>
        <w:t>主要用于人员工资福利支出及一般公务支出，我局制定了《财务管理制度》、《财务审批内控制度》，要求首先</w:t>
      </w:r>
      <w:r>
        <w:rPr>
          <w:rFonts w:hint="eastAsia" w:ascii="仿宋" w:hAnsi="仿宋" w:eastAsia="仿宋" w:cs="Tahoma"/>
          <w:kern w:val="0"/>
          <w:sz w:val="32"/>
          <w:szCs w:val="32"/>
          <w:lang w:eastAsia="zh-CN"/>
        </w:rPr>
        <w:t>应当保证本部门履行基本职能所需要的人员经费和公用经费，对其他弹性支出和专项支出应当严格控制。 人员支出必须严格按照国家政策规定和标准，逐项核定，没有政策规定的项目，不得列支。日常公用支出预算的编制应本着节约、从俭的原则编报。</w:t>
      </w:r>
      <w:r>
        <w:rPr>
          <w:rFonts w:hint="eastAsia" w:ascii="仿宋" w:hAnsi="仿宋" w:eastAsia="仿宋" w:cs="Tahoma"/>
          <w:kern w:val="0"/>
          <w:sz w:val="32"/>
          <w:szCs w:val="32"/>
          <w:lang w:val="en-US" w:eastAsia="zh-CN"/>
        </w:rPr>
        <w:t>2021年基本支出2937.12万元，其中</w:t>
      </w:r>
      <w:r>
        <w:rPr>
          <w:rFonts w:hint="eastAsia" w:ascii="仿宋" w:hAnsi="仿宋" w:eastAsia="仿宋" w:cs="Tahoma"/>
          <w:kern w:val="0"/>
          <w:sz w:val="32"/>
          <w:szCs w:val="32"/>
        </w:rPr>
        <w:t>工资福利支出</w:t>
      </w:r>
      <w:r>
        <w:rPr>
          <w:rFonts w:hint="eastAsia" w:ascii="仿宋" w:hAnsi="仿宋" w:eastAsia="仿宋" w:cs="Tahoma"/>
          <w:kern w:val="0"/>
          <w:sz w:val="32"/>
          <w:szCs w:val="32"/>
          <w:lang w:val="en-US" w:eastAsia="zh-CN"/>
        </w:rPr>
        <w:t>2568.81</w:t>
      </w:r>
      <w:r>
        <w:rPr>
          <w:rFonts w:hint="eastAsia" w:ascii="仿宋" w:hAnsi="仿宋" w:eastAsia="仿宋" w:cs="Tahoma"/>
          <w:kern w:val="0"/>
          <w:sz w:val="32"/>
          <w:szCs w:val="32"/>
        </w:rPr>
        <w:t>万元、</w:t>
      </w:r>
      <w:r>
        <w:rPr>
          <w:rFonts w:hint="eastAsia" w:ascii="仿宋" w:hAnsi="仿宋" w:eastAsia="仿宋" w:cs="Tahoma"/>
          <w:kern w:val="0"/>
          <w:sz w:val="32"/>
          <w:szCs w:val="32"/>
          <w:lang w:eastAsia="zh-CN"/>
        </w:rPr>
        <w:t>商品服务支出</w:t>
      </w:r>
      <w:r>
        <w:rPr>
          <w:rFonts w:hint="eastAsia" w:ascii="仿宋" w:hAnsi="仿宋" w:eastAsia="仿宋" w:cs="Tahoma"/>
          <w:kern w:val="0"/>
          <w:sz w:val="32"/>
          <w:szCs w:val="32"/>
          <w:lang w:val="en-US" w:eastAsia="zh-CN"/>
        </w:rPr>
        <w:t>310.18</w:t>
      </w:r>
      <w:r>
        <w:rPr>
          <w:rFonts w:hint="eastAsia" w:ascii="仿宋" w:hAnsi="仿宋" w:eastAsia="仿宋" w:cs="Tahoma"/>
          <w:kern w:val="0"/>
          <w:sz w:val="32"/>
          <w:szCs w:val="32"/>
        </w:rPr>
        <w:t>万元、对个人和家庭的补助支出</w:t>
      </w:r>
      <w:r>
        <w:rPr>
          <w:rFonts w:hint="eastAsia" w:ascii="仿宋" w:hAnsi="仿宋" w:eastAsia="仿宋" w:cs="Tahoma"/>
          <w:kern w:val="0"/>
          <w:sz w:val="32"/>
          <w:szCs w:val="32"/>
          <w:lang w:val="en-US" w:eastAsia="zh-CN"/>
        </w:rPr>
        <w:t>54.89</w:t>
      </w:r>
      <w:r>
        <w:rPr>
          <w:rFonts w:hint="eastAsia" w:ascii="仿宋" w:hAnsi="仿宋" w:eastAsia="仿宋" w:cs="Tahoma"/>
          <w:kern w:val="0"/>
          <w:sz w:val="32"/>
          <w:szCs w:val="32"/>
        </w:rPr>
        <w:t>万元</w:t>
      </w:r>
      <w:r>
        <w:rPr>
          <w:rFonts w:hint="eastAsia" w:ascii="仿宋" w:hAnsi="仿宋" w:eastAsia="仿宋" w:cs="Tahoma"/>
          <w:kern w:val="0"/>
          <w:sz w:val="32"/>
          <w:szCs w:val="32"/>
          <w:lang w:eastAsia="zh-CN"/>
        </w:rPr>
        <w:t>、资本性支出</w:t>
      </w:r>
      <w:r>
        <w:rPr>
          <w:rFonts w:hint="eastAsia" w:ascii="仿宋" w:hAnsi="仿宋" w:eastAsia="仿宋" w:cs="Tahoma"/>
          <w:kern w:val="0"/>
          <w:sz w:val="32"/>
          <w:szCs w:val="32"/>
          <w:lang w:val="en-US" w:eastAsia="zh-CN"/>
        </w:rPr>
        <w:t>3.24万元。基本支出较上年度减少116.78万元，其中人员经费经费支出较上年减少105.96万元，主要压缩了人员经费支出；一般公用经费支出比上年减少8.65万元，下降2.71%；资本性支出减少2.17万元。2021年</w:t>
      </w:r>
      <w:r>
        <w:rPr>
          <w:rFonts w:hint="eastAsia" w:ascii="仿宋" w:hAnsi="仿宋" w:eastAsia="仿宋" w:cs="Tahoma"/>
          <w:kern w:val="0"/>
          <w:sz w:val="32"/>
          <w:szCs w:val="32"/>
          <w:lang w:eastAsia="zh-CN"/>
        </w:rPr>
        <w:t>三公经费预算数为</w:t>
      </w:r>
      <w:r>
        <w:rPr>
          <w:rFonts w:hint="eastAsia" w:ascii="仿宋" w:hAnsi="仿宋" w:eastAsia="仿宋" w:cs="Tahoma"/>
          <w:color w:val="000000" w:themeColor="text1"/>
          <w:kern w:val="0"/>
          <w:sz w:val="32"/>
          <w:szCs w:val="32"/>
          <w:lang w:val="en-US" w:eastAsia="zh-CN"/>
          <w14:textFill>
            <w14:solidFill>
              <w14:schemeClr w14:val="tx1"/>
            </w14:solidFill>
          </w14:textFill>
        </w:rPr>
        <w:t>15.65</w:t>
      </w:r>
      <w:r>
        <w:rPr>
          <w:rFonts w:hint="eastAsia" w:ascii="仿宋" w:hAnsi="仿宋" w:eastAsia="仿宋" w:cs="Tahoma"/>
          <w:kern w:val="0"/>
          <w:sz w:val="32"/>
          <w:szCs w:val="32"/>
          <w:lang w:val="en-US" w:eastAsia="zh-CN"/>
        </w:rPr>
        <w:t>万元，公务接待费用15.65万元，公车运行维护费用支出0万元</w:t>
      </w:r>
      <w:r>
        <w:rPr>
          <w:rFonts w:hint="eastAsia" w:ascii="仿宋" w:hAnsi="仿宋" w:eastAsia="仿宋" w:cs="Tahoma"/>
          <w:kern w:val="0"/>
          <w:sz w:val="32"/>
          <w:szCs w:val="32"/>
          <w:lang w:eastAsia="zh-CN"/>
        </w:rPr>
        <w:t>。</w:t>
      </w:r>
      <w:r>
        <w:rPr>
          <w:rFonts w:hint="eastAsia" w:ascii="仿宋" w:hAnsi="仿宋" w:eastAsia="仿宋" w:cs="Tahoma"/>
          <w:kern w:val="0"/>
          <w:sz w:val="32"/>
          <w:szCs w:val="32"/>
          <w:lang w:val="en-US" w:eastAsia="zh-CN"/>
        </w:rPr>
        <w:t>2021年公务接待费用实际支出1.19</w:t>
      </w:r>
      <w:r>
        <w:rPr>
          <w:rFonts w:hint="eastAsia" w:ascii="仿宋" w:hAnsi="仿宋" w:eastAsia="仿宋" w:cs="Tahoma"/>
          <w:kern w:val="0"/>
          <w:sz w:val="32"/>
          <w:szCs w:val="32"/>
          <w:lang w:eastAsia="zh-CN"/>
        </w:rPr>
        <w:t>万元，公车运行维护费用支出</w:t>
      </w:r>
      <w:r>
        <w:rPr>
          <w:rFonts w:hint="eastAsia" w:ascii="仿宋" w:hAnsi="仿宋" w:eastAsia="仿宋" w:cs="Tahoma"/>
          <w:kern w:val="0"/>
          <w:sz w:val="32"/>
          <w:szCs w:val="32"/>
          <w:lang w:val="en-US" w:eastAsia="zh-CN"/>
        </w:rPr>
        <w:t>0万元，主要是我局严格落实中央八项规定，</w:t>
      </w:r>
      <w:r>
        <w:rPr>
          <w:rFonts w:hint="eastAsia" w:ascii="仿宋" w:hAnsi="仿宋" w:eastAsia="仿宋" w:cs="Tahoma"/>
          <w:kern w:val="0"/>
          <w:sz w:val="32"/>
          <w:szCs w:val="32"/>
          <w:lang w:eastAsia="zh-CN"/>
        </w:rPr>
        <w:t>公务接待支出</w:t>
      </w:r>
      <w:r>
        <w:rPr>
          <w:rFonts w:hint="eastAsia" w:ascii="仿宋" w:hAnsi="仿宋" w:eastAsia="仿宋" w:cs="Tahoma"/>
          <w:kern w:val="0"/>
          <w:sz w:val="32"/>
          <w:szCs w:val="32"/>
          <w:lang w:val="en-US" w:eastAsia="zh-CN"/>
        </w:rPr>
        <w:t>按《桃江县党政机关国内公务接待管理实施细则（桃办公发[2020]3号）文件相关规定严格执行。</w:t>
      </w:r>
    </w:p>
    <w:p>
      <w:pPr>
        <w:widowControl/>
        <w:numPr>
          <w:ilvl w:val="0"/>
          <w:numId w:val="0"/>
        </w:numPr>
        <w:spacing w:line="560" w:lineRule="exact"/>
        <w:ind w:firstLine="640" w:firstLineChars="200"/>
        <w:jc w:val="left"/>
        <w:rPr>
          <w:rFonts w:hint="default" w:ascii="仿宋" w:hAnsi="仿宋" w:eastAsia="仿宋" w:cs="Tahoma"/>
          <w:kern w:val="0"/>
          <w:sz w:val="32"/>
          <w:szCs w:val="32"/>
          <w:lang w:val="en-US" w:eastAsia="zh-CN"/>
        </w:rPr>
      </w:pPr>
      <w:r>
        <w:rPr>
          <w:rFonts w:hint="eastAsia" w:ascii="仿宋" w:hAnsi="仿宋" w:eastAsia="仿宋" w:cs="Tahoma"/>
          <w:kern w:val="0"/>
          <w:sz w:val="32"/>
          <w:szCs w:val="32"/>
          <w:lang w:val="en-US" w:eastAsia="zh-CN"/>
        </w:rPr>
        <w:t>2021年基本支出3053.9万元，其中</w:t>
      </w:r>
      <w:r>
        <w:rPr>
          <w:rFonts w:hint="eastAsia" w:ascii="仿宋" w:hAnsi="仿宋" w:eastAsia="仿宋" w:cs="Tahoma"/>
          <w:kern w:val="0"/>
          <w:sz w:val="32"/>
          <w:szCs w:val="32"/>
        </w:rPr>
        <w:t>工资福利支出</w:t>
      </w:r>
      <w:r>
        <w:rPr>
          <w:rFonts w:hint="eastAsia" w:ascii="仿宋" w:hAnsi="仿宋" w:eastAsia="仿宋" w:cs="Tahoma"/>
          <w:kern w:val="0"/>
          <w:sz w:val="32"/>
          <w:szCs w:val="32"/>
          <w:lang w:val="en-US" w:eastAsia="zh-CN"/>
        </w:rPr>
        <w:t>2688.23</w:t>
      </w:r>
      <w:r>
        <w:rPr>
          <w:rFonts w:hint="eastAsia" w:ascii="仿宋" w:hAnsi="仿宋" w:eastAsia="仿宋" w:cs="Tahoma"/>
          <w:kern w:val="0"/>
          <w:sz w:val="32"/>
          <w:szCs w:val="32"/>
        </w:rPr>
        <w:t>万元、</w:t>
      </w:r>
      <w:r>
        <w:rPr>
          <w:rFonts w:hint="eastAsia" w:ascii="仿宋" w:hAnsi="仿宋" w:eastAsia="仿宋" w:cs="Tahoma"/>
          <w:kern w:val="0"/>
          <w:sz w:val="32"/>
          <w:szCs w:val="32"/>
          <w:lang w:eastAsia="zh-CN"/>
        </w:rPr>
        <w:t>商品服务支出</w:t>
      </w:r>
      <w:r>
        <w:rPr>
          <w:rFonts w:hint="eastAsia" w:ascii="仿宋" w:hAnsi="仿宋" w:eastAsia="仿宋" w:cs="Tahoma"/>
          <w:kern w:val="0"/>
          <w:sz w:val="32"/>
          <w:szCs w:val="32"/>
          <w:lang w:val="en-US" w:eastAsia="zh-CN"/>
        </w:rPr>
        <w:t>318.83</w:t>
      </w:r>
      <w:r>
        <w:rPr>
          <w:rFonts w:hint="eastAsia" w:ascii="仿宋" w:hAnsi="仿宋" w:eastAsia="仿宋" w:cs="Tahoma"/>
          <w:kern w:val="0"/>
          <w:sz w:val="32"/>
          <w:szCs w:val="32"/>
        </w:rPr>
        <w:t>万元、对个人和家庭的补助支出</w:t>
      </w:r>
      <w:r>
        <w:rPr>
          <w:rFonts w:hint="eastAsia" w:ascii="仿宋" w:hAnsi="仿宋" w:eastAsia="仿宋" w:cs="Tahoma"/>
          <w:kern w:val="0"/>
          <w:sz w:val="32"/>
          <w:szCs w:val="32"/>
          <w:lang w:val="en-US" w:eastAsia="zh-CN"/>
        </w:rPr>
        <w:t>41.43</w:t>
      </w:r>
      <w:r>
        <w:rPr>
          <w:rFonts w:hint="eastAsia" w:ascii="仿宋" w:hAnsi="仿宋" w:eastAsia="仿宋" w:cs="Tahoma"/>
          <w:kern w:val="0"/>
          <w:sz w:val="32"/>
          <w:szCs w:val="32"/>
        </w:rPr>
        <w:t>万元</w:t>
      </w:r>
      <w:r>
        <w:rPr>
          <w:rFonts w:hint="eastAsia" w:ascii="仿宋" w:hAnsi="仿宋" w:eastAsia="仿宋" w:cs="Tahoma"/>
          <w:kern w:val="0"/>
          <w:sz w:val="32"/>
          <w:szCs w:val="32"/>
          <w:lang w:eastAsia="zh-CN"/>
        </w:rPr>
        <w:t>、资本性支出</w:t>
      </w:r>
      <w:r>
        <w:rPr>
          <w:rFonts w:hint="eastAsia" w:ascii="仿宋" w:hAnsi="仿宋" w:eastAsia="仿宋" w:cs="Tahoma"/>
          <w:kern w:val="0"/>
          <w:sz w:val="32"/>
          <w:szCs w:val="32"/>
          <w:lang w:val="en-US" w:eastAsia="zh-CN"/>
        </w:rPr>
        <w:t>5.41万元</w:t>
      </w:r>
      <w:r>
        <w:rPr>
          <w:rFonts w:hint="eastAsia" w:ascii="仿宋" w:hAnsi="仿宋" w:eastAsia="仿宋" w:cs="Tahoma"/>
          <w:kern w:val="0"/>
          <w:sz w:val="32"/>
          <w:szCs w:val="32"/>
          <w:lang w:eastAsia="zh-CN"/>
        </w:rPr>
        <w:t>。基本支出比上年度增加</w:t>
      </w:r>
      <w:r>
        <w:rPr>
          <w:rFonts w:hint="eastAsia" w:ascii="仿宋" w:hAnsi="仿宋" w:eastAsia="仿宋" w:cs="Tahoma"/>
          <w:kern w:val="0"/>
          <w:sz w:val="32"/>
          <w:szCs w:val="32"/>
          <w:lang w:val="en-US" w:eastAsia="zh-CN"/>
        </w:rPr>
        <w:t>239.18万元，其中人员经费经费支出较上年增加212.5万元，主要是从住保中心调入17人。但一般公用经费支出比上年减少14.8万元，下降4.36%。2021年</w:t>
      </w:r>
      <w:r>
        <w:rPr>
          <w:rFonts w:hint="eastAsia" w:ascii="仿宋" w:hAnsi="仿宋" w:eastAsia="仿宋" w:cs="Tahoma"/>
          <w:kern w:val="0"/>
          <w:sz w:val="32"/>
          <w:szCs w:val="32"/>
          <w:lang w:eastAsia="zh-CN"/>
        </w:rPr>
        <w:t>三公经费预算数为</w:t>
      </w:r>
      <w:r>
        <w:rPr>
          <w:rFonts w:hint="eastAsia" w:ascii="仿宋" w:hAnsi="仿宋" w:eastAsia="仿宋" w:cs="Tahoma"/>
          <w:kern w:val="0"/>
          <w:sz w:val="32"/>
          <w:szCs w:val="32"/>
          <w:lang w:val="en-US" w:eastAsia="zh-CN"/>
        </w:rPr>
        <w:t>15.65万元，公务接待费用15.65万元，公车运行维护费用支出0万元</w:t>
      </w:r>
      <w:r>
        <w:rPr>
          <w:rFonts w:hint="eastAsia" w:ascii="仿宋" w:hAnsi="仿宋" w:eastAsia="仿宋" w:cs="Tahoma"/>
          <w:kern w:val="0"/>
          <w:sz w:val="32"/>
          <w:szCs w:val="32"/>
          <w:lang w:eastAsia="zh-CN"/>
        </w:rPr>
        <w:t>。</w:t>
      </w:r>
      <w:r>
        <w:rPr>
          <w:rFonts w:hint="eastAsia" w:ascii="仿宋" w:hAnsi="仿宋" w:eastAsia="仿宋" w:cs="Tahoma"/>
          <w:kern w:val="0"/>
          <w:sz w:val="32"/>
          <w:szCs w:val="32"/>
          <w:lang w:val="en-US" w:eastAsia="zh-CN"/>
        </w:rPr>
        <w:t>2021年公务接待费用实际支出1.19</w:t>
      </w:r>
      <w:r>
        <w:rPr>
          <w:rFonts w:hint="eastAsia" w:ascii="仿宋" w:hAnsi="仿宋" w:eastAsia="仿宋" w:cs="Tahoma"/>
          <w:kern w:val="0"/>
          <w:sz w:val="32"/>
          <w:szCs w:val="32"/>
          <w:lang w:eastAsia="zh-CN"/>
        </w:rPr>
        <w:t>万元，公车运行维护费用支出</w:t>
      </w:r>
      <w:r>
        <w:rPr>
          <w:rFonts w:hint="eastAsia" w:ascii="仿宋" w:hAnsi="仿宋" w:eastAsia="仿宋" w:cs="Tahoma"/>
          <w:kern w:val="0"/>
          <w:sz w:val="32"/>
          <w:szCs w:val="32"/>
          <w:lang w:val="en-US" w:eastAsia="zh-CN"/>
        </w:rPr>
        <w:t>0万元，主要是我局严格落实中央八项规定，</w:t>
      </w:r>
      <w:r>
        <w:rPr>
          <w:rFonts w:hint="eastAsia" w:ascii="仿宋" w:hAnsi="仿宋" w:eastAsia="仿宋" w:cs="Tahoma"/>
          <w:kern w:val="0"/>
          <w:sz w:val="32"/>
          <w:szCs w:val="32"/>
          <w:lang w:eastAsia="zh-CN"/>
        </w:rPr>
        <w:t>公务接待支出</w:t>
      </w:r>
      <w:r>
        <w:rPr>
          <w:rFonts w:hint="eastAsia" w:ascii="仿宋" w:hAnsi="仿宋" w:eastAsia="仿宋" w:cs="Tahoma"/>
          <w:kern w:val="0"/>
          <w:sz w:val="32"/>
          <w:szCs w:val="32"/>
          <w:lang w:val="en-US" w:eastAsia="zh-CN"/>
        </w:rPr>
        <w:t>按《桃江县党政机关国内公务接待管理实施细则（桃办公发[2020]3号）文件相关规定严格执行。</w:t>
      </w:r>
    </w:p>
    <w:p>
      <w:pPr>
        <w:widowControl/>
        <w:numPr>
          <w:ilvl w:val="0"/>
          <w:numId w:val="0"/>
        </w:numPr>
        <w:spacing w:line="560" w:lineRule="exact"/>
        <w:ind w:firstLine="643" w:firstLineChars="200"/>
        <w:jc w:val="left"/>
        <w:rPr>
          <w:rFonts w:hint="eastAsia" w:ascii="仿宋" w:hAnsi="仿宋" w:eastAsia="仿宋" w:cs="Tahoma"/>
          <w:b/>
          <w:bCs/>
          <w:kern w:val="0"/>
          <w:sz w:val="32"/>
          <w:szCs w:val="32"/>
          <w:lang w:eastAsia="zh-CN"/>
        </w:rPr>
      </w:pPr>
      <w:r>
        <w:rPr>
          <w:rFonts w:hint="eastAsia" w:ascii="仿宋" w:hAnsi="仿宋" w:eastAsia="仿宋" w:cs="Tahoma"/>
          <w:b/>
          <w:bCs/>
          <w:kern w:val="0"/>
          <w:sz w:val="32"/>
          <w:szCs w:val="32"/>
          <w:lang w:eastAsia="zh-CN"/>
        </w:rPr>
        <w:t>（二）项目支出</w:t>
      </w:r>
      <w:r>
        <w:rPr>
          <w:rFonts w:hint="eastAsia" w:ascii="仿宋" w:hAnsi="仿宋" w:eastAsia="仿宋" w:cs="Tahoma"/>
          <w:b/>
          <w:bCs/>
          <w:kern w:val="0"/>
          <w:sz w:val="32"/>
          <w:szCs w:val="32"/>
          <w:lang w:eastAsia="zh-CN"/>
        </w:rPr>
        <w:tab/>
      </w:r>
    </w:p>
    <w:p>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1.项目资金安排落实、总投入等情况分析。</w:t>
      </w:r>
    </w:p>
    <w:p>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部门整体支出</w:t>
      </w:r>
      <w:r>
        <w:rPr>
          <w:rFonts w:hint="eastAsia" w:ascii="仿宋" w:hAnsi="仿宋" w:eastAsia="仿宋" w:cs="Tahoma"/>
          <w:kern w:val="0"/>
          <w:sz w:val="32"/>
          <w:szCs w:val="32"/>
          <w:lang w:val="en-US" w:eastAsia="zh-CN"/>
        </w:rPr>
        <w:t>中项目</w:t>
      </w:r>
      <w:r>
        <w:rPr>
          <w:rFonts w:hint="eastAsia" w:ascii="仿宋" w:hAnsi="仿宋" w:eastAsia="仿宋" w:cs="Tahoma"/>
          <w:kern w:val="0"/>
          <w:sz w:val="32"/>
          <w:szCs w:val="32"/>
          <w:lang w:eastAsia="zh-CN"/>
        </w:rPr>
        <w:t>支出财政资金年初预算</w:t>
      </w:r>
      <w:r>
        <w:rPr>
          <w:rFonts w:hint="eastAsia" w:ascii="仿宋" w:hAnsi="仿宋" w:eastAsia="仿宋" w:cs="Tahoma"/>
          <w:kern w:val="0"/>
          <w:sz w:val="32"/>
          <w:szCs w:val="32"/>
          <w:lang w:val="en-US" w:eastAsia="zh-CN"/>
        </w:rPr>
        <w:t>2877.2万元，年中追加1721.24万元，</w:t>
      </w:r>
      <w:r>
        <w:rPr>
          <w:rFonts w:hint="eastAsia" w:ascii="仿宋" w:hAnsi="仿宋" w:eastAsia="仿宋" w:cs="Tahoma"/>
          <w:kern w:val="0"/>
          <w:sz w:val="32"/>
          <w:szCs w:val="32"/>
          <w:lang w:eastAsia="zh-CN"/>
        </w:rPr>
        <w:t>总投入</w:t>
      </w:r>
      <w:r>
        <w:rPr>
          <w:rFonts w:hint="eastAsia" w:ascii="仿宋" w:hAnsi="仿宋" w:eastAsia="仿宋" w:cs="Tahoma"/>
          <w:kern w:val="0"/>
          <w:sz w:val="32"/>
          <w:szCs w:val="32"/>
          <w:lang w:val="en-US" w:eastAsia="zh-CN"/>
        </w:rPr>
        <w:t>4598.44万元，</w:t>
      </w:r>
      <w:r>
        <w:rPr>
          <w:rFonts w:hint="eastAsia" w:ascii="仿宋" w:hAnsi="仿宋" w:eastAsia="仿宋" w:cs="Tahoma"/>
          <w:kern w:val="0"/>
          <w:sz w:val="32"/>
          <w:szCs w:val="32"/>
          <w:lang w:eastAsia="zh-CN"/>
        </w:rPr>
        <w:t>主要项目如下：</w:t>
      </w:r>
    </w:p>
    <w:p>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路灯电费：</w:t>
      </w:r>
      <w:r>
        <w:rPr>
          <w:rFonts w:hint="eastAsia" w:ascii="仿宋" w:hAnsi="仿宋" w:eastAsia="仿宋" w:cs="Tahoma"/>
          <w:kern w:val="0"/>
          <w:sz w:val="32"/>
          <w:szCs w:val="32"/>
          <w:lang w:val="en-US" w:eastAsia="zh-CN"/>
        </w:rPr>
        <w:t>350</w:t>
      </w:r>
      <w:r>
        <w:rPr>
          <w:rFonts w:hint="eastAsia" w:ascii="仿宋" w:hAnsi="仿宋" w:eastAsia="仿宋" w:cs="Tahoma"/>
          <w:kern w:val="0"/>
          <w:sz w:val="32"/>
          <w:szCs w:val="32"/>
          <w:lang w:eastAsia="zh-CN"/>
        </w:rPr>
        <w:t>万元</w:t>
      </w:r>
    </w:p>
    <w:p>
      <w:pPr>
        <w:widowControl/>
        <w:numPr>
          <w:ilvl w:val="0"/>
          <w:numId w:val="0"/>
        </w:numPr>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eastAsia="zh-CN"/>
        </w:rPr>
        <w:t>路灯维修费：</w:t>
      </w:r>
      <w:r>
        <w:rPr>
          <w:rFonts w:hint="eastAsia" w:ascii="仿宋" w:hAnsi="仿宋" w:eastAsia="仿宋" w:cs="Tahoma"/>
          <w:kern w:val="0"/>
          <w:sz w:val="32"/>
          <w:szCs w:val="32"/>
          <w:lang w:val="en-US" w:eastAsia="zh-CN"/>
        </w:rPr>
        <w:t>100万元</w:t>
      </w:r>
    </w:p>
    <w:p>
      <w:pPr>
        <w:widowControl/>
        <w:numPr>
          <w:ilvl w:val="0"/>
          <w:numId w:val="0"/>
        </w:numPr>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eastAsia="zh-CN"/>
        </w:rPr>
        <w:t>城管协管专项经费：</w:t>
      </w:r>
      <w:r>
        <w:rPr>
          <w:rFonts w:hint="eastAsia" w:ascii="仿宋" w:hAnsi="仿宋" w:eastAsia="仿宋" w:cs="Tahoma"/>
          <w:kern w:val="0"/>
          <w:sz w:val="32"/>
          <w:szCs w:val="32"/>
          <w:lang w:val="en-US" w:eastAsia="zh-CN"/>
        </w:rPr>
        <w:t>120万元</w:t>
      </w:r>
    </w:p>
    <w:p>
      <w:pPr>
        <w:widowControl/>
        <w:numPr>
          <w:ilvl w:val="0"/>
          <w:numId w:val="0"/>
        </w:numPr>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val="en-US" w:eastAsia="zh-CN"/>
        </w:rPr>
        <w:t xml:space="preserve">城管专项整治经费：95万元 </w:t>
      </w:r>
    </w:p>
    <w:p>
      <w:pPr>
        <w:widowControl/>
        <w:numPr>
          <w:ilvl w:val="0"/>
          <w:numId w:val="0"/>
        </w:numPr>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val="en-US" w:eastAsia="zh-CN"/>
        </w:rPr>
        <w:t>2020年非税体制结算：848.09万元</w:t>
      </w:r>
    </w:p>
    <w:p>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清扫保洁专项经费：</w:t>
      </w:r>
      <w:r>
        <w:rPr>
          <w:rFonts w:hint="eastAsia" w:ascii="仿宋" w:hAnsi="仿宋" w:eastAsia="仿宋" w:cs="Tahoma"/>
          <w:kern w:val="0"/>
          <w:sz w:val="32"/>
          <w:szCs w:val="32"/>
          <w:lang w:val="en-US" w:eastAsia="zh-CN"/>
        </w:rPr>
        <w:t>1754.25</w:t>
      </w:r>
      <w:r>
        <w:rPr>
          <w:rFonts w:hint="eastAsia" w:ascii="仿宋" w:hAnsi="仿宋" w:eastAsia="仿宋" w:cs="Tahoma"/>
          <w:kern w:val="0"/>
          <w:sz w:val="32"/>
          <w:szCs w:val="32"/>
          <w:lang w:eastAsia="zh-CN"/>
        </w:rPr>
        <w:t>万元</w:t>
      </w:r>
    </w:p>
    <w:p>
      <w:pPr>
        <w:widowControl/>
        <w:numPr>
          <w:ilvl w:val="0"/>
          <w:numId w:val="0"/>
        </w:numPr>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eastAsia="zh-CN"/>
        </w:rPr>
        <w:t>微工程清扫保洁市场承包经费：</w:t>
      </w:r>
      <w:r>
        <w:rPr>
          <w:rFonts w:hint="eastAsia" w:ascii="仿宋" w:hAnsi="仿宋" w:eastAsia="仿宋" w:cs="Tahoma"/>
          <w:kern w:val="0"/>
          <w:sz w:val="32"/>
          <w:szCs w:val="32"/>
          <w:lang w:val="en-US" w:eastAsia="zh-CN"/>
        </w:rPr>
        <w:t>84万元</w:t>
      </w:r>
    </w:p>
    <w:p>
      <w:pPr>
        <w:widowControl/>
        <w:numPr>
          <w:ilvl w:val="0"/>
          <w:numId w:val="0"/>
        </w:numPr>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eastAsia="zh-CN"/>
        </w:rPr>
        <w:t>垃圾场日常运行经费：</w:t>
      </w:r>
      <w:r>
        <w:rPr>
          <w:rFonts w:hint="eastAsia" w:ascii="仿宋" w:hAnsi="仿宋" w:eastAsia="仿宋" w:cs="Tahoma"/>
          <w:kern w:val="0"/>
          <w:sz w:val="32"/>
          <w:szCs w:val="32"/>
          <w:lang w:val="en-US" w:eastAsia="zh-CN"/>
        </w:rPr>
        <w:t>368.43万元</w:t>
      </w:r>
    </w:p>
    <w:p>
      <w:pPr>
        <w:widowControl/>
        <w:numPr>
          <w:ilvl w:val="0"/>
          <w:numId w:val="0"/>
        </w:numPr>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eastAsia="zh-CN"/>
        </w:rPr>
        <w:t>垃圾处理服务费及转运费用：</w:t>
      </w:r>
      <w:r>
        <w:rPr>
          <w:rFonts w:hint="eastAsia" w:ascii="仿宋" w:hAnsi="仿宋" w:eastAsia="仿宋" w:cs="Tahoma"/>
          <w:kern w:val="0"/>
          <w:sz w:val="32"/>
          <w:szCs w:val="32"/>
          <w:lang w:val="en-US" w:eastAsia="zh-CN"/>
        </w:rPr>
        <w:t>384万元</w:t>
      </w:r>
    </w:p>
    <w:p>
      <w:pPr>
        <w:widowControl/>
        <w:numPr>
          <w:ilvl w:val="0"/>
          <w:numId w:val="0"/>
        </w:numPr>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eastAsia="zh-CN"/>
        </w:rPr>
        <w:t>四个污水提升泵站电费及日常维护费：</w:t>
      </w:r>
      <w:r>
        <w:rPr>
          <w:rFonts w:hint="eastAsia" w:ascii="仿宋" w:hAnsi="仿宋" w:eastAsia="仿宋" w:cs="Tahoma"/>
          <w:kern w:val="0"/>
          <w:sz w:val="32"/>
          <w:szCs w:val="32"/>
          <w:lang w:val="en-US" w:eastAsia="zh-CN"/>
        </w:rPr>
        <w:t>134.99万元</w:t>
      </w:r>
    </w:p>
    <w:p>
      <w:pPr>
        <w:widowControl/>
        <w:numPr>
          <w:ilvl w:val="0"/>
          <w:numId w:val="0"/>
        </w:numPr>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eastAsia="zh-CN"/>
        </w:rPr>
        <w:t>环卫设施冲洗站、垃圾中转站建设</w:t>
      </w:r>
      <w:r>
        <w:rPr>
          <w:rFonts w:hint="eastAsia" w:ascii="仿宋" w:hAnsi="仿宋" w:eastAsia="仿宋" w:cs="Tahoma"/>
          <w:kern w:val="0"/>
          <w:sz w:val="32"/>
          <w:szCs w:val="32"/>
          <w:lang w:val="en-US" w:eastAsia="zh-CN"/>
        </w:rPr>
        <w:t>91.8万元</w:t>
      </w:r>
    </w:p>
    <w:p>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其他各项综合支出：</w:t>
      </w:r>
      <w:r>
        <w:rPr>
          <w:rFonts w:hint="eastAsia" w:ascii="仿宋" w:hAnsi="仿宋" w:eastAsia="仿宋" w:cs="Tahoma"/>
          <w:kern w:val="0"/>
          <w:sz w:val="32"/>
          <w:szCs w:val="32"/>
          <w:lang w:val="en-US" w:eastAsia="zh-CN"/>
        </w:rPr>
        <w:t>267.88</w:t>
      </w:r>
      <w:r>
        <w:rPr>
          <w:rFonts w:hint="eastAsia" w:ascii="仿宋" w:hAnsi="仿宋" w:eastAsia="仿宋" w:cs="Tahoma"/>
          <w:kern w:val="0"/>
          <w:sz w:val="32"/>
          <w:szCs w:val="32"/>
          <w:lang w:eastAsia="zh-CN"/>
        </w:rPr>
        <w:t>万元，包括其他事业费、路灯智能监控设备维护费、路灯特种车辆维护费、三级联动办工作经费、环卫工人节经费、国庆摆花等。</w:t>
      </w:r>
    </w:p>
    <w:p>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val="en-US" w:eastAsia="zh-CN"/>
        </w:rPr>
        <w:t>2.</w:t>
      </w:r>
      <w:r>
        <w:rPr>
          <w:rFonts w:hint="eastAsia" w:ascii="仿宋" w:hAnsi="仿宋" w:eastAsia="仿宋" w:cs="Tahoma"/>
          <w:kern w:val="0"/>
          <w:sz w:val="32"/>
          <w:szCs w:val="32"/>
          <w:lang w:eastAsia="zh-CN"/>
        </w:rPr>
        <w:t>项目资金（财政资金）实际使用情况分析。</w:t>
      </w:r>
    </w:p>
    <w:p>
      <w:pPr>
        <w:widowControl/>
        <w:numPr>
          <w:ilvl w:val="0"/>
          <w:numId w:val="0"/>
        </w:numPr>
        <w:spacing w:line="560" w:lineRule="exact"/>
        <w:ind w:firstLine="640" w:firstLineChars="200"/>
        <w:jc w:val="left"/>
        <w:rPr>
          <w:rFonts w:hint="default" w:ascii="仿宋" w:hAnsi="仿宋" w:eastAsia="仿宋" w:cs="Tahoma"/>
          <w:kern w:val="0"/>
          <w:sz w:val="32"/>
          <w:szCs w:val="32"/>
          <w:lang w:val="en-US" w:eastAsia="zh-CN"/>
        </w:rPr>
      </w:pPr>
      <w:r>
        <w:rPr>
          <w:rFonts w:hint="eastAsia" w:ascii="仿宋" w:hAnsi="仿宋" w:eastAsia="仿宋" w:cs="Tahoma"/>
          <w:kern w:val="0"/>
          <w:sz w:val="32"/>
          <w:szCs w:val="32"/>
          <w:lang w:val="en-US" w:eastAsia="zh-CN"/>
        </w:rPr>
        <w:t>2021年项目资金用于支出办公费63.89万元，印刷费2.25万元，水费2.69万元，手续费11.16万元，电费537.01万元，邮电费0.81万元，差旅费18.67万元，维修维护费297.06万元，租赁费25.14万元，公务接待费0.64万元，劳务费2309.02万元，委托业务费831.17万元，工会经费13.56万元，其他交通费160.22万元，其他商品和服务支出61.06万元，资本性支出225.66万元。</w:t>
      </w:r>
      <w:bookmarkStart w:id="0" w:name="_GoBack"/>
      <w:bookmarkEnd w:id="0"/>
    </w:p>
    <w:p>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val="en-US" w:eastAsia="zh-CN"/>
        </w:rPr>
        <w:t>3.</w:t>
      </w:r>
      <w:r>
        <w:rPr>
          <w:rFonts w:hint="eastAsia" w:ascii="仿宋" w:hAnsi="仿宋" w:eastAsia="仿宋" w:cs="Tahoma"/>
          <w:kern w:val="0"/>
          <w:sz w:val="32"/>
          <w:szCs w:val="32"/>
          <w:lang w:eastAsia="zh-CN"/>
        </w:rPr>
        <w:t>项目资金管理情况分析。</w:t>
      </w:r>
    </w:p>
    <w:p>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按照我局</w:t>
      </w:r>
      <w:r>
        <w:rPr>
          <w:rFonts w:hint="eastAsia" w:ascii="仿宋" w:hAnsi="仿宋" w:eastAsia="仿宋" w:cs="Tahoma"/>
          <w:kern w:val="0"/>
          <w:sz w:val="32"/>
          <w:szCs w:val="32"/>
          <w:lang w:val="en-US" w:eastAsia="zh-CN"/>
        </w:rPr>
        <w:t>《财务管理制度》、《项目资金管理办法》规定项目</w:t>
      </w:r>
      <w:r>
        <w:rPr>
          <w:rFonts w:hint="eastAsia" w:ascii="仿宋" w:hAnsi="仿宋" w:eastAsia="仿宋" w:cs="Tahoma"/>
          <w:kern w:val="0"/>
          <w:sz w:val="32"/>
          <w:szCs w:val="32"/>
          <w:lang w:eastAsia="zh-CN"/>
        </w:rPr>
        <w:t>资金支出应紧密结合单位当年主要职责任务、工作目标及事业发展设想，并充分考虑单位财力，本着实事求是，从严从紧、区别轻重缓急，急事优先的原则按序安排支出事项。</w:t>
      </w:r>
    </w:p>
    <w:p>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黑体" w:hAnsi="黑体" w:eastAsia="黑体" w:cs="黑体"/>
          <w:kern w:val="0"/>
          <w:sz w:val="32"/>
          <w:szCs w:val="32"/>
          <w:lang w:eastAsia="zh-CN"/>
        </w:rPr>
        <w:t>三、项目组织实施情况分析</w:t>
      </w:r>
    </w:p>
    <w:p>
      <w:pPr>
        <w:widowControl/>
        <w:spacing w:line="594" w:lineRule="exact"/>
        <w:ind w:firstLine="640" w:firstLineChars="200"/>
        <w:rPr>
          <w:kern w:val="0"/>
          <w:szCs w:val="32"/>
        </w:rPr>
      </w:pPr>
      <w:r>
        <w:rPr>
          <w:kern w:val="0"/>
          <w:szCs w:val="32"/>
        </w:rPr>
        <w:t>（一）项目组织情况分析</w:t>
      </w:r>
    </w:p>
    <w:p>
      <w:pPr>
        <w:widowControl/>
        <w:numPr>
          <w:ilvl w:val="0"/>
          <w:numId w:val="0"/>
        </w:numPr>
        <w:spacing w:line="560" w:lineRule="exact"/>
        <w:ind w:firstLine="640" w:firstLineChars="200"/>
        <w:jc w:val="left"/>
        <w:rPr>
          <w:rFonts w:hint="default" w:eastAsia="仿宋_GB2312"/>
          <w:kern w:val="0"/>
          <w:szCs w:val="32"/>
          <w:lang w:val="en-US" w:eastAsia="zh-CN"/>
        </w:rPr>
      </w:pPr>
      <w:r>
        <w:rPr>
          <w:rFonts w:hint="eastAsia"/>
          <w:kern w:val="0"/>
          <w:szCs w:val="32"/>
          <w:lang w:eastAsia="zh-CN"/>
        </w:rPr>
        <w:t>我局项目为大多常年支出项目，其中路灯电费、垃圾场日常运行经费、污水提升泵站电费及日常维护根据上年度实际支出情况预算本年度支出，非税体制结算根据上年度非税完成情况下拨结算预算指标，主要用于弥补单位经费不足。城管协管经费、其他事业费、</w:t>
      </w:r>
      <w:r>
        <w:rPr>
          <w:rFonts w:hint="eastAsia" w:ascii="仿宋" w:hAnsi="仿宋" w:eastAsia="仿宋" w:cs="Tahoma"/>
          <w:kern w:val="0"/>
          <w:sz w:val="32"/>
          <w:szCs w:val="32"/>
          <w:lang w:eastAsia="zh-CN"/>
        </w:rPr>
        <w:t>路灯智能监控设备维护费、路灯特种车辆维护费、三级联动办工作经费每年支出固定。</w:t>
      </w:r>
      <w:r>
        <w:rPr>
          <w:rFonts w:hint="eastAsia"/>
          <w:kern w:val="0"/>
          <w:szCs w:val="32"/>
          <w:lang w:eastAsia="zh-CN"/>
        </w:rPr>
        <w:t>清扫保洁专项经费、</w:t>
      </w:r>
      <w:r>
        <w:rPr>
          <w:rFonts w:hint="eastAsia" w:ascii="仿宋" w:hAnsi="仿宋" w:eastAsia="仿宋" w:cs="Tahoma"/>
          <w:kern w:val="0"/>
          <w:sz w:val="32"/>
          <w:szCs w:val="32"/>
          <w:lang w:eastAsia="zh-CN"/>
        </w:rPr>
        <w:t>微工程清扫保洁市场承包</w:t>
      </w:r>
      <w:r>
        <w:rPr>
          <w:rFonts w:hint="eastAsia"/>
          <w:kern w:val="0"/>
          <w:szCs w:val="32"/>
          <w:lang w:eastAsia="zh-CN"/>
        </w:rPr>
        <w:t>费、</w:t>
      </w:r>
      <w:r>
        <w:rPr>
          <w:rFonts w:hint="eastAsia" w:ascii="仿宋" w:hAnsi="仿宋" w:eastAsia="仿宋" w:cs="Tahoma"/>
          <w:kern w:val="0"/>
          <w:sz w:val="32"/>
          <w:szCs w:val="32"/>
          <w:lang w:eastAsia="zh-CN"/>
        </w:rPr>
        <w:t>垃圾处理服务费及转运费用</w:t>
      </w:r>
      <w:r>
        <w:rPr>
          <w:rFonts w:hint="eastAsia"/>
          <w:kern w:val="0"/>
          <w:szCs w:val="32"/>
          <w:lang w:eastAsia="zh-CN"/>
        </w:rPr>
        <w:t>根据合同情况预算本年度支出。</w:t>
      </w:r>
    </w:p>
    <w:p>
      <w:pPr>
        <w:widowControl/>
        <w:numPr>
          <w:ilvl w:val="0"/>
          <w:numId w:val="0"/>
        </w:numPr>
        <w:spacing w:line="594" w:lineRule="exact"/>
        <w:ind w:left="646" w:leftChars="0"/>
        <w:rPr>
          <w:kern w:val="0"/>
          <w:szCs w:val="32"/>
        </w:rPr>
      </w:pPr>
      <w:r>
        <w:rPr>
          <w:rFonts w:hint="eastAsia"/>
          <w:kern w:val="0"/>
          <w:szCs w:val="32"/>
          <w:lang w:eastAsia="zh-CN"/>
        </w:rPr>
        <w:t>（二）</w:t>
      </w:r>
      <w:r>
        <w:rPr>
          <w:kern w:val="0"/>
          <w:szCs w:val="32"/>
        </w:rPr>
        <w:t>项目管理情况分析</w:t>
      </w:r>
    </w:p>
    <w:p>
      <w:pPr>
        <w:pStyle w:val="5"/>
        <w:widowControl w:val="0"/>
        <w:shd w:val="clear" w:color="auto" w:fill="FFFFFF"/>
        <w:spacing w:line="560" w:lineRule="exact"/>
        <w:ind w:firstLine="640" w:firstLineChars="200"/>
        <w:jc w:val="both"/>
        <w:rPr>
          <w:rFonts w:hint="eastAsia" w:ascii="仿宋" w:hAnsi="仿宋" w:eastAsia="仿宋"/>
          <w:color w:val="333333"/>
          <w:sz w:val="32"/>
          <w:szCs w:val="32"/>
        </w:rPr>
      </w:pPr>
      <w:r>
        <w:rPr>
          <w:rFonts w:hint="eastAsia" w:ascii="仿宋" w:hAnsi="仿宋" w:eastAsia="仿宋" w:cs="仿宋"/>
          <w:kern w:val="0"/>
          <w:sz w:val="32"/>
          <w:szCs w:val="32"/>
          <w:lang w:eastAsia="zh-CN"/>
        </w:rPr>
        <w:t>为加强项目（专项）资金管理，我局制定了</w:t>
      </w:r>
      <w:r>
        <w:rPr>
          <w:rFonts w:hint="eastAsia" w:ascii="仿宋" w:hAnsi="仿宋" w:eastAsia="仿宋" w:cs="仿宋"/>
          <w:kern w:val="0"/>
          <w:sz w:val="32"/>
          <w:szCs w:val="32"/>
          <w:lang w:val="en-US" w:eastAsia="zh-CN"/>
        </w:rPr>
        <w:t>《专项</w:t>
      </w:r>
      <w:r>
        <w:rPr>
          <w:rFonts w:hint="eastAsia" w:ascii="仿宋" w:hAnsi="仿宋" w:eastAsia="仿宋" w:cs="Tahoma"/>
          <w:kern w:val="0"/>
          <w:sz w:val="32"/>
          <w:szCs w:val="32"/>
          <w:lang w:val="en-US" w:eastAsia="zh-CN"/>
        </w:rPr>
        <w:t>资金管理办法》，对</w:t>
      </w:r>
      <w:r>
        <w:rPr>
          <w:rFonts w:hint="eastAsia" w:ascii="仿宋" w:hAnsi="仿宋" w:eastAsia="仿宋"/>
          <w:color w:val="000000"/>
          <w:sz w:val="32"/>
          <w:szCs w:val="32"/>
        </w:rPr>
        <w:t>县财政局下达的单位部门预算、城维费预算中的具有指定项目和用途的资金</w:t>
      </w:r>
      <w:r>
        <w:rPr>
          <w:rFonts w:hint="eastAsia" w:ascii="仿宋" w:hAnsi="仿宋" w:eastAsia="仿宋"/>
          <w:color w:val="000000"/>
          <w:sz w:val="32"/>
          <w:szCs w:val="32"/>
          <w:lang w:eastAsia="zh-CN"/>
        </w:rPr>
        <w:t>加强管理</w:t>
      </w:r>
      <w:r>
        <w:rPr>
          <w:rFonts w:hint="eastAsia" w:ascii="仿宋" w:hAnsi="仿宋" w:eastAsia="仿宋"/>
          <w:color w:val="000000"/>
          <w:sz w:val="32"/>
          <w:szCs w:val="32"/>
        </w:rPr>
        <w:t>，项目从立项、执行、完工到运营的全过程接受县城市管理行政执法局及财政、审计等部门的管理和监督。</w:t>
      </w:r>
    </w:p>
    <w:p>
      <w:pPr>
        <w:widowControl/>
        <w:spacing w:line="594" w:lineRule="exact"/>
        <w:ind w:firstLine="640" w:firstLineChars="200"/>
        <w:rPr>
          <w:rFonts w:eastAsia="黑体"/>
          <w:bCs/>
          <w:kern w:val="0"/>
          <w:szCs w:val="32"/>
        </w:rPr>
      </w:pPr>
      <w:r>
        <w:rPr>
          <w:rFonts w:eastAsia="黑体"/>
          <w:bCs/>
          <w:kern w:val="0"/>
          <w:szCs w:val="32"/>
        </w:rPr>
        <w:t>四、部门整体支出绩效情况分析</w:t>
      </w:r>
    </w:p>
    <w:p>
      <w:pPr>
        <w:widowControl/>
        <w:spacing w:line="594" w:lineRule="exact"/>
        <w:ind w:firstLine="643" w:firstLineChars="200"/>
        <w:rPr>
          <w:rFonts w:hint="eastAsia"/>
          <w:kern w:val="0"/>
          <w:szCs w:val="32"/>
          <w:lang w:eastAsia="zh-CN"/>
        </w:rPr>
      </w:pPr>
      <w:r>
        <w:rPr>
          <w:rFonts w:hint="eastAsia"/>
          <w:b/>
          <w:bCs/>
          <w:kern w:val="0"/>
          <w:szCs w:val="32"/>
          <w:lang w:eastAsia="zh-CN"/>
        </w:rPr>
        <w:t>（一）经济性分析</w:t>
      </w:r>
    </w:p>
    <w:p>
      <w:pPr>
        <w:pStyle w:val="9"/>
        <w:spacing w:before="0" w:beforeAutospacing="0" w:after="2" w:afterAutospacing="0"/>
        <w:ind w:left="0" w:firstLine="641"/>
        <w:rPr>
          <w:rFonts w:hint="eastAsia" w:ascii="仿宋" w:hAnsi="仿宋" w:eastAsia="仿宋" w:cs="仿宋"/>
          <w:sz w:val="27"/>
          <w:szCs w:val="27"/>
        </w:rPr>
      </w:pPr>
      <w:r>
        <w:rPr>
          <w:rFonts w:hint="eastAsia" w:ascii="仿宋" w:hAnsi="仿宋" w:eastAsia="仿宋" w:cs="仿宋"/>
          <w:color w:val="000000"/>
          <w:sz w:val="32"/>
          <w:szCs w:val="32"/>
        </w:rPr>
        <w:t>2021年度财政拨款收、支总计7,535.56万元，其中：一般公共预算财政拨款7,435.56万元，政府性基金财政拨款100万元。与上一年度相比，财政拨款收、支总计各增加346.89万元，增长4.83%。主要是因为一是年中追加环卫设施冲洗站、垃圾中转站建设项目（2021年一般债券安排的支出）91.8万元；二是年中追加清扫保洁费用197.48万；三是年中追加县城区生活垃圾处理费、转运费384万元，而其他项目根据工作实际各有增减；四是行政运行经费中人员经费支出比上年度减少。2021年度财政拨款基本支出2,937.12万元，其中：人员经费2,623.71万元，占基本支出的89.33%，主要包括：基本工资、津贴补贴、奖金、伙食补助费、绩效工资、机关事业单位基本养老保险缴费、职业年金缴费、职工基本医疗保险缴费、其他社会保障缴费、住房公积金、医疗费、其他工资福利支出、抚恤金、生活补助、救济费、医疗费补助、奖励金、其他对个人和家庭的补助。公用经费313.42万元，占基本支出的10.67%，主要包括：办公设备购置、专用设备购置、办公费、印刷费、咨询费、手续费、水费、电费、邮电费、物业管理费、差旅费、维修（护）费、租赁费、培训费、公务接待费、劳务费、委托业务费、工会经费、其他交通费用、其他商品和服务支出。</w:t>
      </w:r>
      <w:r>
        <w:rPr>
          <w:rFonts w:hint="eastAsia" w:ascii="仿宋" w:hAnsi="仿宋" w:eastAsia="仿宋" w:cs="仿宋"/>
          <w:color w:val="000000"/>
          <w:sz w:val="27"/>
          <w:szCs w:val="27"/>
        </w:rPr>
        <w:t xml:space="preserve"> </w:t>
      </w:r>
    </w:p>
    <w:p>
      <w:pPr>
        <w:pStyle w:val="9"/>
        <w:spacing w:before="0" w:beforeAutospacing="0" w:after="2" w:afterAutospacing="0"/>
        <w:ind w:left="0" w:firstLine="640"/>
        <w:rPr>
          <w:rFonts w:hint="eastAsia" w:ascii="仿宋" w:hAnsi="仿宋" w:eastAsia="仿宋" w:cs="仿宋"/>
          <w:sz w:val="27"/>
          <w:szCs w:val="27"/>
        </w:rPr>
      </w:pPr>
      <w:r>
        <w:rPr>
          <w:rFonts w:hint="eastAsia" w:ascii="仿宋" w:hAnsi="仿宋" w:eastAsia="仿宋" w:cs="仿宋"/>
          <w:color w:val="000000"/>
          <w:sz w:val="32"/>
          <w:szCs w:val="32"/>
        </w:rPr>
        <w:t>公务接待费支出预算为</w:t>
      </w:r>
      <w:r>
        <w:rPr>
          <w:rFonts w:hint="eastAsia" w:ascii="仿宋" w:hAnsi="仿宋" w:eastAsia="仿宋" w:cs="仿宋"/>
          <w:color w:val="000000"/>
          <w:sz w:val="32"/>
          <w:szCs w:val="32"/>
          <w:lang w:val="en-US" w:eastAsia="zh-CN"/>
        </w:rPr>
        <w:t>15.65</w:t>
      </w:r>
      <w:r>
        <w:rPr>
          <w:rFonts w:hint="eastAsia" w:ascii="仿宋" w:hAnsi="仿宋" w:eastAsia="仿宋" w:cs="仿宋"/>
          <w:color w:val="000000"/>
          <w:sz w:val="32"/>
          <w:szCs w:val="32"/>
        </w:rPr>
        <w:t>万元，支出决算为1.19万元，完成预算的</w:t>
      </w:r>
      <w:r>
        <w:rPr>
          <w:rFonts w:hint="eastAsia" w:ascii="仿宋" w:hAnsi="仿宋" w:eastAsia="仿宋" w:cs="仿宋"/>
          <w:color w:val="000000"/>
          <w:sz w:val="32"/>
          <w:szCs w:val="32"/>
          <w:lang w:val="en-US" w:eastAsia="zh-CN"/>
        </w:rPr>
        <w:t>7.6</w:t>
      </w:r>
      <w:r>
        <w:rPr>
          <w:rFonts w:hint="eastAsia" w:ascii="仿宋" w:hAnsi="仿宋" w:eastAsia="仿宋" w:cs="仿宋"/>
          <w:color w:val="000000"/>
          <w:sz w:val="32"/>
          <w:szCs w:val="32"/>
        </w:rPr>
        <w:t>%，决算数小于预算数的主要原因是落实中央八项规定及相关文件有关精神要求，压缩公务接待费用支出 ，与上年相比减少0.46万元，下降27.88%，下降的主要原因是严格公务接待管理，按有关文件要求控制公务接待支出。</w:t>
      </w:r>
    </w:p>
    <w:p>
      <w:pPr>
        <w:pStyle w:val="9"/>
        <w:spacing w:before="0" w:beforeAutospacing="0" w:after="2" w:afterAutospacing="0"/>
        <w:ind w:left="0" w:firstLine="640"/>
        <w:rPr>
          <w:rFonts w:hint="eastAsia" w:ascii="仿宋" w:hAnsi="仿宋" w:eastAsia="仿宋" w:cs="仿宋"/>
          <w:sz w:val="27"/>
          <w:szCs w:val="27"/>
        </w:rPr>
      </w:pPr>
      <w:r>
        <w:rPr>
          <w:rFonts w:hint="eastAsia" w:ascii="仿宋" w:hAnsi="仿宋" w:eastAsia="仿宋" w:cs="仿宋"/>
          <w:color w:val="000000"/>
          <w:sz w:val="32"/>
          <w:szCs w:val="32"/>
        </w:rPr>
        <w:t>公务用车购置费支出预算为0万元，支出决算为0万元，决算数与预算数一致，我单位严格按预算执行决算，公务用车购置费支出与上年持平。</w:t>
      </w:r>
      <w:r>
        <w:rPr>
          <w:rFonts w:hint="eastAsia" w:ascii="仿宋" w:hAnsi="仿宋" w:eastAsia="仿宋" w:cs="仿宋"/>
          <w:color w:val="000000"/>
          <w:sz w:val="27"/>
          <w:szCs w:val="27"/>
        </w:rPr>
        <w:t xml:space="preserve"> </w:t>
      </w:r>
    </w:p>
    <w:p>
      <w:pPr>
        <w:pStyle w:val="9"/>
        <w:spacing w:before="0" w:beforeAutospacing="0" w:after="2" w:afterAutospacing="0"/>
        <w:ind w:left="0" w:firstLine="640"/>
        <w:rPr>
          <w:rFonts w:hint="eastAsia" w:ascii="仿宋" w:hAnsi="仿宋" w:eastAsia="仿宋" w:cs="仿宋"/>
          <w:sz w:val="27"/>
          <w:szCs w:val="27"/>
          <w:lang w:eastAsia="zh-CN"/>
        </w:rPr>
      </w:pPr>
      <w:r>
        <w:rPr>
          <w:rFonts w:hint="eastAsia" w:ascii="仿宋" w:hAnsi="仿宋" w:eastAsia="仿宋" w:cs="仿宋"/>
          <w:color w:val="000000"/>
          <w:sz w:val="32"/>
          <w:szCs w:val="32"/>
        </w:rPr>
        <w:t>公务用车运行维护费支出预算为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万元，支出决算为0万元，完成预算的0%</w:t>
      </w:r>
      <w:r>
        <w:rPr>
          <w:rFonts w:hint="eastAsia" w:ascii="仿宋" w:hAnsi="仿宋" w:eastAsia="仿宋" w:cs="仿宋"/>
          <w:color w:val="000000"/>
          <w:sz w:val="32"/>
          <w:szCs w:val="32"/>
          <w:lang w:eastAsia="zh-CN"/>
        </w:rPr>
        <w:t>。</w:t>
      </w:r>
    </w:p>
    <w:p>
      <w:pPr>
        <w:widowControl/>
        <w:numPr>
          <w:ilvl w:val="0"/>
          <w:numId w:val="0"/>
        </w:numPr>
        <w:spacing w:line="594" w:lineRule="exact"/>
        <w:ind w:firstLine="643" w:firstLineChars="200"/>
        <w:rPr>
          <w:rFonts w:hint="eastAsia" w:ascii="仿宋" w:hAnsi="仿宋" w:eastAsia="仿宋" w:cs="Tahoma"/>
          <w:kern w:val="0"/>
          <w:sz w:val="32"/>
          <w:szCs w:val="32"/>
          <w:lang w:val="en-US" w:eastAsia="zh-CN"/>
        </w:rPr>
      </w:pPr>
      <w:r>
        <w:rPr>
          <w:rFonts w:hint="eastAsia" w:ascii="仿宋" w:hAnsi="仿宋" w:eastAsia="仿宋" w:cs="Tahoma"/>
          <w:b/>
          <w:bCs/>
          <w:kern w:val="0"/>
          <w:sz w:val="32"/>
          <w:szCs w:val="32"/>
          <w:lang w:val="en-US" w:eastAsia="zh-CN"/>
        </w:rPr>
        <w:t>（二）效率性分析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Cs/>
          <w:color w:val="000000" w:themeColor="text1"/>
          <w:sz w:val="32"/>
          <w:szCs w:val="32"/>
          <w14:textFill>
            <w14:solidFill>
              <w14:schemeClr w14:val="tx1"/>
            </w14:solidFill>
          </w14:textFill>
        </w:rPr>
        <w:t>（</w:t>
      </w:r>
      <w:r>
        <w:rPr>
          <w:rFonts w:hint="eastAsia" w:ascii="楷体_GB2312" w:hAnsi="楷体_GB2312" w:eastAsia="楷体_GB2312" w:cs="楷体_GB2312"/>
          <w:sz w:val="32"/>
          <w:szCs w:val="32"/>
          <w:lang w:val="en-US" w:eastAsia="zh-CN"/>
        </w:rPr>
        <w:t>1.落实“常态化”，市容秩序明显好转</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持续开展专项整治和校园周边综合治理，今年来，累计劝导、查处流动商贩占道经营行为3560起,规范越门经营门店2280余家，拆除大型户外广告牌16处、违规设置的帐篷150余顶、横幅1200余条，登记保全其它各类工具600余件，完成简易程序391起，立案7起。查处散发小广告、张贴牛皮癣、乱涂乱画等违规行为70余起，收缴违规发放小广告33860余份。查处、规范电动车违规停放行为178起。严查“车窗抛物”行为，共受理处置132起。查处县城乱堆乱放、焚烧生活垃圾、违规饲养牲畜产生异味等破坏环境行为210余起。通过综合施策，城区广告乱贴、车辆停靠、占道经营等顽疾得到了有效治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2.决胜“攻坚战”，助力生态环境改善</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抓好垃圾场封场后的管理，开展垃圾场环保整改“回头看”工作，完成相关问题的整改、销号和“洞庭清波”专项督察组的迎检工作。协同推进生活面源环境治理、餐饮油烟管控和道路扬尘治理的“蓝天保卫战”，会同相关部门积极开展“百日攻坚”行动。做实洒水车和雾炮车协同战略，每日对城区主次干道开展抑尘作业。组织人员力量对城区餐饮门店油烟净化器安装、使用情况进行了登记造册和监管。劝导、规范相关门店152家，暂扣越门经营、占道经营烧烤器具35台，桌椅板凳57套，冰箱10个，伸缩帐篷28个。对建成区在建工地巡查发现的问题，下发整改通知书152份，立案查处13起。查处违规运输渣土车辆170余辆，立案14起。</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3.紧扣“总目标”，确保项目顺利推进</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完成垃圾中转站除臭设备安装。</w:t>
      </w:r>
      <w:r>
        <w:rPr>
          <w:rFonts w:hint="eastAsia" w:ascii="仿宋_GB2312" w:hAnsi="仿宋_GB2312" w:eastAsia="仿宋_GB2312" w:cs="仿宋_GB2312"/>
          <w:color w:val="auto"/>
          <w:kern w:val="2"/>
          <w:sz w:val="32"/>
          <w:szCs w:val="32"/>
          <w:highlight w:val="none"/>
          <w:lang w:val="en-US" w:eastAsia="zh-CN" w:bidi="ar-SA"/>
        </w:rPr>
        <w:t>完成9座垃圾中转站渗滤液收集池的改造。完成御竹华庭处中转站设备整体更换。完成中转站公厕基建、设备维护维修。完成4座生活垃圾移动压缩站场地硬化、380V电源、冲洗设施安装、排水沟、沉淀池建设。完成5座垃圾分类站设置。环卫设施冲洗站（二期）冲洗钢架棚、排污设施、冲洗设施建设预计于12月底完工。团山污水提升泵站提质改造项目已</w:t>
      </w:r>
      <w:r>
        <w:rPr>
          <w:rFonts w:hint="eastAsia" w:ascii="仿宋_GB2312" w:hAnsi="仿宋_GB2312" w:eastAsia="仿宋_GB2312" w:cs="仿宋_GB2312"/>
          <w:color w:val="000000"/>
          <w:kern w:val="2"/>
          <w:sz w:val="32"/>
          <w:szCs w:val="32"/>
          <w:lang w:val="en-US" w:eastAsia="zh-CN" w:bidi="ar-SA"/>
        </w:rPr>
        <w:t>于9月20日动工，现已完成工程量的70%，预计在12月底完工。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4.聚焦“零增长”，控违拆违抓严抓实</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始终坚持规划引领、源头管控，持续保持对违法建设的高压态势，集中人员力量开展“圈地占用”和县城规划区违法建设专项整治行动。出动执法</w:t>
      </w:r>
      <w:r>
        <w:rPr>
          <w:rFonts w:hint="eastAsia" w:ascii="仿宋_GB2312" w:hAnsi="仿宋_GB2312" w:eastAsia="仿宋_GB2312" w:cs="仿宋_GB2312"/>
          <w:color w:val="auto"/>
          <w:kern w:val="2"/>
          <w:sz w:val="32"/>
          <w:szCs w:val="32"/>
          <w:lang w:val="en-US" w:eastAsia="zh-CN" w:bidi="ar-SA"/>
        </w:rPr>
        <w:t>人员640余次，整治空中菜园、违规搭建杂物间等空中违建144处，整治面积6567.55平方米。组织大型拆违行动28次，中小型拆违行动76次，拆拆除各类违法建筑250处，拆违面积计4.51万余</w:t>
      </w:r>
      <w:r>
        <w:rPr>
          <w:rFonts w:hint="eastAsia" w:ascii="仿宋_GB2312" w:hAnsi="仿宋_GB2312" w:eastAsia="仿宋_GB2312" w:cs="仿宋_GB2312"/>
          <w:color w:val="000000"/>
          <w:kern w:val="2"/>
          <w:sz w:val="32"/>
          <w:szCs w:val="32"/>
          <w:lang w:val="en-US" w:eastAsia="zh-CN" w:bidi="ar-SA"/>
        </w:rPr>
        <w:t>平方米。尤其是在8月份，在实施彭某云户超层违建拆除行动中，聘请专业拆迁力量，</w:t>
      </w:r>
      <w:r>
        <w:rPr>
          <w:rFonts w:hint="eastAsia" w:ascii="仿宋_GB2312" w:eastAsia="仿宋_GB2312"/>
          <w:sz w:val="32"/>
          <w:szCs w:val="32"/>
        </w:rPr>
        <w:t>采用小型机械设备</w:t>
      </w:r>
      <w:r>
        <w:rPr>
          <w:rFonts w:hint="eastAsia" w:ascii="仿宋_GB2312" w:eastAsia="仿宋_GB2312"/>
          <w:sz w:val="32"/>
          <w:szCs w:val="32"/>
          <w:lang w:eastAsia="zh-CN"/>
        </w:rPr>
        <w:t>协同人工</w:t>
      </w:r>
      <w:r>
        <w:rPr>
          <w:rFonts w:hint="eastAsia" w:ascii="仿宋_GB2312" w:eastAsia="仿宋_GB2312"/>
          <w:sz w:val="32"/>
          <w:szCs w:val="32"/>
        </w:rPr>
        <w:t>方式</w:t>
      </w:r>
      <w:r>
        <w:rPr>
          <w:rFonts w:hint="eastAsia" w:ascii="仿宋_GB2312" w:eastAsia="仿宋_GB2312"/>
          <w:sz w:val="32"/>
          <w:szCs w:val="32"/>
          <w:lang w:eastAsia="zh-CN"/>
        </w:rPr>
        <w:t>，安全进行超层</w:t>
      </w:r>
      <w:r>
        <w:rPr>
          <w:rFonts w:hint="eastAsia" w:ascii="仿宋_GB2312" w:eastAsia="仿宋_GB2312"/>
          <w:sz w:val="32"/>
          <w:szCs w:val="32"/>
        </w:rPr>
        <w:t>拆除</w:t>
      </w:r>
      <w:r>
        <w:rPr>
          <w:rFonts w:hint="eastAsia" w:ascii="仿宋_GB2312" w:eastAsia="仿宋_GB2312"/>
          <w:sz w:val="32"/>
          <w:szCs w:val="32"/>
          <w:lang w:eastAsia="zh-CN"/>
        </w:rPr>
        <w:t>。打消违建者侥幸心理</w:t>
      </w:r>
      <w:r>
        <w:rPr>
          <w:rFonts w:hint="eastAsia" w:ascii="仿宋_GB2312" w:hAnsi="仿宋_GB2312" w:eastAsia="仿宋_GB2312" w:cs="仿宋_GB2312"/>
          <w:color w:val="000000"/>
          <w:kern w:val="2"/>
          <w:sz w:val="32"/>
          <w:szCs w:val="32"/>
          <w:lang w:val="en-US" w:eastAsia="zh-CN" w:bidi="ar-SA"/>
        </w:rPr>
        <w:t>，从根本上遏制非法占地和违法建设行为。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5.立足“提质效”，环卫作业效能提升</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完成我县城区第三轮清扫保洁市场化运行工作。积极督促清扫保洁公司提升作业水平，强化机械化清扫与人工清扫保洁的协作力度，稳步提升城区市容环境。及时维护、修缮环卫设施设备。继续实施我县生活垃圾外运至益阳光大焚烧发电厂进行焚烧发电工作。启动我县城区垃圾分类示范创建工作，建立1处有害垃圾暂存库。加大对环卫基础设施的投入，采购240L垃圾桶1000个、密闭式垃圾箱200个、分类垃圾桶410个（四分类200个、两分类200个、有毒有害垃圾桶10个）、120L厨余垃圾桶400个、垃圾分类亭20个、新能源电动清运车6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6.围绕“惠民生”，市政设施不断完善</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全力推进市政设施普查工作，完成市政道路图斑、市政桥梁、排水设施、城市照明、环卫设施、园林设施等6个模块的调查。高效落实“迎接党代会，谱写新篇章”建言献策活动意见建议，在沿江风光带人行天桥区域两侧阶梯和桃花江大桥西侧阶梯通道安装了160米不锈钢扶手。完成金盆路环岛区域的提质改造。对城区30余万平方米公共绿地开展绿化养护，整枝2.8万余株，补植草坪0.38万平方米，补栽行道树380棵。对县城东区30余公里雨污水管道进行了检测和管道标高测量。疏通清淤下水管道约2.5万余米，冷补沥青路面约0.36万平方米，维修人行道约0.15万平方米，更换井盖98套、吸水栅140套，安装污水井防护网520套。新装小街小巷路灯159盏。检修路灯1400盏、路灯接线井109处，维护景观灯780盏，更换电缆6000余米。定期对3座污水提升泵站和城区5座桥梁进行维护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7.专注“提效率”，畅通市民服务通道</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rPr>
        <w:t>按照“三到位、三集中”的原则，推进行政审批制度改革，进一步优化审批流程，最大限度方便群众。</w:t>
      </w:r>
      <w:r>
        <w:rPr>
          <w:rFonts w:hint="eastAsia" w:ascii="仿宋_GB2312" w:hAnsi="仿宋_GB2312" w:eastAsia="仿宋_GB2312" w:cs="仿宋_GB2312"/>
          <w:sz w:val="32"/>
          <w:szCs w:val="32"/>
          <w:lang w:eastAsia="zh-CN"/>
        </w:rPr>
        <w:t>共受理行政审批事项</w:t>
      </w:r>
      <w:r>
        <w:rPr>
          <w:rFonts w:hint="eastAsia" w:ascii="仿宋_GB2312" w:hAnsi="仿宋_GB2312" w:eastAsia="仿宋_GB2312" w:cs="仿宋_GB2312"/>
          <w:sz w:val="32"/>
          <w:szCs w:val="32"/>
          <w:lang w:val="en-US" w:eastAsia="zh-CN"/>
        </w:rPr>
        <w:t>469起。积极处置市民来电反映的各类问题，强化工作流程，受理回复市长（县长）热线件420余件，及时处置率100%。继续实施</w:t>
      </w:r>
      <w:r>
        <w:rPr>
          <w:rFonts w:hint="eastAsia" w:ascii="仿宋_GB2312" w:hAnsi="仿宋_GB2312" w:eastAsia="仿宋_GB2312" w:cs="仿宋_GB2312"/>
          <w:color w:val="000000"/>
          <w:kern w:val="2"/>
          <w:sz w:val="32"/>
          <w:szCs w:val="32"/>
          <w:lang w:val="en-US" w:eastAsia="zh-CN" w:bidi="ar-SA"/>
        </w:rPr>
        <w:t>数字城管网格采集员全天候、无死角巡查上报工作，发现问题及时上报。本年度立案21122件，结案21115件，处置率达99.97%，平台各项功能发挥有效，大大提升了城市管理水平和问题处置效率。</w:t>
      </w:r>
    </w:p>
    <w:p>
      <w:pPr>
        <w:widowControl/>
        <w:spacing w:line="594" w:lineRule="exact"/>
        <w:ind w:firstLine="640" w:firstLineChars="200"/>
        <w:rPr>
          <w:kern w:val="0"/>
          <w:szCs w:val="32"/>
        </w:rPr>
      </w:pPr>
      <w:r>
        <w:rPr>
          <w:rFonts w:eastAsia="黑体"/>
          <w:bCs/>
          <w:kern w:val="0"/>
          <w:szCs w:val="32"/>
        </w:rPr>
        <w:t>五、绩效评价工作开展情况</w:t>
      </w:r>
    </w:p>
    <w:p>
      <w:pPr>
        <w:ind w:firstLine="645"/>
        <w:rPr>
          <w:rFonts w:hint="eastAsia" w:ascii="仿宋" w:hAnsi="仿宋" w:eastAsia="仿宋"/>
          <w:sz w:val="32"/>
          <w:szCs w:val="32"/>
          <w:lang w:eastAsia="zh-CN"/>
        </w:rPr>
      </w:pPr>
      <w:r>
        <w:rPr>
          <w:rFonts w:hint="eastAsia" w:ascii="仿宋" w:hAnsi="仿宋" w:eastAsia="仿宋"/>
          <w:sz w:val="32"/>
          <w:szCs w:val="32"/>
          <w:lang w:eastAsia="zh-CN"/>
        </w:rPr>
        <w:t>（一）绩效评价的目的</w:t>
      </w:r>
    </w:p>
    <w:p>
      <w:pPr>
        <w:ind w:firstLine="645"/>
        <w:rPr>
          <w:rFonts w:hint="eastAsia"/>
          <w:szCs w:val="32"/>
          <w:lang w:eastAsia="zh-CN"/>
        </w:rPr>
      </w:pPr>
      <w:r>
        <w:rPr>
          <w:szCs w:val="32"/>
        </w:rPr>
        <w:t>为认真贯彻落实十九大报告精神，强化财政支出绩效理念和部门责任意识，规范财政资金管理，提高财政资金使用效益，依据中央、省、市、县相关文件精神和工作要求</w:t>
      </w:r>
      <w:r>
        <w:rPr>
          <w:rFonts w:hint="eastAsia"/>
          <w:szCs w:val="32"/>
          <w:lang w:eastAsia="zh-CN"/>
        </w:rPr>
        <w:t>对年度财政资金使用情况及产生的效益进行评价。</w:t>
      </w:r>
    </w:p>
    <w:p>
      <w:pPr>
        <w:numPr>
          <w:ilvl w:val="0"/>
          <w:numId w:val="2"/>
        </w:numPr>
        <w:ind w:firstLine="645"/>
        <w:rPr>
          <w:rFonts w:hint="eastAsia"/>
          <w:szCs w:val="32"/>
          <w:lang w:eastAsia="zh-CN"/>
        </w:rPr>
      </w:pPr>
      <w:r>
        <w:rPr>
          <w:rFonts w:hint="eastAsia"/>
          <w:szCs w:val="32"/>
          <w:lang w:eastAsia="zh-CN"/>
        </w:rPr>
        <w:t>绩效评价的过程</w:t>
      </w:r>
    </w:p>
    <w:p>
      <w:pPr>
        <w:widowControl/>
        <w:numPr>
          <w:ilvl w:val="0"/>
          <w:numId w:val="0"/>
        </w:num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1、成立绩效评价领导小组。组长：</w:t>
      </w:r>
      <w:r>
        <w:rPr>
          <w:rFonts w:hint="eastAsia" w:ascii="仿宋" w:hAnsi="仿宋" w:eastAsia="仿宋"/>
          <w:sz w:val="32"/>
          <w:szCs w:val="32"/>
          <w:lang w:eastAsia="zh-CN"/>
        </w:rPr>
        <w:t>李庆华</w:t>
      </w:r>
      <w:r>
        <w:rPr>
          <w:rFonts w:hint="eastAsia" w:ascii="仿宋" w:hAnsi="仿宋" w:eastAsia="仿宋"/>
          <w:sz w:val="32"/>
          <w:szCs w:val="32"/>
        </w:rPr>
        <w:t xml:space="preserve"> 副组长：</w:t>
      </w:r>
      <w:r>
        <w:rPr>
          <w:rFonts w:hint="eastAsia" w:ascii="仿宋" w:hAnsi="仿宋" w:eastAsia="仿宋"/>
          <w:sz w:val="32"/>
          <w:szCs w:val="32"/>
          <w:lang w:eastAsia="zh-CN"/>
        </w:rPr>
        <w:t>李宇红、胡合平、</w:t>
      </w:r>
      <w:r>
        <w:rPr>
          <w:rFonts w:hint="eastAsia" w:ascii="仿宋" w:hAnsi="仿宋" w:eastAsia="仿宋"/>
          <w:sz w:val="32"/>
          <w:szCs w:val="32"/>
        </w:rPr>
        <w:t>郭永平</w:t>
      </w:r>
      <w:r>
        <w:rPr>
          <w:rFonts w:hint="eastAsia" w:ascii="仿宋" w:hAnsi="仿宋" w:eastAsia="仿宋"/>
          <w:sz w:val="32"/>
          <w:szCs w:val="32"/>
          <w:lang w:eastAsia="zh-CN"/>
        </w:rPr>
        <w:t>；</w:t>
      </w:r>
      <w:r>
        <w:rPr>
          <w:rFonts w:hint="eastAsia" w:ascii="仿宋" w:hAnsi="仿宋" w:eastAsia="仿宋"/>
          <w:sz w:val="32"/>
          <w:szCs w:val="32"/>
        </w:rPr>
        <w:t xml:space="preserve"> 成员：</w:t>
      </w:r>
      <w:r>
        <w:rPr>
          <w:rFonts w:hint="eastAsia" w:ascii="仿宋" w:hAnsi="仿宋" w:eastAsia="仿宋"/>
          <w:sz w:val="32"/>
          <w:szCs w:val="32"/>
          <w:lang w:eastAsia="zh-CN"/>
        </w:rPr>
        <w:t>杨君、</w:t>
      </w:r>
      <w:r>
        <w:rPr>
          <w:rFonts w:hint="eastAsia" w:ascii="仿宋" w:hAnsi="仿宋" w:eastAsia="仿宋"/>
          <w:sz w:val="32"/>
          <w:szCs w:val="32"/>
        </w:rPr>
        <w:t>吴琛英、</w:t>
      </w:r>
      <w:r>
        <w:rPr>
          <w:rFonts w:hint="eastAsia" w:ascii="仿宋" w:hAnsi="仿宋" w:eastAsia="仿宋"/>
          <w:sz w:val="32"/>
          <w:szCs w:val="32"/>
          <w:lang w:eastAsia="zh-CN"/>
        </w:rPr>
        <w:t>肖潇、代琼立、</w:t>
      </w:r>
      <w:r>
        <w:rPr>
          <w:rFonts w:hint="eastAsia" w:ascii="仿宋" w:hAnsi="仿宋" w:eastAsia="仿宋"/>
          <w:sz w:val="32"/>
          <w:szCs w:val="32"/>
        </w:rPr>
        <w:t>谭赛强、</w:t>
      </w:r>
      <w:r>
        <w:rPr>
          <w:rFonts w:hint="eastAsia" w:ascii="仿宋" w:hAnsi="仿宋" w:eastAsia="仿宋"/>
          <w:sz w:val="32"/>
          <w:szCs w:val="32"/>
          <w:lang w:eastAsia="zh-CN"/>
        </w:rPr>
        <w:t>贺庆</w:t>
      </w:r>
      <w:r>
        <w:rPr>
          <w:rFonts w:hint="eastAsia" w:ascii="仿宋" w:hAnsi="仿宋" w:eastAsia="仿宋"/>
          <w:sz w:val="32"/>
          <w:szCs w:val="32"/>
        </w:rPr>
        <w:t>、苏照华，各二级机构办公室人员。</w:t>
      </w:r>
      <w:r>
        <w:rPr>
          <w:rFonts w:hint="eastAsia" w:ascii="仿宋" w:hAnsi="仿宋" w:eastAsia="仿宋" w:cs="Tahoma"/>
          <w:kern w:val="0"/>
          <w:sz w:val="32"/>
          <w:szCs w:val="32"/>
          <w:lang w:eastAsia="zh-CN"/>
        </w:rPr>
        <w:t>本职工作每月考核；七项基础工作、县委县政府的重点工作和其他工作按相应考核细则进行考核，由平常抽查考核和局绩效考核领导小组年终考核相结合。</w:t>
      </w:r>
    </w:p>
    <w:p>
      <w:pPr>
        <w:ind w:firstLine="645"/>
        <w:rPr>
          <w:rFonts w:hint="eastAsia" w:ascii="仿宋" w:hAnsi="仿宋" w:eastAsia="仿宋"/>
          <w:sz w:val="32"/>
          <w:szCs w:val="32"/>
        </w:rPr>
      </w:pPr>
      <w:r>
        <w:rPr>
          <w:rFonts w:hint="eastAsia" w:ascii="仿宋" w:hAnsi="仿宋" w:eastAsia="仿宋"/>
          <w:sz w:val="32"/>
          <w:szCs w:val="32"/>
        </w:rPr>
        <w:t>2、资料收集整理。自评工作资料整理由局财务室牵头，各业务股室、二级机构、直属大队办全面配合，收集相关资料，按绩效评价指标及评分表相关内容一一对照整理成册。</w:t>
      </w:r>
    </w:p>
    <w:p>
      <w:pPr>
        <w:ind w:firstLine="645"/>
        <w:rPr>
          <w:rFonts w:hint="eastAsia" w:ascii="仿宋" w:hAnsi="仿宋" w:eastAsia="仿宋"/>
          <w:sz w:val="32"/>
          <w:szCs w:val="32"/>
        </w:rPr>
      </w:pPr>
      <w:r>
        <w:rPr>
          <w:rFonts w:hint="eastAsia" w:ascii="仿宋" w:hAnsi="仿宋" w:eastAsia="仿宋"/>
          <w:sz w:val="32"/>
          <w:szCs w:val="32"/>
        </w:rPr>
        <w:t>3、自查自评。按照《预算绩效管理政策与业务操作手册》的文件要求，对照20</w:t>
      </w:r>
      <w:r>
        <w:rPr>
          <w:rFonts w:hint="eastAsia" w:ascii="仿宋" w:hAnsi="仿宋" w:eastAsia="仿宋"/>
          <w:sz w:val="32"/>
          <w:szCs w:val="32"/>
          <w:lang w:val="en-US" w:eastAsia="zh-CN"/>
        </w:rPr>
        <w:t>21</w:t>
      </w:r>
      <w:r>
        <w:rPr>
          <w:rFonts w:hint="eastAsia" w:ascii="仿宋" w:hAnsi="仿宋" w:eastAsia="仿宋"/>
          <w:sz w:val="32"/>
          <w:szCs w:val="32"/>
        </w:rPr>
        <w:t>年度部门整体支出绩效评价指标及评分表的内容如实填报相关资料，作出公正、客观、真实的自评。自评分9</w:t>
      </w:r>
      <w:r>
        <w:rPr>
          <w:rFonts w:hint="eastAsia" w:ascii="仿宋" w:hAnsi="仿宋" w:eastAsia="仿宋"/>
          <w:sz w:val="32"/>
          <w:szCs w:val="32"/>
          <w:lang w:val="en-US" w:eastAsia="zh-CN"/>
        </w:rPr>
        <w:t>5</w:t>
      </w:r>
      <w:r>
        <w:rPr>
          <w:rFonts w:hint="eastAsia" w:ascii="仿宋" w:hAnsi="仿宋" w:eastAsia="仿宋"/>
          <w:sz w:val="32"/>
          <w:szCs w:val="32"/>
        </w:rPr>
        <w:t>分。</w:t>
      </w:r>
    </w:p>
    <w:p>
      <w:pPr>
        <w:numPr>
          <w:ilvl w:val="0"/>
          <w:numId w:val="0"/>
        </w:numPr>
        <w:spacing w:line="620" w:lineRule="exact"/>
        <w:ind w:firstLine="640" w:firstLineChars="200"/>
        <w:jc w:val="both"/>
        <w:outlineLvl w:val="0"/>
        <w:rPr>
          <w:rFonts w:hint="eastAsia" w:ascii="仿宋" w:eastAsia="仿宋" w:cs="仿宋"/>
          <w:b/>
          <w:bCs/>
          <w:color w:val="000000"/>
          <w:spacing w:val="-6"/>
          <w:sz w:val="32"/>
          <w:szCs w:val="32"/>
          <w:lang w:val="en-US" w:eastAsia="zh-CN" w:bidi="ar-SA"/>
        </w:rPr>
      </w:pPr>
      <w:r>
        <w:rPr>
          <w:rFonts w:hint="eastAsia" w:ascii="仿宋" w:hAnsi="仿宋" w:eastAsia="仿宋"/>
          <w:sz w:val="32"/>
          <w:szCs w:val="32"/>
        </w:rPr>
        <w:t>4、上报审核。局财务室工作人员按时上报相关自评资料，对上报资料跟进，及时反馈县财政局提出的审查意见，根据审查结果认真分析工作中存在的不足，进行整改，并对来年财政部门预算编制计划提出建议和意见。</w:t>
      </w:r>
    </w:p>
    <w:p>
      <w:pPr>
        <w:ind w:firstLine="645"/>
        <w:rPr>
          <w:rFonts w:hint="eastAsia" w:ascii="黑体" w:hAnsi="黑体" w:eastAsia="黑体"/>
          <w:sz w:val="32"/>
          <w:szCs w:val="32"/>
        </w:rPr>
      </w:pPr>
      <w:r>
        <w:rPr>
          <w:rFonts w:hint="eastAsia" w:ascii="黑体" w:hAnsi="黑体" w:eastAsia="黑体"/>
          <w:sz w:val="32"/>
          <w:szCs w:val="32"/>
        </w:rPr>
        <w:t xml:space="preserve"> 六、存在的主要问题</w:t>
      </w:r>
    </w:p>
    <w:p>
      <w:pPr>
        <w:spacing w:line="60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1.城市管理工作难度日剧增大。</w:t>
      </w:r>
      <w:r>
        <w:rPr>
          <w:rFonts w:hint="eastAsia" w:ascii="仿宋_GB2312" w:hAnsi="仿宋_GB2312" w:eastAsia="仿宋_GB2312" w:cs="仿宋_GB2312"/>
          <w:color w:val="auto"/>
          <w:kern w:val="2"/>
          <w:sz w:val="32"/>
          <w:szCs w:val="32"/>
          <w:lang w:val="en-US" w:eastAsia="zh-CN" w:bidi="ar-SA"/>
        </w:rPr>
        <w:t>城市三分建，七分管。在近年来我县城区大力发展的新形势下，相关建设单位正全力以赴推进、集中力量攻坚，但在城市的建设到后续管理缺乏系统的整体规划。再加上，基础设施的历史欠账较多，城管在呵护城市“烟火味”“文化味”的同时，工作战线、工作时间都被大大拉长，维护好城市正常秩序和环境卫生的难度骤增。</w:t>
      </w:r>
    </w:p>
    <w:p>
      <w:pPr>
        <w:spacing w:line="600" w:lineRule="exact"/>
        <w:ind w:firstLine="640" w:firstLineChars="200"/>
        <w:rPr>
          <w:rFonts w:hint="eastAsia" w:ascii="仿宋_GB2312" w:eastAsia="仿宋_GB2312"/>
          <w:sz w:val="32"/>
          <w:szCs w:val="32"/>
        </w:rPr>
      </w:pPr>
      <w:r>
        <w:rPr>
          <w:rFonts w:hint="eastAsia" w:ascii="仿宋_GB2312" w:hAnsi="仿宋_GB2312" w:cs="仿宋_GB2312"/>
          <w:color w:val="auto"/>
          <w:kern w:val="2"/>
          <w:sz w:val="32"/>
          <w:szCs w:val="32"/>
          <w:lang w:val="en-US" w:eastAsia="zh-CN" w:bidi="ar-SA"/>
        </w:rPr>
        <w:t>2、</w:t>
      </w:r>
      <w:r>
        <w:rPr>
          <w:rFonts w:hint="eastAsia" w:ascii="仿宋_GB2312" w:eastAsia="仿宋_GB2312"/>
          <w:sz w:val="32"/>
          <w:szCs w:val="32"/>
        </w:rPr>
        <w:t>资金</w:t>
      </w:r>
      <w:r>
        <w:rPr>
          <w:rFonts w:hint="eastAsia" w:ascii="仿宋_GB2312" w:eastAsia="仿宋_GB2312"/>
          <w:sz w:val="32"/>
          <w:szCs w:val="32"/>
          <w:lang w:eastAsia="zh-CN"/>
        </w:rPr>
        <w:t>缺口问题</w:t>
      </w:r>
      <w:r>
        <w:rPr>
          <w:rFonts w:hint="eastAsia" w:ascii="仿宋_GB2312"/>
          <w:sz w:val="32"/>
          <w:szCs w:val="32"/>
          <w:lang w:eastAsia="zh-CN"/>
        </w:rPr>
        <w:t>。</w:t>
      </w:r>
      <w:r>
        <w:rPr>
          <w:rFonts w:hint="eastAsia" w:ascii="仿宋_GB2312" w:eastAsia="仿宋_GB2312"/>
          <w:sz w:val="32"/>
          <w:szCs w:val="32"/>
        </w:rPr>
        <w:t>我局在经费保障方面一直得到了县政府及县财政的大力支持与关怀，但随着工作的深入开展，各项支出的增加，经费短缺的矛盾越来越突出，严重影响到我局工作的正常开展。</w:t>
      </w:r>
    </w:p>
    <w:p>
      <w:pPr>
        <w:spacing w:line="600" w:lineRule="exact"/>
        <w:ind w:firstLine="640"/>
        <w:rPr>
          <w:rFonts w:hint="eastAsia" w:ascii="黑体" w:eastAsia="黑体"/>
          <w:sz w:val="32"/>
          <w:szCs w:val="32"/>
        </w:rPr>
      </w:pPr>
      <w:r>
        <w:rPr>
          <w:rFonts w:hint="eastAsia" w:ascii="黑体" w:hAnsi="黑体" w:eastAsia="黑体"/>
          <w:sz w:val="32"/>
          <w:szCs w:val="32"/>
        </w:rPr>
        <w:t>七、有关建议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1、工资福利待遇及正常的办公工作产生的费用建议由县财政解决。</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为确保城市管理日常运行的项目支出，如：</w:t>
      </w:r>
      <w:r>
        <w:rPr>
          <w:rFonts w:hint="eastAsia" w:ascii="仿宋_GB2312" w:eastAsia="仿宋_GB2312"/>
          <w:sz w:val="32"/>
          <w:szCs w:val="32"/>
        </w:rPr>
        <w:t>环卫清扫、市政设施建设维修维护、环卫设施设备购置、市容秩序、渣土管理、路灯架设、路灯电费及维修维护费用建议由</w:t>
      </w:r>
      <w:r>
        <w:rPr>
          <w:rFonts w:hint="eastAsia" w:ascii="仿宋_GB2312" w:eastAsia="仿宋_GB2312"/>
          <w:sz w:val="32"/>
          <w:szCs w:val="32"/>
          <w:lang w:eastAsia="zh-CN"/>
        </w:rPr>
        <w:t>县财政</w:t>
      </w:r>
      <w:r>
        <w:rPr>
          <w:rFonts w:hint="eastAsia" w:ascii="仿宋_GB2312" w:eastAsia="仿宋_GB2312"/>
          <w:sz w:val="32"/>
          <w:szCs w:val="32"/>
        </w:rPr>
        <w:t>按实予以</w:t>
      </w:r>
      <w:r>
        <w:rPr>
          <w:rFonts w:hint="eastAsia" w:ascii="仿宋_GB2312" w:eastAsia="仿宋_GB2312"/>
          <w:sz w:val="32"/>
          <w:szCs w:val="32"/>
          <w:lang w:eastAsia="zh-CN"/>
        </w:rPr>
        <w:t>保障</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3、加大执收执罚力度，请财政全额返还城市管理</w:t>
      </w:r>
      <w:r>
        <w:rPr>
          <w:rFonts w:hint="eastAsia" w:ascii="仿宋_GB2312" w:eastAsia="仿宋_GB2312"/>
          <w:sz w:val="32"/>
          <w:szCs w:val="32"/>
          <w:lang w:eastAsia="zh-CN"/>
        </w:rPr>
        <w:t>综合执法大队</w:t>
      </w:r>
      <w:r>
        <w:rPr>
          <w:rFonts w:hint="eastAsia" w:ascii="仿宋_GB2312" w:eastAsia="仿宋_GB2312"/>
          <w:sz w:val="32"/>
          <w:szCs w:val="32"/>
        </w:rPr>
        <w:t>非税罚没收入。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4、精简人员，压缩开支。</w:t>
      </w:r>
    </w:p>
    <w:p>
      <w:pPr>
        <w:rPr>
          <w:rFonts w:hint="eastAsia"/>
          <w:lang w:val="en-US" w:eastAsia="zh-CN"/>
        </w:rPr>
      </w:pPr>
      <w:r>
        <w:rPr>
          <w:rFonts w:hint="eastAsia"/>
          <w:lang w:val="en-US" w:eastAsia="zh-CN"/>
        </w:rPr>
        <w:t xml:space="preserve">                             </w:t>
      </w:r>
    </w:p>
    <w:p>
      <w:pPr>
        <w:ind w:firstLine="5120" w:firstLineChars="1600"/>
        <w:rPr>
          <w:rFonts w:hint="default" w:eastAsia="仿宋_GB2312"/>
          <w:lang w:val="en-US" w:eastAsia="zh-CN"/>
        </w:rPr>
      </w:pPr>
      <w:r>
        <w:rPr>
          <w:rFonts w:hint="eastAsia"/>
          <w:lang w:val="en-US" w:eastAsia="zh-CN"/>
        </w:rPr>
        <w:t xml:space="preserve"> 2022年5月31日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F1159"/>
    <w:multiLevelType w:val="singleLevel"/>
    <w:tmpl w:val="228F1159"/>
    <w:lvl w:ilvl="0" w:tentative="0">
      <w:start w:val="3"/>
      <w:numFmt w:val="chineseCounting"/>
      <w:suff w:val="nothing"/>
      <w:lvlText w:val="（%1）"/>
      <w:lvlJc w:val="left"/>
      <w:pPr>
        <w:ind w:left="6"/>
      </w:pPr>
      <w:rPr>
        <w:rFonts w:hint="eastAsia"/>
      </w:rPr>
    </w:lvl>
  </w:abstractNum>
  <w:abstractNum w:abstractNumId="1">
    <w:nsid w:val="5E65D4C3"/>
    <w:multiLevelType w:val="singleLevel"/>
    <w:tmpl w:val="5E65D4C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MDRmMjQ1NGU2NzQ4YTJiOTQxNDRlYzg3OTEzNTMifQ=="/>
  </w:docVars>
  <w:rsids>
    <w:rsidRoot w:val="03DF611C"/>
    <w:rsid w:val="03DF611C"/>
    <w:rsid w:val="08CA0774"/>
    <w:rsid w:val="0B066A9E"/>
    <w:rsid w:val="0B846CE0"/>
    <w:rsid w:val="0CAC26BE"/>
    <w:rsid w:val="0E555BCB"/>
    <w:rsid w:val="0ECF458E"/>
    <w:rsid w:val="0EE91A98"/>
    <w:rsid w:val="0F924021"/>
    <w:rsid w:val="0FB57908"/>
    <w:rsid w:val="26DA1F29"/>
    <w:rsid w:val="3BED7B3A"/>
    <w:rsid w:val="4014567C"/>
    <w:rsid w:val="43F1473B"/>
    <w:rsid w:val="445C7935"/>
    <w:rsid w:val="4495795E"/>
    <w:rsid w:val="44FA350F"/>
    <w:rsid w:val="4C5F04FB"/>
    <w:rsid w:val="51D27A29"/>
    <w:rsid w:val="596974D9"/>
    <w:rsid w:val="5A1D5B0A"/>
    <w:rsid w:val="5C9F576B"/>
    <w:rsid w:val="5D7E38D1"/>
    <w:rsid w:val="5E2A7FEF"/>
    <w:rsid w:val="5EDF020C"/>
    <w:rsid w:val="6382412B"/>
    <w:rsid w:val="66EE66D3"/>
    <w:rsid w:val="7AF950D2"/>
    <w:rsid w:val="7C4F7621"/>
    <w:rsid w:val="7F241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24"/>
    </w:rPr>
  </w:style>
  <w:style w:type="character" w:styleId="8">
    <w:name w:val="page number"/>
    <w:basedOn w:val="7"/>
    <w:qFormat/>
    <w:uiPriority w:val="0"/>
  </w:style>
  <w:style w:type="paragraph" w:customStyle="1" w:styleId="9">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6661</Words>
  <Characters>7270</Characters>
  <Lines>0</Lines>
  <Paragraphs>0</Paragraphs>
  <TotalTime>2</TotalTime>
  <ScaleCrop>false</ScaleCrop>
  <LinksUpToDate>false</LinksUpToDate>
  <CharactersWithSpaces>7298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2021-04-14T02:29:00Z</dcterms:created>
  <dc:creator>春天在哪里</dc:creator>
  <cp:lastModifiedBy>春天在哪里</cp:lastModifiedBy>
  <cp:lastPrinted>2021-04-29T01:32:00Z</cp:lastPrinted>
  <dcterms:modified xsi:type="dcterms:W3CDTF">2023-08-15T05:00:20Z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BB646687FEAC4F409E8AA07A0FC385CA</vt:lpwstr>
  </property>
</Properties>
</file>