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2021年部门整体绩效自评报告</w:t>
      </w:r>
    </w:p>
    <w:p>
      <w:pPr>
        <w:pStyle w:val="3"/>
        <w:bidi w:val="0"/>
        <w:jc w:val="center"/>
        <w:rPr>
          <w:rFonts w:hint="default"/>
          <w:lang w:val="en-US" w:eastAsia="zh-CN"/>
        </w:rPr>
      </w:pPr>
      <w:r>
        <w:rPr>
          <w:rFonts w:hint="eastAsia"/>
          <w:lang w:val="en-US" w:eastAsia="zh-CN"/>
        </w:rPr>
        <w:t>桃江县科学技术协会</w:t>
      </w:r>
    </w:p>
    <w:p>
      <w:pPr>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2022年3月27日</w:t>
      </w:r>
    </w:p>
    <w:p>
      <w:pPr>
        <w:numPr>
          <w:ilvl w:val="0"/>
          <w:numId w:val="1"/>
        </w:numPr>
        <w:ind w:left="420" w:leftChars="0" w:firstLineChars="0"/>
        <w:jc w:val="both"/>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部门概况</w:t>
      </w:r>
    </w:p>
    <w:p>
      <w:pPr>
        <w:pStyle w:val="10"/>
        <w:numPr>
          <w:ilvl w:val="0"/>
          <w:numId w:val="0"/>
        </w:numPr>
        <w:spacing w:before="0" w:beforeAutospacing="0" w:after="2" w:afterAutospacing="0"/>
        <w:ind w:left="641" w:leftChars="0" w:right="0" w:rightChars="0" w:firstLine="600" w:firstLineChars="200"/>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color w:val="000000"/>
          <w:sz w:val="30"/>
          <w:szCs w:val="30"/>
        </w:rPr>
        <w:t>密切联系科学技术工作者，宣传党的路线方针政策，反映科学技术工作者的建议、意见和诉求，维护科学技术工作者的合法权益，建设科技工作者之家。 开展学术交流，活跃学术思想，倡导学术民主，优化学术环境，促进学科发展，推进全县创新体系建设;负责桃江籍院士专家和为桃江服务的院士专家的联络服务；做好院士专家科技成果转化、院士专家宣传和院士专家工作站的申报、指导、组织认定等工作。 组织科学技术工作者开展科技创新，参与科学论证和咨询服务，加快科学技术成果转化应用，助力创新发展，增强企业自主创新。 组织推动全县城乡科学技术普及工作；协助制定科普工作规划，编制科普专项经费预算。弘扬科学精神，普及科学知识，推广先进技术，传播科学思想和科学方法，捍卫科学尊严，提高全民科学素质。协调县级自然科学专门学会之间，学会与乡镇科协之间的关系，加强与社会科学的学科联系，编辑出版科普和学术刊物，举办为科技工</w:t>
      </w:r>
      <w:bookmarkStart w:id="0" w:name="_GoBack"/>
      <w:bookmarkEnd w:id="0"/>
      <w:r>
        <w:rPr>
          <w:rFonts w:hint="eastAsia" w:ascii="仿宋_GB2312" w:hAnsi="仿宋_GB2312" w:eastAsia="仿宋_GB2312" w:cs="仿宋_GB2312"/>
          <w:color w:val="000000"/>
          <w:sz w:val="30"/>
          <w:szCs w:val="30"/>
        </w:rPr>
        <w:t>作者和科技活动服务的公益事业； 管理、指导、协调各类科学技术协会，组织厂会协作、厂校协作活动，组织开展农村科普示范创建工作</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我单位行政人员编制9人，实有人数9人</w:t>
      </w:r>
      <w:r>
        <w:rPr>
          <w:rFonts w:hint="eastAsia" w:ascii="仿宋_GB2312" w:hAnsi="仿宋_GB2312" w:eastAsia="仿宋_GB2312" w:cs="仿宋_GB2312"/>
          <w:color w:val="000000"/>
          <w:sz w:val="30"/>
          <w:szCs w:val="30"/>
        </w:rPr>
        <w:t xml:space="preserve"> </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b w:val="0"/>
          <w:bCs w:val="0"/>
          <w:color w:val="000000"/>
          <w:sz w:val="30"/>
          <w:szCs w:val="30"/>
          <w:lang w:val="en-US" w:eastAsia="zh-CN"/>
        </w:rPr>
        <w:t>下设办公室和学会部。</w:t>
      </w:r>
    </w:p>
    <w:p>
      <w:pPr>
        <w:pStyle w:val="10"/>
        <w:numPr>
          <w:ilvl w:val="0"/>
          <w:numId w:val="0"/>
        </w:numPr>
        <w:spacing w:before="0" w:beforeAutospacing="0" w:after="2" w:afterAutospacing="0"/>
        <w:ind w:right="0" w:rightChars="0" w:firstLine="301" w:firstLineChars="100"/>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二、2021年所作的工作</w:t>
      </w:r>
    </w:p>
    <w:p>
      <w:pPr>
        <w:keepNext w:val="0"/>
        <w:keepLines w:val="0"/>
        <w:widowControl/>
        <w:suppressLineNumbers w:val="0"/>
        <w:shd w:val="clear" w:fill="FFFFFF"/>
        <w:spacing w:before="0" w:beforeAutospacing="0" w:after="0" w:afterAutospacing="0" w:line="600" w:lineRule="exact"/>
        <w:ind w:right="0"/>
        <w:jc w:val="left"/>
        <w:rPr>
          <w:rFonts w:hint="eastAsia" w:ascii="仿宋_GB2312" w:hAnsi="仿宋_GB2312" w:eastAsia="仿宋_GB2312" w:cs="仿宋_GB2312"/>
          <w:b/>
          <w:bCs/>
          <w:sz w:val="30"/>
          <w:szCs w:val="30"/>
          <w:shd w:val="clear" w:fill="FFFFFF"/>
          <w:lang w:val="en-US"/>
        </w:rPr>
      </w:pPr>
      <w:r>
        <w:rPr>
          <w:rFonts w:hint="eastAsia" w:ascii="仿宋_GB2312" w:hAnsi="仿宋_GB2312" w:eastAsia="仿宋_GB2312" w:cs="仿宋_GB2312"/>
          <w:b/>
          <w:bCs/>
          <w:kern w:val="2"/>
          <w:sz w:val="30"/>
          <w:szCs w:val="30"/>
          <w:shd w:val="clear" w:fill="FFFFFF"/>
          <w:lang w:val="en-US" w:eastAsia="zh-CN" w:bidi="ar"/>
        </w:rPr>
        <w:t>（一）强化政治引领，加强党对科协工作的领导</w:t>
      </w:r>
    </w:p>
    <w:p>
      <w:pPr>
        <w:keepNext w:val="0"/>
        <w:keepLines w:val="0"/>
        <w:widowControl/>
        <w:suppressLineNumbers w:val="0"/>
        <w:shd w:val="clear" w:fill="FFFFFF"/>
        <w:spacing w:before="0" w:beforeAutospacing="0" w:after="0" w:afterAutospacing="0" w:line="600" w:lineRule="exact"/>
        <w:ind w:left="0" w:right="0" w:firstLine="600" w:firstLineChars="200"/>
        <w:jc w:val="left"/>
        <w:rPr>
          <w:rFonts w:hint="eastAsia" w:ascii="仿宋_GB2312" w:hAnsi="仿宋_GB2312" w:eastAsia="仿宋_GB2312" w:cs="仿宋_GB2312"/>
          <w:b/>
          <w:bCs/>
          <w:color w:val="000000"/>
          <w:kern w:val="0"/>
          <w:sz w:val="30"/>
          <w:szCs w:val="30"/>
          <w:shd w:val="clear" w:fill="FFFFFF"/>
          <w:lang w:val="en-US"/>
        </w:rPr>
      </w:pPr>
      <w:r>
        <w:rPr>
          <w:rFonts w:hint="eastAsia" w:ascii="仿宋_GB2312" w:hAnsi="仿宋_GB2312" w:eastAsia="仿宋_GB2312" w:cs="仿宋_GB2312"/>
          <w:color w:val="000000"/>
          <w:kern w:val="0"/>
          <w:sz w:val="30"/>
          <w:szCs w:val="30"/>
          <w:shd w:val="clear" w:fill="FFFFFF"/>
          <w:lang w:val="en-US" w:eastAsia="zh-CN" w:bidi="ar"/>
        </w:rPr>
        <w:t>县科协党组班子牢固树立“四个意识”，</w:t>
      </w:r>
      <w:r>
        <w:rPr>
          <w:rFonts w:hint="eastAsia" w:ascii="仿宋_GB2312" w:hAnsi="仿宋_GB2312" w:eastAsia="仿宋_GB2312" w:cs="仿宋_GB2312"/>
          <w:kern w:val="2"/>
          <w:sz w:val="30"/>
          <w:szCs w:val="30"/>
          <w:shd w:val="clear" w:fill="FFFFFF"/>
          <w:lang w:val="en-US" w:eastAsia="zh-CN" w:bidi="ar"/>
        </w:rPr>
        <w:t xml:space="preserve"> </w:t>
      </w:r>
      <w:r>
        <w:rPr>
          <w:rFonts w:hint="eastAsia" w:ascii="仿宋_GB2312" w:hAnsi="仿宋_GB2312" w:eastAsia="仿宋_GB2312" w:cs="仿宋_GB2312"/>
          <w:color w:val="000000"/>
          <w:kern w:val="0"/>
          <w:sz w:val="30"/>
          <w:szCs w:val="30"/>
          <w:shd w:val="clear" w:fill="FFFFFF"/>
          <w:lang w:val="en-US" w:eastAsia="zh-CN" w:bidi="ar"/>
        </w:rPr>
        <w:t>坚决做到“两个维护”，坚决贯彻落实党中央、国务院各项重大决策部署，坚决维护习近平总书记在党中央和全党的核心地位，坚决维护党中央权威和集中统一领导。今年5月和11月份，两次召开乡镇科协、纲要办成员单位和科协全委会，深入贯彻落实习近平新时代中国特色社会主义思想，</w:t>
      </w:r>
      <w:r>
        <w:rPr>
          <w:rFonts w:hint="eastAsia" w:ascii="仿宋_GB2312" w:hAnsi="仿宋_GB2312" w:eastAsia="仿宋_GB2312" w:cs="仿宋_GB2312"/>
          <w:kern w:val="2"/>
          <w:sz w:val="30"/>
          <w:szCs w:val="30"/>
          <w:shd w:val="clear" w:fill="FFFFFF"/>
          <w:lang w:val="en-US" w:eastAsia="zh-CN" w:bidi="ar"/>
        </w:rPr>
        <w:t>积极推动各级科协组织、学会落实习近平总书记考察湖南重要讲话精神，服务“三高四新”发展战略。</w:t>
      </w:r>
      <w:r>
        <w:rPr>
          <w:rFonts w:hint="eastAsia" w:ascii="仿宋_GB2312" w:hAnsi="仿宋_GB2312" w:eastAsia="仿宋_GB2312" w:cs="仿宋_GB2312"/>
          <w:color w:val="000000"/>
          <w:kern w:val="0"/>
          <w:sz w:val="30"/>
          <w:szCs w:val="30"/>
          <w:shd w:val="clear" w:fill="FFFFFF"/>
          <w:lang w:val="en-US" w:eastAsia="zh-CN" w:bidi="ar"/>
        </w:rPr>
        <w:t>将科协系统的政治建设摆在突出位置，进一步明确政治准则和根本政治要求，团结带领全县广大科技工作者在思想上高度认同、政治上坚决维护、组织上自觉服从、行动上紧紧跟随，做到内化于心、外化于行。深入推进开展党史学习教育，坚持以人民为中心的发展理念，深入开展“学党史我为群众办实事”主题实践活动，号召全县广大科技工作者立足岗位创先争优，践行党的初心使命，积极参加各种志愿活动，深入社区、</w:t>
      </w:r>
      <w:r>
        <w:rPr>
          <w:rFonts w:hint="eastAsia" w:ascii="仿宋_GB2312" w:hAnsi="仿宋_GB2312" w:eastAsia="仿宋_GB2312" w:cs="仿宋_GB2312"/>
          <w:kern w:val="0"/>
          <w:sz w:val="30"/>
          <w:szCs w:val="30"/>
          <w:shd w:val="clear" w:fill="FFFFFF"/>
          <w:lang w:val="en-US" w:eastAsia="zh-CN" w:bidi="ar"/>
        </w:rPr>
        <w:t>深入学校、</w:t>
      </w:r>
      <w:r>
        <w:rPr>
          <w:rFonts w:hint="eastAsia" w:ascii="仿宋_GB2312" w:hAnsi="仿宋_GB2312" w:eastAsia="仿宋_GB2312" w:cs="仿宋_GB2312"/>
          <w:color w:val="000000"/>
          <w:kern w:val="0"/>
          <w:sz w:val="30"/>
          <w:szCs w:val="30"/>
          <w:shd w:val="clear" w:fill="FFFFFF"/>
          <w:lang w:val="en-US" w:eastAsia="zh-CN" w:bidi="ar"/>
        </w:rPr>
        <w:t xml:space="preserve">深入企业、深入农村、深入机关，开展科技对接服务和科普精准服务。充分发挥党组把方向、管大局、保落实的作用，严格落实了党对一切工作的领导，充分发挥了党组在科协机关和科协系统的领导核心作用。 </w:t>
      </w:r>
    </w:p>
    <w:p>
      <w:pPr>
        <w:keepNext w:val="0"/>
        <w:keepLines w:val="0"/>
        <w:widowControl w:val="0"/>
        <w:suppressLineNumbers w:val="0"/>
        <w:adjustRightInd w:val="0"/>
        <w:snapToGrid w:val="0"/>
        <w:spacing w:before="0" w:beforeAutospacing="0" w:after="0" w:afterAutospacing="0" w:line="580" w:lineRule="exact"/>
        <w:ind w:right="0"/>
        <w:jc w:val="both"/>
        <w:rPr>
          <w:rFonts w:hint="eastAsia" w:ascii="仿宋_GB2312" w:hAnsi="仿宋_GB2312" w:eastAsia="仿宋_GB2312" w:cs="仿宋_GB2312"/>
          <w:b/>
          <w:bCs/>
          <w:sz w:val="30"/>
          <w:szCs w:val="30"/>
          <w:lang w:val="en-US"/>
        </w:rPr>
      </w:pPr>
      <w:r>
        <w:rPr>
          <w:rFonts w:hint="eastAsia" w:ascii="仿宋_GB2312" w:hAnsi="仿宋_GB2312" w:eastAsia="仿宋_GB2312" w:cs="仿宋_GB2312"/>
          <w:b/>
          <w:bCs/>
          <w:kern w:val="2"/>
          <w:sz w:val="30"/>
          <w:szCs w:val="30"/>
          <w:lang w:val="en-US" w:eastAsia="zh-CN" w:bidi="ar"/>
        </w:rPr>
        <w:t>（二）完善队伍建设，加强科协组织系统建设</w:t>
      </w:r>
    </w:p>
    <w:p>
      <w:pPr>
        <w:keepNext w:val="0"/>
        <w:keepLines w:val="0"/>
        <w:widowControl w:val="0"/>
        <w:suppressLineNumbers w:val="0"/>
        <w:adjustRightInd w:val="0"/>
        <w:snapToGrid w:val="0"/>
        <w:spacing w:before="0" w:beforeAutospacing="0" w:after="0" w:afterAutospacing="0" w:line="580" w:lineRule="exact"/>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一是召开县科协第五届委员会第三次全体会议，补选了科协主席、副主席，通过了《桃江县科学技术协会第五届委员会常委2021-2022年“四联”工作实施方案》，全委会和常委会相关制度逐步完善，科协代表、委员工作基本实现常态化。二是建立健全基层组织体系建设，11月初召开了全县基层科普服务能力建设工作推进会，对乡镇科协、村（社区）科协、园区科协和企业科协等组织建设，进行了全面部署，到年底全县规模以上工业企业和高新技术企业科协组织力争实现全覆盖。三是推进科技志愿者组织建设，大力推广应用“中国科技志愿服务”和“科普中国”APP，壮大“桃江县科技志愿分队”队伍，至11月底，注册人数达10180人。</w:t>
      </w:r>
    </w:p>
    <w:p>
      <w:pPr>
        <w:keepNext w:val="0"/>
        <w:keepLines w:val="0"/>
        <w:widowControl w:val="0"/>
        <w:suppressLineNumbers w:val="0"/>
        <w:adjustRightInd w:val="0"/>
        <w:snapToGrid w:val="0"/>
        <w:spacing w:before="0" w:beforeAutospacing="0" w:after="0" w:afterAutospacing="0" w:line="580" w:lineRule="exact"/>
        <w:ind w:right="0"/>
        <w:jc w:val="both"/>
        <w:rPr>
          <w:rFonts w:hint="eastAsia" w:ascii="仿宋_GB2312" w:hAnsi="仿宋_GB2312" w:eastAsia="仿宋_GB2312" w:cs="仿宋_GB2312"/>
          <w:b/>
          <w:bCs/>
          <w:sz w:val="30"/>
          <w:szCs w:val="30"/>
          <w:lang w:val="en-US"/>
        </w:rPr>
      </w:pPr>
      <w:r>
        <w:rPr>
          <w:rFonts w:hint="eastAsia" w:ascii="仿宋_GB2312" w:hAnsi="仿宋_GB2312" w:eastAsia="仿宋_GB2312" w:cs="仿宋_GB2312"/>
          <w:b/>
          <w:bCs/>
          <w:kern w:val="2"/>
          <w:sz w:val="30"/>
          <w:szCs w:val="30"/>
          <w:lang w:val="en-US" w:eastAsia="zh-CN" w:bidi="ar"/>
        </w:rPr>
        <w:t>（三）坚持“四个服务”，开创科协工作新局面</w:t>
      </w:r>
    </w:p>
    <w:p>
      <w:pPr>
        <w:keepNext w:val="0"/>
        <w:keepLines w:val="0"/>
        <w:widowControl w:val="0"/>
        <w:suppressLineNumbers w:val="0"/>
        <w:adjustRightInd w:val="0"/>
        <w:snapToGrid w:val="0"/>
        <w:spacing w:before="0" w:beforeAutospacing="0" w:after="0" w:afterAutospacing="0" w:line="640" w:lineRule="exact"/>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精心组织中国流动科技馆巡展活动。从5月份开始，在扬帆职业技术学校举办了为期三个月的“中国流动科技馆”湖南桃江的巡展活动，组织12000多名中小学生参观体验，启迪青少年科学思维，着力提升青少年科学素质。同时，积极争取省科普大篷车开展科普进校园活动，给石井头这所偏远山区小学师生送去了精彩的科普表演。</w:t>
      </w:r>
    </w:p>
    <w:p>
      <w:pPr>
        <w:keepNext w:val="0"/>
        <w:keepLines w:val="0"/>
        <w:widowControl w:val="0"/>
        <w:suppressLineNumbers w:val="0"/>
        <w:adjustRightInd w:val="0"/>
        <w:snapToGrid w:val="0"/>
        <w:spacing w:before="0" w:beforeAutospacing="0" w:after="0" w:afterAutospacing="0" w:line="640" w:lineRule="exact"/>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认真开展全国科普日系列活动。9月18日，联合各成员单位在桃花江镇中心学校，举行了“百年再出发，迈向高水平科技自立自强”桃江县 2021年全国科普日主场活动暨青少年科技教育联合行动启动仪式，深入宣传励志人物、创新创造、文明创建、食品安全、低碳生活、节能减排、保护环境、防灾减灾、健康生活等方面的科普知识，还举行了防溺水安全知识讲座、无人机和机器人表演与讲解等科普活动。针对五大人群，联合教育、卫健、应急、农业等单位开展了碳达峰碳中和科普联合行动、青少年科技教育联合行动、卫生健康科普联合行动、乡村振兴科普联合行动等十一项活动。</w:t>
      </w:r>
    </w:p>
    <w:p>
      <w:pPr>
        <w:keepNext w:val="0"/>
        <w:keepLines w:val="0"/>
        <w:widowControl w:val="0"/>
        <w:suppressLineNumbers w:val="0"/>
        <w:spacing w:before="0" w:beforeAutospacing="0" w:after="0" w:afterAutospacing="0"/>
        <w:ind w:left="0" w:right="0" w:firstLine="600" w:firstLineChars="2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扎实开展青少年科技活动。一是举办脑科学科普夏令营。邀请中科院脑科学与智能技术卓越创新中心主任蒲慕明院士率领团队33名研究员，联合中南大学湘雅二医院、中南大学科学技术协会等共60人专家团队，于7月17日至19日在桃江一中开展了为期3天的脑科学科普夏令营活动。主要针对青少年群体开设脑科学、心理健康、急救知识等课程，通过院士专家与学生面对面交流，学生参与科普实践，掌握面对学习压力的心理方法。二是加强青少年科技教育。联合教育局、科工局等单位组织第36届青少年科技创新大赛，并选派优秀作品参加省、市科协举办的42届青少年科技创新大赛，获省一等奖2项、二等奖3项、三等奖7项，同时对12月举行的桃江县第37届青少年科技创新大赛进行了部署安排。开展了中学生奥林匹克“五项”学科竞赛，选派了数学、物理、化学、生物等学科优秀学生参加省级联赛，共获得二等奖11个，三等奖28个。</w:t>
      </w:r>
    </w:p>
    <w:p>
      <w:pPr>
        <w:keepNext w:val="0"/>
        <w:keepLines w:val="0"/>
        <w:widowControl w:val="0"/>
        <w:suppressLineNumbers w:val="0"/>
        <w:adjustRightInd w:val="0"/>
        <w:snapToGrid w:val="0"/>
        <w:spacing w:before="0" w:beforeAutospacing="0" w:after="0" w:afterAutospacing="0" w:line="600" w:lineRule="exact"/>
        <w:ind w:left="0" w:right="0" w:firstLine="600" w:firstLineChars="200"/>
        <w:jc w:val="both"/>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认真组织实施五项科普提升行动。针对青少年、农民、产业工人、老年人、领导干部和公务员五大科普重点人群，深入开展各类科普行动，着力提升科学素质。积极构建“互联网+科普”模式，不断深化桃江科普网、科普e站、“科普桃江”微信公众号和科普短信平台建设，推动了科普工作创新发展，着力解决科普信息传播“最后一公里”问题。组织开展发动各级科协3万多人次参与第五届湖南省科学素质网络大赛。联合县委宣传部、卫健局等20多个部门，组织60多名文艺、医疗、农技工作者，开展“三下乡”活动，组织科技专家服务团赴进乡村进农户进企业，开展春耕生产、竹笋高效培养、加工与销售等知识培训，着力提升新兴职业农民的科学技术水平。通过科普活动周、爱国卫生月、防灾减灾日等主题活动，以“科普防疫”、“防灾减灾日”、“防溺水”、“创建百岁健康县”等系列科普活动为主题，对机关干部、城镇各类从业人员、社区居民、青少年和老年人等各类群体，进行应急避灾、食品安全、健康养生等知识普及。</w:t>
      </w:r>
    </w:p>
    <w:p>
      <w:pPr>
        <w:keepNext w:val="0"/>
        <w:keepLines w:val="0"/>
        <w:widowControl w:val="0"/>
        <w:numPr>
          <w:ilvl w:val="0"/>
          <w:numId w:val="0"/>
        </w:numPr>
        <w:suppressLineNumbers w:val="0"/>
        <w:adjustRightInd w:val="0"/>
        <w:snapToGrid w:val="0"/>
        <w:spacing w:before="0" w:beforeAutospacing="0" w:after="0" w:afterAutospacing="0" w:line="600" w:lineRule="exact"/>
        <w:ind w:leftChars="0" w:right="0" w:rightChars="0"/>
        <w:jc w:val="both"/>
        <w:rPr>
          <w:rFonts w:hint="eastAsia" w:ascii="仿宋_GB2312" w:hAnsi="仿宋_GB2312" w:eastAsia="仿宋_GB2312" w:cs="仿宋_GB2312"/>
          <w:b/>
          <w:bCs/>
          <w:kern w:val="2"/>
          <w:sz w:val="30"/>
          <w:szCs w:val="30"/>
          <w:lang w:val="en-US" w:eastAsia="zh-CN" w:bidi="ar"/>
        </w:rPr>
      </w:pPr>
      <w:r>
        <w:rPr>
          <w:rFonts w:hint="eastAsia" w:ascii="仿宋_GB2312" w:hAnsi="仿宋_GB2312" w:eastAsia="仿宋_GB2312" w:cs="仿宋_GB2312"/>
          <w:b/>
          <w:bCs/>
          <w:kern w:val="2"/>
          <w:sz w:val="30"/>
          <w:szCs w:val="30"/>
          <w:lang w:val="en-US" w:eastAsia="zh-CN" w:bidi="ar"/>
        </w:rPr>
        <w:t>三、部门整体支出管理及使用情况</w:t>
      </w:r>
    </w:p>
    <w:p>
      <w:pPr>
        <w:keepNext w:val="0"/>
        <w:keepLines w:val="0"/>
        <w:widowControl w:val="0"/>
        <w:numPr>
          <w:ilvl w:val="0"/>
          <w:numId w:val="0"/>
        </w:numPr>
        <w:suppressLineNumbers w:val="0"/>
        <w:adjustRightInd w:val="0"/>
        <w:snapToGrid w:val="0"/>
        <w:spacing w:before="0" w:beforeAutospacing="0" w:after="0" w:afterAutospacing="0" w:line="600" w:lineRule="exact"/>
        <w:ind w:leftChars="0" w:right="0" w:rightChars="0" w:firstLine="600" w:firstLineChars="200"/>
        <w:jc w:val="both"/>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2021年收支总计180.1万元全部为财政拨款人员经费125.37万元和公用经费与科普活动宣传费54.74万元。科普宣传活动费严格按照年初预算专项使用。2021年我单位根据年初工作规划和重点性工作，围绕县委县政府，积极履行，强化管理，较好的完成了年度工作目标。通过加强预算收支管理。建立健全了单位内部财务制度，梳理了内部管理流程，部门整体支出管理情况得到提升。</w:t>
      </w:r>
    </w:p>
    <w:p>
      <w:pPr>
        <w:keepNext w:val="0"/>
        <w:keepLines w:val="0"/>
        <w:widowControl w:val="0"/>
        <w:numPr>
          <w:ilvl w:val="0"/>
          <w:numId w:val="2"/>
        </w:numPr>
        <w:suppressLineNumbers w:val="0"/>
        <w:adjustRightInd w:val="0"/>
        <w:snapToGrid w:val="0"/>
        <w:spacing w:before="0" w:beforeAutospacing="0" w:after="0" w:afterAutospacing="0" w:line="600" w:lineRule="exact"/>
        <w:ind w:right="0" w:rightChars="0"/>
        <w:jc w:val="both"/>
        <w:rPr>
          <w:rFonts w:hint="eastAsia" w:ascii="仿宋_GB2312" w:hAnsi="仿宋_GB2312" w:eastAsia="仿宋_GB2312" w:cs="仿宋_GB2312"/>
          <w:b/>
          <w:bCs/>
          <w:kern w:val="2"/>
          <w:sz w:val="30"/>
          <w:szCs w:val="30"/>
          <w:lang w:val="en-US" w:eastAsia="zh-CN" w:bidi="ar"/>
        </w:rPr>
      </w:pPr>
      <w:r>
        <w:rPr>
          <w:rFonts w:hint="eastAsia" w:ascii="仿宋_GB2312" w:hAnsi="仿宋_GB2312" w:eastAsia="仿宋_GB2312" w:cs="仿宋_GB2312"/>
          <w:b/>
          <w:bCs/>
          <w:kern w:val="2"/>
          <w:sz w:val="30"/>
          <w:szCs w:val="30"/>
          <w:lang w:val="en-US" w:eastAsia="zh-CN" w:bidi="ar"/>
        </w:rPr>
        <w:t>经济效益评价</w:t>
      </w:r>
    </w:p>
    <w:p>
      <w:pPr>
        <w:keepNext w:val="0"/>
        <w:keepLines w:val="0"/>
        <w:widowControl w:val="0"/>
        <w:numPr>
          <w:ilvl w:val="0"/>
          <w:numId w:val="3"/>
        </w:numPr>
        <w:suppressLineNumbers w:val="0"/>
        <w:adjustRightInd w:val="0"/>
        <w:snapToGrid w:val="0"/>
        <w:spacing w:before="0" w:beforeAutospacing="0" w:after="0" w:afterAutospacing="0" w:line="600" w:lineRule="exact"/>
        <w:ind w:right="0" w:rightChars="0"/>
        <w:jc w:val="both"/>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我协会根据年初预算安排全面分析综合评价本级财政资金使用管理情况，切实提高了财政资金的使用效益，强化预算资金支出的正确使用，预算配置控制较好。</w:t>
      </w:r>
    </w:p>
    <w:p>
      <w:pPr>
        <w:keepNext w:val="0"/>
        <w:keepLines w:val="0"/>
        <w:widowControl w:val="0"/>
        <w:numPr>
          <w:ilvl w:val="0"/>
          <w:numId w:val="3"/>
        </w:numPr>
        <w:suppressLineNumbers w:val="0"/>
        <w:adjustRightInd w:val="0"/>
        <w:snapToGrid w:val="0"/>
        <w:spacing w:before="0" w:beforeAutospacing="0" w:after="0" w:afterAutospacing="0" w:line="600" w:lineRule="exact"/>
        <w:ind w:right="0" w:rightChars="0"/>
        <w:jc w:val="both"/>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预算执行方面。支出总额控制在预算总额以内。本年本部门预算进行了相关事项的调整。“三公”经费整体控制较好，未超过年初预算。</w:t>
      </w:r>
    </w:p>
    <w:p>
      <w:pPr>
        <w:keepNext w:val="0"/>
        <w:keepLines w:val="0"/>
        <w:widowControl w:val="0"/>
        <w:numPr>
          <w:ilvl w:val="0"/>
          <w:numId w:val="2"/>
        </w:numPr>
        <w:suppressLineNumbers w:val="0"/>
        <w:adjustRightInd w:val="0"/>
        <w:snapToGrid w:val="0"/>
        <w:spacing w:before="0" w:beforeAutospacing="0" w:after="0" w:afterAutospacing="0" w:line="600" w:lineRule="exact"/>
        <w:ind w:left="0" w:leftChars="0" w:right="0" w:rightChars="0" w:firstLine="0" w:firstLineChars="0"/>
        <w:jc w:val="both"/>
        <w:rPr>
          <w:rFonts w:hint="eastAsia" w:ascii="仿宋_GB2312" w:hAnsi="仿宋_GB2312" w:eastAsia="仿宋_GB2312" w:cs="仿宋_GB2312"/>
          <w:b/>
          <w:bCs/>
          <w:kern w:val="2"/>
          <w:sz w:val="30"/>
          <w:szCs w:val="30"/>
          <w:lang w:val="en-US" w:eastAsia="zh-CN" w:bidi="ar"/>
        </w:rPr>
      </w:pPr>
      <w:r>
        <w:rPr>
          <w:rFonts w:hint="eastAsia" w:ascii="仿宋_GB2312" w:hAnsi="仿宋_GB2312" w:eastAsia="仿宋_GB2312" w:cs="仿宋_GB2312"/>
          <w:b/>
          <w:bCs/>
          <w:kern w:val="2"/>
          <w:sz w:val="30"/>
          <w:szCs w:val="30"/>
          <w:lang w:val="en-US" w:eastAsia="zh-CN" w:bidi="ar"/>
        </w:rPr>
        <w:t>社会公众满意度评价</w:t>
      </w:r>
    </w:p>
    <w:p>
      <w:pPr>
        <w:keepNext w:val="0"/>
        <w:keepLines w:val="0"/>
        <w:widowControl w:val="0"/>
        <w:numPr>
          <w:ilvl w:val="0"/>
          <w:numId w:val="0"/>
        </w:numPr>
        <w:suppressLineNumbers w:val="0"/>
        <w:adjustRightInd w:val="0"/>
        <w:snapToGrid w:val="0"/>
        <w:spacing w:before="0" w:beforeAutospacing="0" w:after="0" w:afterAutospacing="0" w:line="600" w:lineRule="exact"/>
        <w:ind w:leftChars="0" w:right="0" w:rightChars="0" w:firstLine="300" w:firstLineChars="100"/>
        <w:jc w:val="both"/>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在2021年民主测评中，财政拨款收入与支出管理规范，科普宣传根据年初制定的工作任务以按计划完成，社会效益较好，服务对象整体满意，满意度为100%。</w:t>
      </w:r>
    </w:p>
    <w:p>
      <w:pPr>
        <w:pStyle w:val="5"/>
        <w:keepNext w:val="0"/>
        <w:keepLines w:val="0"/>
        <w:pageBreakBefore w:val="0"/>
        <w:kinsoku/>
        <w:wordWrap/>
        <w:overflowPunct/>
        <w:autoSpaceDE/>
        <w:autoSpaceDN/>
        <w:bidi w:val="0"/>
        <w:snapToGrid/>
        <w:spacing w:beforeAutospacing="0" w:afterAutospacing="0" w:line="620" w:lineRule="exact"/>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、绩效评价</w:t>
      </w:r>
      <w:r>
        <w:rPr>
          <w:rFonts w:hint="eastAsia" w:ascii="黑体" w:hAnsi="黑体" w:eastAsia="黑体" w:cs="黑体"/>
          <w:b w:val="0"/>
          <w:bCs w:val="0"/>
          <w:color w:val="auto"/>
          <w:sz w:val="32"/>
          <w:szCs w:val="32"/>
          <w:lang w:val="en-US" w:eastAsia="zh-CN"/>
        </w:rPr>
        <w:t>工作</w:t>
      </w:r>
      <w:r>
        <w:rPr>
          <w:rFonts w:hint="eastAsia" w:ascii="黑体" w:hAnsi="黑体" w:eastAsia="黑体" w:cs="黑体"/>
          <w:b w:val="0"/>
          <w:bCs w:val="0"/>
          <w:color w:val="auto"/>
          <w:sz w:val="32"/>
          <w:szCs w:val="32"/>
        </w:rPr>
        <w:t>开展情况</w:t>
      </w:r>
    </w:p>
    <w:p>
      <w:pPr>
        <w:pStyle w:val="5"/>
        <w:keepNext w:val="0"/>
        <w:keepLines w:val="0"/>
        <w:pageBreakBefore w:val="0"/>
        <w:kinsoku/>
        <w:wordWrap/>
        <w:overflowPunct/>
        <w:autoSpaceDE/>
        <w:autoSpaceDN/>
        <w:bidi w:val="0"/>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根据县部门整体支出绩效评价的工作方案、评价指标。我们组织人员对20</w:t>
      </w:r>
      <w:r>
        <w:rPr>
          <w:rFonts w:hint="eastAsia" w:ascii="仿宋_GB2312" w:hAnsi="仿宋_GB2312" w:eastAsia="仿宋_GB2312" w:cs="仿宋_GB2312"/>
          <w:b w:val="0"/>
          <w:bCs/>
          <w:color w:val="auto"/>
          <w:sz w:val="32"/>
          <w:szCs w:val="32"/>
          <w:lang w:val="en-US" w:eastAsia="zh-CN"/>
        </w:rPr>
        <w:t>21</w:t>
      </w:r>
      <w:r>
        <w:rPr>
          <w:rFonts w:hint="eastAsia" w:ascii="仿宋_GB2312" w:hAnsi="仿宋_GB2312" w:eastAsia="仿宋_GB2312" w:cs="仿宋_GB2312"/>
          <w:b w:val="0"/>
          <w:bCs/>
          <w:color w:val="auto"/>
          <w:sz w:val="32"/>
          <w:szCs w:val="32"/>
        </w:rPr>
        <w:t>年度整体支出进行了评价工作，绩效评价工作主要有：</w:t>
      </w:r>
    </w:p>
    <w:p>
      <w:pPr>
        <w:pStyle w:val="5"/>
        <w:keepNext w:val="0"/>
        <w:keepLines w:val="0"/>
        <w:pageBreakBefore w:val="0"/>
        <w:numPr>
          <w:ilvl w:val="0"/>
          <w:numId w:val="4"/>
        </w:numPr>
        <w:kinsoku/>
        <w:wordWrap/>
        <w:overflowPunct/>
        <w:autoSpaceDE/>
        <w:autoSpaceDN/>
        <w:bidi w:val="0"/>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color w:val="auto"/>
          <w:sz w:val="32"/>
          <w:szCs w:val="32"/>
        </w:rPr>
        <w:t>核实数据。对20</w:t>
      </w:r>
      <w:r>
        <w:rPr>
          <w:rFonts w:hint="eastAsia" w:ascii="仿宋_GB2312" w:hAnsi="仿宋_GB2312" w:eastAsia="仿宋_GB2312" w:cs="仿宋_GB2312"/>
          <w:b w:val="0"/>
          <w:bCs/>
          <w:color w:val="auto"/>
          <w:sz w:val="32"/>
          <w:szCs w:val="32"/>
          <w:lang w:val="en-US" w:eastAsia="zh-CN"/>
        </w:rPr>
        <w:t>21</w:t>
      </w:r>
      <w:r>
        <w:rPr>
          <w:rFonts w:hint="eastAsia" w:ascii="仿宋_GB2312" w:hAnsi="仿宋_GB2312" w:eastAsia="仿宋_GB2312" w:cs="仿宋_GB2312"/>
          <w:b w:val="0"/>
          <w:bCs/>
          <w:color w:val="auto"/>
          <w:sz w:val="32"/>
          <w:szCs w:val="32"/>
        </w:rPr>
        <w:t>年度部门整体支出数据的准确性、真实性进行核实。</w:t>
      </w:r>
    </w:p>
    <w:p>
      <w:pPr>
        <w:pStyle w:val="5"/>
        <w:keepNext w:val="0"/>
        <w:keepLines w:val="0"/>
        <w:pageBreakBefore w:val="0"/>
        <w:numPr>
          <w:ilvl w:val="0"/>
          <w:numId w:val="4"/>
        </w:numPr>
        <w:kinsoku/>
        <w:wordWrap/>
        <w:overflowPunct/>
        <w:autoSpaceDE/>
        <w:autoSpaceDN/>
        <w:bidi w:val="0"/>
        <w:snapToGrid/>
        <w:spacing w:beforeAutospacing="0" w:afterAutospacing="0" w:line="620" w:lineRule="exact"/>
        <w:ind w:left="0" w:leftChars="0" w:firstLine="640" w:firstLineChars="200"/>
        <w:jc w:val="both"/>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b w:val="0"/>
          <w:bCs/>
          <w:color w:val="auto"/>
          <w:sz w:val="32"/>
          <w:szCs w:val="32"/>
        </w:rPr>
        <w:t>结合整体支出评价要求进行综合分析、归纳汇总。</w:t>
      </w:r>
      <w:r>
        <w:rPr>
          <w:rFonts w:hint="eastAsia" w:ascii="仿宋_GB2312" w:hAnsi="仿宋_GB2312" w:eastAsia="仿宋_GB2312" w:cs="仿宋_GB2312"/>
          <w:b w:val="0"/>
          <w:bCs/>
          <w:color w:val="auto"/>
          <w:sz w:val="32"/>
          <w:szCs w:val="32"/>
          <w:lang w:val="en-US" w:eastAsia="zh-CN"/>
        </w:rPr>
        <w:t>加强了预算执行管理，按照预算规定的费用项目和用途统筹安排支出，在预算金额内严格控制费用支出，控制超支现象的发生，加强了整体支出开展进度的跟踪，确保了整体绩效目标的完成。</w:t>
      </w:r>
    </w:p>
    <w:p>
      <w:pPr>
        <w:keepNext w:val="0"/>
        <w:keepLines w:val="0"/>
        <w:pageBreakBefore w:val="0"/>
        <w:kinsoku/>
        <w:wordWrap/>
        <w:overflowPunct/>
        <w:topLinePunct w:val="0"/>
        <w:autoSpaceDE/>
        <w:autoSpaceDN/>
        <w:bidi w:val="0"/>
        <w:adjustRightInd/>
        <w:snapToGrid/>
        <w:spacing w:beforeAutospacing="0" w:afterAutospacing="0" w:line="620" w:lineRule="exact"/>
        <w:ind w:firstLine="320" w:firstLineChars="1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改进措施和有关建议</w:t>
      </w:r>
    </w:p>
    <w:p>
      <w:pPr>
        <w:keepNext w:val="0"/>
        <w:keepLines w:val="0"/>
        <w:pageBreakBefore w:val="0"/>
        <w:kinsoku/>
        <w:wordWrap/>
        <w:overflowPunct/>
        <w:topLinePunct w:val="0"/>
        <w:autoSpaceDE/>
        <w:autoSpaceDN/>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1、加强对绩效管理的重视程度，强化预算编制，进一步提高预算编制的科学性、严谨性和可靠性。</w:t>
      </w:r>
    </w:p>
    <w:p>
      <w:pPr>
        <w:keepNext w:val="0"/>
        <w:keepLines w:val="0"/>
        <w:pageBreakBefore w:val="0"/>
        <w:kinsoku/>
        <w:wordWrap/>
        <w:overflowPunct/>
        <w:topLinePunct w:val="0"/>
        <w:autoSpaceDE/>
        <w:autoSpaceDN/>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2、加强财务管理，严格财务审核，事项管理方面，进一步完善项目管理制度，按照预算规定的费用项目和用途进行资金使用审核、报批支付。</w:t>
      </w:r>
    </w:p>
    <w:p>
      <w:pPr>
        <w:keepNext w:val="0"/>
        <w:keepLines w:val="0"/>
        <w:pageBreakBefore w:val="0"/>
        <w:kinsoku/>
        <w:wordWrap/>
        <w:overflowPunct/>
        <w:topLinePunct w:val="0"/>
        <w:autoSpaceDE/>
        <w:autoSpaceDN/>
        <w:bidi w:val="0"/>
        <w:adjustRightInd/>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3、持续抓好“三公”经费的控制管理，把关“三公”经费支出的审核、审批，合理压缩“三公”经费支出，</w:t>
      </w:r>
      <w:r>
        <w:rPr>
          <w:rFonts w:hint="eastAsia" w:ascii="仿宋_GB2312" w:hAnsi="仿宋_GB2312" w:eastAsia="仿宋_GB2312" w:cs="仿宋_GB2312"/>
          <w:color w:val="auto"/>
          <w:sz w:val="32"/>
          <w:szCs w:val="32"/>
          <w:lang w:val="en-US" w:eastAsia="zh-CN"/>
        </w:rPr>
        <w:t>杜绝挪用和其他预算资金行为。</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autoSpaceDE/>
        <w:autoSpaceDN/>
        <w:bidi w:val="0"/>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b/>
          <w:color w:val="auto"/>
          <w:spacing w:val="-11"/>
          <w:sz w:val="32"/>
          <w:szCs w:val="32"/>
        </w:rPr>
      </w:pP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auto"/>
          <w:spacing w:val="-11"/>
          <w:sz w:val="32"/>
          <w:szCs w:val="32"/>
        </w:rPr>
        <w:t>桃江县202</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eastAsia="仿宋_GB2312" w:cs="仿宋_GB2312"/>
          <w:color w:val="auto"/>
          <w:spacing w:val="-11"/>
          <w:sz w:val="32"/>
          <w:szCs w:val="32"/>
        </w:rPr>
        <w:t>年度部门整体支出绩效评价基础数据表</w:t>
      </w:r>
    </w:p>
    <w:p>
      <w:pPr>
        <w:keepNext w:val="0"/>
        <w:keepLines w:val="0"/>
        <w:pageBreakBefore w:val="0"/>
        <w:kinsoku/>
        <w:wordWrap/>
        <w:overflowPunct/>
        <w:topLinePunct/>
        <w:autoSpaceDE/>
        <w:autoSpaceDN/>
        <w:bidi w:val="0"/>
        <w:snapToGrid/>
        <w:spacing w:beforeAutospacing="0" w:afterAutospacing="0" w:line="620" w:lineRule="exact"/>
        <w:ind w:left="0" w:leftChars="0" w:firstLine="640" w:firstLineChars="200"/>
        <w:jc w:val="both"/>
        <w:textAlignment w:val="auto"/>
        <w:rPr>
          <w:rFonts w:hint="eastAsia" w:ascii="仿宋_GB2312" w:hAnsi="仿宋_GB2312" w:eastAsia="仿宋_GB2312" w:cs="仿宋_GB2312"/>
          <w:color w:val="auto"/>
          <w:spacing w:val="-17"/>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pacing w:val="-17"/>
          <w:sz w:val="32"/>
          <w:szCs w:val="32"/>
        </w:rPr>
        <w:t>桃江县202</w:t>
      </w:r>
      <w:r>
        <w:rPr>
          <w:rFonts w:hint="eastAsia" w:ascii="仿宋_GB2312" w:hAnsi="仿宋_GB2312" w:eastAsia="仿宋_GB2312" w:cs="仿宋_GB2312"/>
          <w:color w:val="auto"/>
          <w:spacing w:val="-17"/>
          <w:sz w:val="32"/>
          <w:szCs w:val="32"/>
          <w:lang w:val="en-US" w:eastAsia="zh-CN"/>
        </w:rPr>
        <w:t>1</w:t>
      </w:r>
      <w:r>
        <w:rPr>
          <w:rFonts w:hint="eastAsia" w:ascii="仿宋_GB2312" w:hAnsi="仿宋_GB2312" w:eastAsia="仿宋_GB2312" w:cs="仿宋_GB2312"/>
          <w:color w:val="auto"/>
          <w:spacing w:val="-17"/>
          <w:sz w:val="32"/>
          <w:szCs w:val="32"/>
        </w:rPr>
        <w:t>年度部门整体支出绩效评价指标及评分表</w:t>
      </w:r>
    </w:p>
    <w:p>
      <w:pPr>
        <w:pStyle w:val="2"/>
        <w:rPr>
          <w:rFonts w:hint="default" w:ascii="仿宋_GB2312" w:hAnsi="仿宋_GB2312" w:eastAsia="仿宋_GB2312" w:cs="仿宋_GB2312"/>
          <w:color w:val="auto"/>
          <w:sz w:val="32"/>
          <w:szCs w:val="32"/>
          <w:lang w:val="en-US" w:eastAsia="zh-CN"/>
        </w:rPr>
      </w:pPr>
    </w:p>
    <w:p>
      <w:pPr>
        <w:widowControl/>
        <w:spacing w:line="594" w:lineRule="exact"/>
        <w:jc w:val="left"/>
        <w:rPr>
          <w:rFonts w:eastAsia="黑体"/>
          <w:bCs/>
          <w:kern w:val="0"/>
          <w:szCs w:val="32"/>
        </w:rPr>
      </w:pPr>
    </w:p>
    <w:p>
      <w:pPr>
        <w:widowControl/>
        <w:spacing w:line="594" w:lineRule="exact"/>
        <w:jc w:val="left"/>
        <w:rPr>
          <w:rFonts w:eastAsia="黑体"/>
          <w:bCs/>
          <w:kern w:val="0"/>
          <w:szCs w:val="32"/>
        </w:rPr>
      </w:pPr>
    </w:p>
    <w:p>
      <w:pPr>
        <w:widowControl/>
        <w:spacing w:line="594" w:lineRule="exact"/>
        <w:jc w:val="left"/>
        <w:rPr>
          <w:rFonts w:eastAsia="黑体"/>
          <w:bCs/>
          <w:kern w:val="0"/>
          <w:szCs w:val="32"/>
        </w:rPr>
      </w:pPr>
    </w:p>
    <w:p>
      <w:pPr>
        <w:widowControl/>
        <w:spacing w:line="594" w:lineRule="exact"/>
        <w:jc w:val="left"/>
        <w:rPr>
          <w:rFonts w:eastAsia="黑体"/>
          <w:bCs/>
          <w:kern w:val="0"/>
          <w:szCs w:val="32"/>
        </w:rPr>
      </w:pPr>
    </w:p>
    <w:p>
      <w:pPr>
        <w:widowControl/>
        <w:spacing w:line="594" w:lineRule="exact"/>
        <w:jc w:val="left"/>
        <w:rPr>
          <w:rFonts w:eastAsia="黑体"/>
          <w:bCs/>
          <w:kern w:val="0"/>
          <w:szCs w:val="32"/>
        </w:rPr>
      </w:pPr>
    </w:p>
    <w:p>
      <w:pPr>
        <w:widowControl/>
        <w:spacing w:line="594" w:lineRule="exact"/>
        <w:jc w:val="left"/>
        <w:rPr>
          <w:rFonts w:eastAsia="黑体"/>
          <w:bCs/>
          <w:kern w:val="0"/>
          <w:szCs w:val="32"/>
        </w:rPr>
      </w:pPr>
    </w:p>
    <w:p>
      <w:pPr>
        <w:widowControl/>
        <w:spacing w:line="594" w:lineRule="exact"/>
        <w:jc w:val="left"/>
        <w:rPr>
          <w:rFonts w:eastAsia="黑体"/>
          <w:bCs/>
          <w:kern w:val="0"/>
          <w:szCs w:val="32"/>
        </w:rPr>
      </w:pPr>
      <w:r>
        <w:rPr>
          <w:rFonts w:eastAsia="黑体"/>
          <w:bCs/>
          <w:kern w:val="0"/>
          <w:szCs w:val="32"/>
        </w:rPr>
        <w:t>附件1</w:t>
      </w:r>
    </w:p>
    <w:p>
      <w:pPr>
        <w:widowControl/>
        <w:spacing w:line="594" w:lineRule="exact"/>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1</w:t>
      </w:r>
      <w:r>
        <w:rPr>
          <w:rFonts w:eastAsia="方正小标宋简体"/>
          <w:bCs/>
          <w:kern w:val="0"/>
          <w:sz w:val="44"/>
          <w:szCs w:val="44"/>
        </w:rPr>
        <w:t>年度部门整体支出绩效评价基础数据表</w:t>
      </w:r>
    </w:p>
    <w:p>
      <w:pPr>
        <w:widowControl/>
        <w:spacing w:line="594" w:lineRule="exact"/>
        <w:jc w:val="left"/>
        <w:rPr>
          <w:rFonts w:eastAsia="宋体"/>
          <w:kern w:val="0"/>
          <w:sz w:val="24"/>
        </w:rPr>
      </w:pPr>
      <w:r>
        <w:rPr>
          <w:rFonts w:eastAsia="宋体"/>
          <w:kern w:val="0"/>
          <w:sz w:val="24"/>
        </w:rPr>
        <w:t>单位名称（盖章）：</w:t>
      </w:r>
      <w:r>
        <w:rPr>
          <w:rFonts w:hint="eastAsia" w:eastAsia="宋体"/>
          <w:kern w:val="0"/>
          <w:sz w:val="24"/>
          <w:lang w:eastAsia="zh-CN"/>
        </w:rPr>
        <w:t>桃江县科学技术协会</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填报日期</w:t>
      </w:r>
      <w:r>
        <w:rPr>
          <w:rFonts w:hint="eastAsia" w:eastAsia="宋体"/>
          <w:kern w:val="0"/>
          <w:sz w:val="24"/>
          <w:lang w:eastAsia="zh-CN"/>
        </w:rPr>
        <w:t>：</w:t>
      </w:r>
      <w:r>
        <w:rPr>
          <w:rFonts w:hint="eastAsia" w:eastAsia="宋体"/>
          <w:kern w:val="0"/>
          <w:sz w:val="24"/>
          <w:lang w:val="en-US" w:eastAsia="zh-CN"/>
        </w:rPr>
        <w:t>2021</w:t>
      </w:r>
      <w:r>
        <w:rPr>
          <w:rFonts w:eastAsia="宋体"/>
          <w:kern w:val="0"/>
          <w:sz w:val="24"/>
        </w:rPr>
        <w:t>年</w:t>
      </w:r>
      <w:r>
        <w:rPr>
          <w:rFonts w:hint="eastAsia" w:eastAsia="宋体"/>
          <w:kern w:val="0"/>
          <w:sz w:val="24"/>
          <w:lang w:val="en-US" w:eastAsia="zh-CN"/>
        </w:rPr>
        <w:t>3</w:t>
      </w:r>
      <w:r>
        <w:rPr>
          <w:rFonts w:eastAsia="宋体"/>
          <w:kern w:val="0"/>
          <w:sz w:val="24"/>
        </w:rPr>
        <w:t>月</w:t>
      </w:r>
      <w:r>
        <w:rPr>
          <w:rFonts w:hint="eastAsia" w:eastAsia="宋体"/>
          <w:kern w:val="0"/>
          <w:sz w:val="24"/>
          <w:lang w:val="en-US" w:eastAsia="zh-CN"/>
        </w:rPr>
        <w:t>27</w:t>
      </w:r>
      <w:r>
        <w:rPr>
          <w:rFonts w:eastAsia="宋体"/>
          <w:kern w:val="0"/>
          <w:sz w:val="24"/>
        </w:rPr>
        <w:t>日           金额单位：万元（保留两位小数）</w:t>
      </w:r>
    </w:p>
    <w:tbl>
      <w:tblPr>
        <w:tblStyle w:val="7"/>
        <w:tblpPr w:leftFromText="180" w:rightFromText="180" w:vertAnchor="text" w:horzAnchor="page" w:tblpX="647" w:tblpY="160"/>
        <w:tblOverlap w:val="never"/>
        <w:tblW w:w="15978" w:type="dxa"/>
        <w:tblInd w:w="0" w:type="dxa"/>
        <w:tblLayout w:type="fixed"/>
        <w:tblCellMar>
          <w:top w:w="0" w:type="dxa"/>
          <w:left w:w="108" w:type="dxa"/>
          <w:bottom w:w="0" w:type="dxa"/>
          <w:right w:w="108" w:type="dxa"/>
        </w:tblCellMar>
      </w:tblPr>
      <w:tblGrid>
        <w:gridCol w:w="715"/>
        <w:gridCol w:w="613"/>
        <w:gridCol w:w="571"/>
        <w:gridCol w:w="650"/>
        <w:gridCol w:w="612"/>
        <w:gridCol w:w="612"/>
        <w:gridCol w:w="610"/>
        <w:gridCol w:w="501"/>
        <w:gridCol w:w="721"/>
        <w:gridCol w:w="612"/>
        <w:gridCol w:w="611"/>
        <w:gridCol w:w="553"/>
        <w:gridCol w:w="389"/>
        <w:gridCol w:w="513"/>
        <w:gridCol w:w="494"/>
        <w:gridCol w:w="982"/>
        <w:gridCol w:w="719"/>
        <w:gridCol w:w="609"/>
        <w:gridCol w:w="612"/>
        <w:gridCol w:w="613"/>
        <w:gridCol w:w="607"/>
        <w:gridCol w:w="611"/>
        <w:gridCol w:w="615"/>
        <w:gridCol w:w="612"/>
        <w:gridCol w:w="611"/>
        <w:gridCol w:w="610"/>
      </w:tblGrid>
      <w:tr>
        <w:tblPrEx>
          <w:tblCellMar>
            <w:top w:w="0" w:type="dxa"/>
            <w:left w:w="108" w:type="dxa"/>
            <w:bottom w:w="0" w:type="dxa"/>
            <w:right w:w="108" w:type="dxa"/>
          </w:tblCellMar>
        </w:tblPrEx>
        <w:trPr>
          <w:trHeight w:val="90" w:hRule="atLeast"/>
        </w:trPr>
        <w:tc>
          <w:tcPr>
            <w:tcW w:w="1899" w:type="dxa"/>
            <w:gridSpan w:val="3"/>
            <w:vMerge w:val="restart"/>
            <w:tcBorders>
              <w:top w:val="single" w:color="auto" w:sz="12"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firstLine="240" w:firstLineChars="100"/>
              <w:rPr>
                <w:rFonts w:hint="default" w:eastAsia="黑体"/>
                <w:bCs/>
                <w:kern w:val="0"/>
                <w:sz w:val="24"/>
              </w:rPr>
            </w:pPr>
            <w:r>
              <w:rPr>
                <w:rFonts w:hint="default" w:eastAsia="黑体"/>
                <w:bCs/>
                <w:kern w:val="0"/>
                <w:sz w:val="24"/>
              </w:rPr>
              <w:t>年初预算</w:t>
            </w:r>
          </w:p>
        </w:tc>
        <w:tc>
          <w:tcPr>
            <w:tcW w:w="2985" w:type="dxa"/>
            <w:gridSpan w:val="5"/>
            <w:vMerge w:val="restart"/>
            <w:tcBorders>
              <w:top w:val="single" w:color="auto" w:sz="12"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收入来源</w:t>
            </w:r>
          </w:p>
        </w:tc>
        <w:tc>
          <w:tcPr>
            <w:tcW w:w="9261" w:type="dxa"/>
            <w:gridSpan w:val="15"/>
            <w:tcBorders>
              <w:top w:val="single" w:color="auto" w:sz="12"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实际支出</w:t>
            </w:r>
          </w:p>
        </w:tc>
        <w:tc>
          <w:tcPr>
            <w:tcW w:w="1833" w:type="dxa"/>
            <w:gridSpan w:val="3"/>
            <w:vMerge w:val="restart"/>
            <w:tcBorders>
              <w:top w:val="single" w:color="auto" w:sz="12" w:space="0"/>
              <w:left w:val="single" w:color="auto" w:sz="4" w:space="0"/>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eastAsia" w:eastAsia="黑体"/>
                <w:bCs/>
                <w:kern w:val="0"/>
                <w:sz w:val="24"/>
              </w:rPr>
              <w:t>年末</w:t>
            </w:r>
            <w:r>
              <w:rPr>
                <w:rFonts w:hint="default" w:eastAsia="黑体"/>
                <w:bCs/>
                <w:kern w:val="0"/>
                <w:sz w:val="24"/>
              </w:rPr>
              <w:t>结转结余</w:t>
            </w:r>
          </w:p>
        </w:tc>
      </w:tr>
      <w:tr>
        <w:tblPrEx>
          <w:tblCellMar>
            <w:top w:w="0" w:type="dxa"/>
            <w:left w:w="108" w:type="dxa"/>
            <w:bottom w:w="0" w:type="dxa"/>
            <w:right w:w="108" w:type="dxa"/>
          </w:tblCellMar>
        </w:tblPrEx>
        <w:trPr>
          <w:trHeight w:val="90" w:hRule="atLeast"/>
        </w:trPr>
        <w:tc>
          <w:tcPr>
            <w:tcW w:w="1899" w:type="dxa"/>
            <w:gridSpan w:val="3"/>
            <w:vMerge w:val="continue"/>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黑体"/>
                <w:bCs/>
                <w:kern w:val="0"/>
                <w:sz w:val="24"/>
              </w:rPr>
            </w:pPr>
          </w:p>
        </w:tc>
        <w:tc>
          <w:tcPr>
            <w:tcW w:w="2985"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黑体"/>
                <w:bCs/>
                <w:kern w:val="0"/>
                <w:sz w:val="24"/>
              </w:rPr>
            </w:pPr>
          </w:p>
        </w:tc>
        <w:tc>
          <w:tcPr>
            <w:tcW w:w="3893" w:type="dxa"/>
            <w:gridSpan w:val="7"/>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基本支出</w:t>
            </w:r>
          </w:p>
        </w:tc>
        <w:tc>
          <w:tcPr>
            <w:tcW w:w="5368" w:type="dxa"/>
            <w:gridSpan w:val="8"/>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项目支出</w:t>
            </w:r>
          </w:p>
        </w:tc>
        <w:tc>
          <w:tcPr>
            <w:tcW w:w="1833" w:type="dxa"/>
            <w:gridSpan w:val="3"/>
            <w:vMerge w:val="continue"/>
            <w:tcBorders>
              <w:top w:val="single" w:color="auto" w:sz="4" w:space="0"/>
              <w:left w:val="single" w:color="auto" w:sz="4" w:space="0"/>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黑体"/>
                <w:bCs/>
                <w:kern w:val="0"/>
                <w:sz w:val="24"/>
              </w:rPr>
            </w:pPr>
          </w:p>
        </w:tc>
      </w:tr>
      <w:tr>
        <w:tblPrEx>
          <w:tblCellMar>
            <w:top w:w="0" w:type="dxa"/>
            <w:left w:w="108" w:type="dxa"/>
            <w:bottom w:w="0" w:type="dxa"/>
            <w:right w:w="108" w:type="dxa"/>
          </w:tblCellMar>
        </w:tblPrEx>
        <w:trPr>
          <w:trHeight w:val="731" w:hRule="atLeast"/>
        </w:trPr>
        <w:tc>
          <w:tcPr>
            <w:tcW w:w="715" w:type="dxa"/>
            <w:tcBorders>
              <w:top w:val="nil"/>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黑体"/>
                <w:bCs/>
                <w:kern w:val="0"/>
                <w:sz w:val="24"/>
                <w:lang w:eastAsia="zh-CN"/>
              </w:rPr>
            </w:pPr>
            <w:r>
              <w:rPr>
                <w:rFonts w:hint="default" w:eastAsia="黑体"/>
                <w:bCs/>
                <w:kern w:val="0"/>
                <w:sz w:val="24"/>
              </w:rPr>
              <w:t>小</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计</w:t>
            </w:r>
          </w:p>
        </w:tc>
        <w:tc>
          <w:tcPr>
            <w:tcW w:w="6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基本支出</w:t>
            </w:r>
          </w:p>
        </w:tc>
        <w:tc>
          <w:tcPr>
            <w:tcW w:w="5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项</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目</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支</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出</w:t>
            </w:r>
          </w:p>
        </w:tc>
        <w:tc>
          <w:tcPr>
            <w:tcW w:w="65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黑体"/>
                <w:bCs/>
                <w:kern w:val="0"/>
                <w:sz w:val="24"/>
                <w:lang w:eastAsia="zh-CN"/>
              </w:rPr>
            </w:pPr>
            <w:r>
              <w:rPr>
                <w:rFonts w:hint="default" w:eastAsia="黑体"/>
                <w:bCs/>
                <w:kern w:val="0"/>
                <w:sz w:val="24"/>
              </w:rPr>
              <w:t>小</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计</w:t>
            </w:r>
          </w:p>
        </w:tc>
        <w:tc>
          <w:tcPr>
            <w:tcW w:w="6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上年结</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转结</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余</w:t>
            </w:r>
          </w:p>
        </w:tc>
        <w:tc>
          <w:tcPr>
            <w:tcW w:w="6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上级财政</w:t>
            </w:r>
          </w:p>
        </w:tc>
        <w:tc>
          <w:tcPr>
            <w:tcW w:w="61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县级财政</w:t>
            </w:r>
          </w:p>
        </w:tc>
        <w:tc>
          <w:tcPr>
            <w:tcW w:w="5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黑体"/>
                <w:bCs/>
                <w:kern w:val="0"/>
                <w:sz w:val="24"/>
                <w:lang w:eastAsia="zh-CN"/>
              </w:rPr>
            </w:pPr>
            <w:r>
              <w:rPr>
                <w:rFonts w:hint="default" w:eastAsia="黑体"/>
                <w:bCs/>
                <w:kern w:val="0"/>
                <w:sz w:val="24"/>
              </w:rPr>
              <w:t>其</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他</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黑体"/>
                <w:bCs/>
                <w:kern w:val="0"/>
                <w:sz w:val="24"/>
                <w:lang w:eastAsia="zh-CN"/>
              </w:rPr>
            </w:pPr>
            <w:r>
              <w:rPr>
                <w:rFonts w:hint="default" w:eastAsia="黑体"/>
                <w:bCs/>
                <w:kern w:val="0"/>
                <w:sz w:val="24"/>
              </w:rPr>
              <w:t>小</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计</w:t>
            </w:r>
          </w:p>
        </w:tc>
        <w:tc>
          <w:tcPr>
            <w:tcW w:w="6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工资福利支出</w:t>
            </w:r>
          </w:p>
        </w:tc>
        <w:tc>
          <w:tcPr>
            <w:tcW w:w="6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商品和服务支出</w:t>
            </w:r>
          </w:p>
        </w:tc>
        <w:tc>
          <w:tcPr>
            <w:tcW w:w="55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对个人和</w:t>
            </w:r>
            <w:r>
              <w:rPr>
                <w:rFonts w:hint="eastAsia" w:eastAsia="黑体"/>
                <w:bCs/>
                <w:kern w:val="0"/>
                <w:sz w:val="24"/>
              </w:rPr>
              <w:t>家庭的补助</w:t>
            </w:r>
          </w:p>
        </w:tc>
        <w:tc>
          <w:tcPr>
            <w:tcW w:w="3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黑体"/>
                <w:bCs/>
                <w:kern w:val="0"/>
                <w:sz w:val="24"/>
              </w:rPr>
            </w:pPr>
            <w:r>
              <w:rPr>
                <w:rFonts w:hint="eastAsia" w:eastAsia="黑体"/>
                <w:bCs/>
                <w:kern w:val="0"/>
                <w:sz w:val="24"/>
              </w:rPr>
              <w:t>债务利息及费用支出</w:t>
            </w:r>
          </w:p>
        </w:tc>
        <w:tc>
          <w:tcPr>
            <w:tcW w:w="5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资本性支出</w:t>
            </w:r>
          </w:p>
        </w:tc>
        <w:tc>
          <w:tcPr>
            <w:tcW w:w="4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黑体"/>
                <w:bCs/>
                <w:kern w:val="0"/>
                <w:sz w:val="24"/>
                <w:lang w:eastAsia="zh-CN"/>
              </w:rPr>
            </w:pPr>
            <w:r>
              <w:rPr>
                <w:rFonts w:hint="default" w:eastAsia="黑体"/>
                <w:bCs/>
                <w:kern w:val="0"/>
                <w:sz w:val="24"/>
              </w:rPr>
              <w:t>其</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他支出</w:t>
            </w:r>
          </w:p>
        </w:tc>
        <w:tc>
          <w:tcPr>
            <w:tcW w:w="98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项目</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名称</w:t>
            </w: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黑体"/>
                <w:bCs/>
                <w:kern w:val="0"/>
                <w:sz w:val="24"/>
                <w:lang w:eastAsia="zh-CN"/>
              </w:rPr>
            </w:pPr>
            <w:r>
              <w:rPr>
                <w:rFonts w:hint="default" w:eastAsia="黑体"/>
                <w:bCs/>
                <w:kern w:val="0"/>
                <w:sz w:val="24"/>
              </w:rPr>
              <w:t>小</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计</w:t>
            </w:r>
          </w:p>
        </w:tc>
        <w:tc>
          <w:tcPr>
            <w:tcW w:w="6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工资福利支出</w:t>
            </w:r>
          </w:p>
        </w:tc>
        <w:tc>
          <w:tcPr>
            <w:tcW w:w="6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商品和服务支出</w:t>
            </w:r>
          </w:p>
        </w:tc>
        <w:tc>
          <w:tcPr>
            <w:tcW w:w="6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黑体"/>
                <w:bCs/>
                <w:kern w:val="0"/>
                <w:sz w:val="24"/>
              </w:rPr>
            </w:pPr>
            <w:r>
              <w:rPr>
                <w:rFonts w:hint="default" w:eastAsia="黑体"/>
                <w:bCs/>
                <w:kern w:val="0"/>
                <w:sz w:val="24"/>
              </w:rPr>
              <w:t>对个人和</w:t>
            </w:r>
            <w:r>
              <w:rPr>
                <w:rFonts w:hint="eastAsia" w:eastAsia="黑体"/>
                <w:bCs/>
                <w:kern w:val="0"/>
                <w:sz w:val="24"/>
              </w:rPr>
              <w:t>家庭的补助</w:t>
            </w:r>
          </w:p>
        </w:tc>
        <w:tc>
          <w:tcPr>
            <w:tcW w:w="60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eastAsia" w:eastAsia="黑体"/>
                <w:bCs/>
                <w:kern w:val="0"/>
                <w:sz w:val="24"/>
              </w:rPr>
              <w:t>债务利息及费用支出</w:t>
            </w:r>
          </w:p>
        </w:tc>
        <w:tc>
          <w:tcPr>
            <w:tcW w:w="6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资本性支出</w:t>
            </w:r>
          </w:p>
        </w:tc>
        <w:tc>
          <w:tcPr>
            <w:tcW w:w="61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黑体"/>
                <w:bCs/>
                <w:kern w:val="0"/>
                <w:sz w:val="24"/>
                <w:lang w:eastAsia="zh-CN"/>
              </w:rPr>
            </w:pPr>
            <w:r>
              <w:rPr>
                <w:rFonts w:hint="default" w:eastAsia="黑体"/>
                <w:bCs/>
                <w:kern w:val="0"/>
                <w:sz w:val="24"/>
              </w:rPr>
              <w:t>其</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他支出</w:t>
            </w:r>
          </w:p>
        </w:tc>
        <w:tc>
          <w:tcPr>
            <w:tcW w:w="6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黑体"/>
                <w:bCs/>
                <w:kern w:val="0"/>
                <w:sz w:val="24"/>
                <w:lang w:eastAsia="zh-CN"/>
              </w:rPr>
            </w:pPr>
            <w:r>
              <w:rPr>
                <w:rFonts w:hint="default" w:eastAsia="黑体"/>
                <w:bCs/>
                <w:kern w:val="0"/>
                <w:sz w:val="24"/>
              </w:rPr>
              <w:t>小</w:t>
            </w:r>
          </w:p>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计</w:t>
            </w:r>
          </w:p>
        </w:tc>
        <w:tc>
          <w:tcPr>
            <w:tcW w:w="6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基本支出</w:t>
            </w:r>
          </w:p>
        </w:tc>
        <w:tc>
          <w:tcPr>
            <w:tcW w:w="610" w:type="dxa"/>
            <w:tcBorders>
              <w:top w:val="nil"/>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黑体"/>
                <w:bCs/>
                <w:kern w:val="0"/>
                <w:sz w:val="24"/>
              </w:rPr>
            </w:pPr>
            <w:r>
              <w:rPr>
                <w:rFonts w:hint="default" w:eastAsia="黑体"/>
                <w:bCs/>
                <w:kern w:val="0"/>
                <w:sz w:val="24"/>
              </w:rPr>
              <w:t>项目支出</w:t>
            </w:r>
          </w:p>
        </w:tc>
      </w:tr>
      <w:tr>
        <w:tblPrEx>
          <w:tblCellMar>
            <w:top w:w="0" w:type="dxa"/>
            <w:left w:w="108" w:type="dxa"/>
            <w:bottom w:w="0" w:type="dxa"/>
            <w:right w:w="108" w:type="dxa"/>
          </w:tblCellMar>
        </w:tblPrEx>
        <w:trPr>
          <w:trHeight w:val="90" w:hRule="atLeast"/>
        </w:trPr>
        <w:tc>
          <w:tcPr>
            <w:tcW w:w="715" w:type="dxa"/>
            <w:tcBorders>
              <w:top w:val="nil"/>
              <w:left w:val="single" w:color="auto" w:sz="12"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21"/>
                <w:szCs w:val="21"/>
                <w:lang w:val="en-US" w:eastAsia="zh-CN"/>
              </w:rPr>
            </w:pPr>
            <w:r>
              <w:rPr>
                <w:rFonts w:hint="eastAsia" w:ascii="宋体" w:hAnsi="宋体" w:eastAsia="宋体" w:cs="宋体"/>
                <w:color w:val="auto"/>
                <w:spacing w:val="-17"/>
                <w:kern w:val="0"/>
                <w:sz w:val="21"/>
                <w:szCs w:val="21"/>
                <w:lang w:val="en-US" w:eastAsia="zh-CN"/>
              </w:rPr>
              <w:t>166.96</w:t>
            </w: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18"/>
                <w:szCs w:val="18"/>
                <w:lang w:val="en-US" w:eastAsia="zh-CN"/>
              </w:rPr>
            </w:pPr>
            <w:r>
              <w:rPr>
                <w:rFonts w:hint="eastAsia" w:ascii="宋体" w:hAnsi="宋体" w:eastAsia="宋体" w:cs="宋体"/>
                <w:color w:val="auto"/>
                <w:spacing w:val="-17"/>
                <w:kern w:val="0"/>
                <w:sz w:val="18"/>
                <w:szCs w:val="18"/>
                <w:lang w:val="en-US" w:eastAsia="zh-CN"/>
              </w:rPr>
              <w:t>166.96</w:t>
            </w:r>
          </w:p>
        </w:tc>
        <w:tc>
          <w:tcPr>
            <w:tcW w:w="57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18"/>
                <w:szCs w:val="18"/>
                <w:lang w:val="en-US" w:eastAsia="zh-CN"/>
              </w:rPr>
            </w:pPr>
            <w:r>
              <w:rPr>
                <w:rFonts w:hint="eastAsia" w:ascii="宋体" w:hAnsi="宋体" w:eastAsia="宋体" w:cs="宋体"/>
                <w:color w:val="auto"/>
                <w:spacing w:val="-17"/>
                <w:kern w:val="0"/>
                <w:sz w:val="18"/>
                <w:szCs w:val="18"/>
                <w:lang w:val="en-US" w:eastAsia="zh-CN"/>
              </w:rPr>
              <w:t>166.96</w:t>
            </w:r>
          </w:p>
        </w:tc>
        <w:tc>
          <w:tcPr>
            <w:tcW w:w="65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18"/>
                <w:szCs w:val="18"/>
                <w:lang w:val="en-US" w:eastAsia="zh-CN"/>
              </w:rPr>
            </w:pPr>
          </w:p>
        </w:tc>
        <w:tc>
          <w:tcPr>
            <w:tcW w:w="61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lang w:val="en-US" w:eastAsia="zh-CN"/>
              </w:rPr>
            </w:pPr>
          </w:p>
        </w:tc>
        <w:tc>
          <w:tcPr>
            <w:tcW w:w="61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lang w:val="en-US" w:eastAsia="zh-CN"/>
              </w:rPr>
            </w:pPr>
          </w:p>
        </w:tc>
        <w:tc>
          <w:tcPr>
            <w:tcW w:w="610"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18"/>
                <w:szCs w:val="18"/>
                <w:lang w:val="en-US" w:eastAsia="zh-CN"/>
              </w:rPr>
            </w:pPr>
            <w:r>
              <w:rPr>
                <w:rFonts w:hint="eastAsia" w:ascii="宋体" w:hAnsi="宋体" w:eastAsia="宋体" w:cs="宋体"/>
                <w:color w:val="auto"/>
                <w:spacing w:val="-17"/>
                <w:kern w:val="0"/>
                <w:sz w:val="18"/>
                <w:szCs w:val="18"/>
                <w:lang w:val="en-US" w:eastAsia="zh-CN"/>
              </w:rPr>
              <w:t>166.96</w:t>
            </w:r>
          </w:p>
        </w:tc>
        <w:tc>
          <w:tcPr>
            <w:tcW w:w="50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lang w:val="en-US" w:eastAsia="zh-CN"/>
              </w:rPr>
            </w:pPr>
          </w:p>
        </w:tc>
        <w:tc>
          <w:tcPr>
            <w:tcW w:w="72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18"/>
                <w:szCs w:val="18"/>
                <w:lang w:val="en-US" w:eastAsia="zh-CN"/>
              </w:rPr>
            </w:pPr>
            <w:r>
              <w:rPr>
                <w:rFonts w:hint="eastAsia" w:ascii="宋体" w:hAnsi="宋体" w:eastAsia="宋体" w:cs="宋体"/>
                <w:color w:val="auto"/>
                <w:spacing w:val="-17"/>
                <w:kern w:val="0"/>
                <w:sz w:val="18"/>
                <w:szCs w:val="18"/>
                <w:lang w:val="en-US" w:eastAsia="zh-CN"/>
              </w:rPr>
              <w:t>180.1</w:t>
            </w:r>
          </w:p>
        </w:tc>
        <w:tc>
          <w:tcPr>
            <w:tcW w:w="61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18"/>
                <w:szCs w:val="18"/>
                <w:lang w:val="en-US" w:eastAsia="zh-CN"/>
              </w:rPr>
            </w:pPr>
            <w:r>
              <w:rPr>
                <w:rFonts w:hint="eastAsia" w:ascii="宋体" w:hAnsi="宋体" w:eastAsia="宋体" w:cs="宋体"/>
                <w:color w:val="auto"/>
                <w:spacing w:val="-17"/>
                <w:kern w:val="0"/>
                <w:sz w:val="18"/>
                <w:szCs w:val="18"/>
                <w:lang w:val="en-US" w:eastAsia="zh-CN"/>
              </w:rPr>
              <w:t>108.92</w:t>
            </w: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18"/>
                <w:szCs w:val="18"/>
                <w:lang w:val="en-US" w:eastAsia="zh-CN"/>
              </w:rPr>
            </w:pPr>
            <w:r>
              <w:rPr>
                <w:rFonts w:hint="eastAsia" w:ascii="宋体" w:hAnsi="宋体" w:eastAsia="宋体" w:cs="宋体"/>
                <w:color w:val="auto"/>
                <w:spacing w:val="-17"/>
                <w:kern w:val="0"/>
                <w:sz w:val="18"/>
                <w:szCs w:val="18"/>
                <w:lang w:val="en-US" w:eastAsia="zh-CN"/>
              </w:rPr>
              <w:t>54.74</w:t>
            </w:r>
          </w:p>
        </w:tc>
        <w:tc>
          <w:tcPr>
            <w:tcW w:w="55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default" w:ascii="宋体" w:hAnsi="宋体" w:eastAsia="宋体" w:cs="宋体"/>
                <w:color w:val="auto"/>
                <w:spacing w:val="-17"/>
                <w:kern w:val="0"/>
                <w:sz w:val="18"/>
                <w:szCs w:val="18"/>
                <w:lang w:val="en-US" w:eastAsia="zh-CN"/>
              </w:rPr>
            </w:pPr>
            <w:r>
              <w:rPr>
                <w:rFonts w:hint="eastAsia" w:ascii="宋体" w:hAnsi="宋体" w:eastAsia="宋体" w:cs="宋体"/>
                <w:color w:val="auto"/>
                <w:spacing w:val="-17"/>
                <w:kern w:val="0"/>
                <w:sz w:val="18"/>
                <w:szCs w:val="18"/>
                <w:lang w:val="en-US" w:eastAsia="zh-CN"/>
              </w:rPr>
              <w:t>16.44</w:t>
            </w:r>
          </w:p>
        </w:tc>
        <w:tc>
          <w:tcPr>
            <w:tcW w:w="38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rPr>
            </w:pPr>
          </w:p>
        </w:tc>
        <w:tc>
          <w:tcPr>
            <w:tcW w:w="51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rPr>
            </w:pPr>
          </w:p>
        </w:tc>
        <w:tc>
          <w:tcPr>
            <w:tcW w:w="49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rPr>
            </w:pPr>
          </w:p>
        </w:tc>
        <w:tc>
          <w:tcPr>
            <w:tcW w:w="98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0"/>
                <w:kern w:val="0"/>
                <w:sz w:val="18"/>
                <w:szCs w:val="18"/>
                <w:lang w:eastAsia="zh-CN"/>
              </w:rPr>
            </w:pP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lang w:val="en-US" w:eastAsia="zh-CN"/>
              </w:rPr>
            </w:pPr>
          </w:p>
        </w:tc>
        <w:tc>
          <w:tcPr>
            <w:tcW w:w="609"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rPr>
            </w:pPr>
          </w:p>
        </w:tc>
        <w:tc>
          <w:tcPr>
            <w:tcW w:w="61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lang w:val="en-US" w:eastAsia="zh-CN"/>
              </w:rPr>
            </w:pPr>
          </w:p>
        </w:tc>
        <w:tc>
          <w:tcPr>
            <w:tcW w:w="613"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lang w:val="en-US" w:eastAsia="zh-CN"/>
              </w:rPr>
            </w:pPr>
          </w:p>
        </w:tc>
        <w:tc>
          <w:tcPr>
            <w:tcW w:w="60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rPr>
            </w:pP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rPr>
            </w:pPr>
          </w:p>
        </w:tc>
        <w:tc>
          <w:tcPr>
            <w:tcW w:w="6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lang w:val="en-US" w:eastAsia="zh-CN"/>
              </w:rPr>
            </w:pPr>
          </w:p>
        </w:tc>
        <w:tc>
          <w:tcPr>
            <w:tcW w:w="612"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lang w:val="en-US" w:eastAsia="zh-CN"/>
              </w:rPr>
            </w:pP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lang w:val="en-US" w:eastAsia="zh-CN"/>
              </w:rPr>
            </w:pPr>
          </w:p>
        </w:tc>
        <w:tc>
          <w:tcPr>
            <w:tcW w:w="610" w:type="dxa"/>
            <w:tcBorders>
              <w:top w:val="nil"/>
              <w:left w:val="nil"/>
              <w:bottom w:val="single" w:color="auto" w:sz="4" w:space="0"/>
              <w:right w:val="single" w:color="auto"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2" w:leftChars="-20" w:right="-42" w:rightChars="-20"/>
              <w:jc w:val="center"/>
              <w:textAlignment w:val="auto"/>
              <w:rPr>
                <w:rFonts w:hint="eastAsia" w:ascii="宋体" w:hAnsi="宋体" w:eastAsia="宋体" w:cs="宋体"/>
                <w:color w:val="auto"/>
                <w:spacing w:val="-17"/>
                <w:kern w:val="0"/>
                <w:sz w:val="18"/>
                <w:szCs w:val="18"/>
                <w:lang w:val="en-US" w:eastAsia="zh-CN"/>
              </w:rPr>
            </w:pPr>
          </w:p>
        </w:tc>
      </w:tr>
      <w:tr>
        <w:tblPrEx>
          <w:tblCellMar>
            <w:top w:w="0" w:type="dxa"/>
            <w:left w:w="108" w:type="dxa"/>
            <w:bottom w:w="0" w:type="dxa"/>
            <w:right w:w="108" w:type="dxa"/>
          </w:tblCellMar>
        </w:tblPrEx>
        <w:trPr>
          <w:trHeight w:val="90" w:hRule="atLeast"/>
        </w:trPr>
        <w:tc>
          <w:tcPr>
            <w:tcW w:w="715" w:type="dxa"/>
            <w:tcBorders>
              <w:top w:val="nil"/>
              <w:left w:val="single" w:color="auto" w:sz="12"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c>
          <w:tcPr>
            <w:tcW w:w="6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c>
          <w:tcPr>
            <w:tcW w:w="57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c>
          <w:tcPr>
            <w:tcW w:w="65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c>
          <w:tcPr>
            <w:tcW w:w="6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c>
          <w:tcPr>
            <w:tcW w:w="6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c>
          <w:tcPr>
            <w:tcW w:w="61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c>
          <w:tcPr>
            <w:tcW w:w="50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c>
          <w:tcPr>
            <w:tcW w:w="72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6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6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55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38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5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494"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98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lang w:val="en-US" w:eastAsia="zh-CN"/>
              </w:rPr>
            </w:pPr>
          </w:p>
        </w:tc>
        <w:tc>
          <w:tcPr>
            <w:tcW w:w="71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lang w:val="en-US" w:eastAsia="zh-CN"/>
              </w:rPr>
            </w:pPr>
          </w:p>
        </w:tc>
        <w:tc>
          <w:tcPr>
            <w:tcW w:w="609"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6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613"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607"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6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61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61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611"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610" w:type="dxa"/>
            <w:tcBorders>
              <w:top w:val="nil"/>
              <w:left w:val="nil"/>
              <w:bottom w:val="single" w:color="auto" w:sz="4" w:space="0"/>
              <w:right w:val="single" w:color="auto" w:sz="12" w:space="0"/>
            </w:tcBorders>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r>
    </w:tbl>
    <w:p>
      <w:pPr>
        <w:widowControl/>
        <w:jc w:val="left"/>
        <w:rPr>
          <w:rFonts w:eastAsia="宋体"/>
          <w:bCs/>
          <w:kern w:val="0"/>
          <w:sz w:val="24"/>
        </w:rPr>
      </w:pPr>
      <w:r>
        <w:rPr>
          <w:rFonts w:eastAsia="宋体"/>
          <w:bCs/>
          <w:kern w:val="0"/>
          <w:sz w:val="24"/>
        </w:rPr>
        <w:t>注：单位有多个项目的，请按项目分别填列。</w:t>
      </w:r>
    </w:p>
    <w:p>
      <w:pPr>
        <w:widowControl/>
        <w:jc w:val="left"/>
        <w:rPr>
          <w:rFonts w:eastAsia="宋体"/>
          <w:bCs/>
          <w:kern w:val="0"/>
          <w:sz w:val="24"/>
        </w:rPr>
      </w:pPr>
      <w:r>
        <w:rPr>
          <w:rFonts w:eastAsia="宋体"/>
          <w:bCs/>
          <w:kern w:val="0"/>
          <w:sz w:val="24"/>
        </w:rPr>
        <w:t xml:space="preserve">填 报 人 </w:t>
      </w:r>
      <w:r>
        <w:rPr>
          <w:rFonts w:hint="eastAsia" w:eastAsia="宋体"/>
          <w:bCs/>
          <w:kern w:val="0"/>
          <w:sz w:val="24"/>
          <w:lang w:eastAsia="zh-CN"/>
        </w:rPr>
        <w:t>：刘自平</w:t>
      </w:r>
      <w:r>
        <w:rPr>
          <w:rFonts w:eastAsia="宋体"/>
          <w:bCs/>
          <w:kern w:val="0"/>
          <w:sz w:val="24"/>
        </w:rPr>
        <w:t xml:space="preserve">                                            单位负责人（签字）：      </w:t>
      </w:r>
    </w:p>
    <w:p>
      <w:pPr>
        <w:pStyle w:val="6"/>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widowControl/>
        <w:jc w:val="left"/>
        <w:rPr>
          <w:rFonts w:eastAsia="黑体"/>
          <w:bCs/>
          <w:kern w:val="0"/>
          <w:szCs w:val="32"/>
        </w:rPr>
      </w:pPr>
    </w:p>
    <w:p>
      <w:pPr>
        <w:widowControl/>
        <w:jc w:val="left"/>
        <w:rPr>
          <w:rFonts w:eastAsia="黑体"/>
          <w:bCs/>
          <w:kern w:val="0"/>
          <w:szCs w:val="32"/>
        </w:rPr>
      </w:pPr>
    </w:p>
    <w:p>
      <w:pPr>
        <w:widowControl/>
        <w:jc w:val="left"/>
        <w:rPr>
          <w:rFonts w:eastAsia="黑体"/>
          <w:bCs/>
          <w:kern w:val="0"/>
          <w:szCs w:val="32"/>
        </w:rPr>
      </w:pPr>
      <w:r>
        <w:rPr>
          <w:rFonts w:eastAsia="黑体"/>
          <w:bCs/>
          <w:kern w:val="0"/>
          <w:szCs w:val="32"/>
        </w:rPr>
        <w:t>附件2</w:t>
      </w:r>
    </w:p>
    <w:p>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1</w:t>
      </w:r>
      <w:r>
        <w:rPr>
          <w:rFonts w:eastAsia="方正小标宋简体"/>
          <w:bCs/>
          <w:kern w:val="0"/>
          <w:sz w:val="44"/>
          <w:szCs w:val="44"/>
        </w:rPr>
        <w:t>年度部门整体支出绩效评价指标及评分表</w:t>
      </w:r>
    </w:p>
    <w:p>
      <w:pPr>
        <w:widowControl/>
        <w:jc w:val="left"/>
        <w:rPr>
          <w:rFonts w:eastAsia="宋体"/>
          <w:kern w:val="0"/>
          <w:sz w:val="24"/>
        </w:rPr>
      </w:pPr>
      <w:r>
        <w:rPr>
          <w:rFonts w:eastAsia="宋体"/>
          <w:kern w:val="0"/>
          <w:sz w:val="24"/>
        </w:rPr>
        <w:t>评价单位（盖章）：</w:t>
      </w:r>
      <w:r>
        <w:rPr>
          <w:rFonts w:hint="eastAsia" w:eastAsia="宋体"/>
          <w:kern w:val="0"/>
          <w:sz w:val="24"/>
          <w:lang w:eastAsia="zh-CN"/>
        </w:rPr>
        <w:t>桃江县科学技术协会</w:t>
      </w:r>
      <w:r>
        <w:rPr>
          <w:rFonts w:eastAsia="宋体"/>
          <w:kern w:val="0"/>
          <w:sz w:val="24"/>
        </w:rPr>
        <w:t xml:space="preserve">                                               填报日期：</w:t>
      </w:r>
      <w:r>
        <w:rPr>
          <w:rFonts w:hint="eastAsia" w:eastAsia="宋体"/>
          <w:kern w:val="0"/>
          <w:sz w:val="24"/>
          <w:lang w:val="en-US" w:eastAsia="zh-CN"/>
        </w:rPr>
        <w:t>2021</w:t>
      </w:r>
      <w:r>
        <w:rPr>
          <w:rFonts w:eastAsia="宋体"/>
          <w:kern w:val="0"/>
          <w:sz w:val="24"/>
        </w:rPr>
        <w:t>年</w:t>
      </w:r>
      <w:r>
        <w:rPr>
          <w:rFonts w:hint="eastAsia" w:eastAsia="宋体"/>
          <w:kern w:val="0"/>
          <w:sz w:val="24"/>
          <w:lang w:val="en-US" w:eastAsia="zh-CN"/>
        </w:rPr>
        <w:t>3</w:t>
      </w:r>
      <w:r>
        <w:rPr>
          <w:rFonts w:eastAsia="宋体"/>
          <w:kern w:val="0"/>
          <w:sz w:val="24"/>
        </w:rPr>
        <w:t>月</w:t>
      </w:r>
      <w:r>
        <w:rPr>
          <w:rFonts w:hint="eastAsia" w:eastAsia="宋体"/>
          <w:kern w:val="0"/>
          <w:sz w:val="24"/>
          <w:lang w:val="en-US" w:eastAsia="zh-CN"/>
        </w:rPr>
        <w:t>27</w:t>
      </w:r>
      <w:r>
        <w:rPr>
          <w:rFonts w:eastAsia="宋体"/>
          <w:kern w:val="0"/>
          <w:sz w:val="24"/>
        </w:rPr>
        <w:t>日</w:t>
      </w:r>
    </w:p>
    <w:tbl>
      <w:tblPr>
        <w:tblStyle w:val="7"/>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黑体"/>
                <w:bCs/>
                <w:kern w:val="0"/>
                <w:sz w:val="24"/>
              </w:rPr>
            </w:pPr>
            <w:r>
              <w:rPr>
                <w:rFonts w:hint="default" w:eastAsia="黑体"/>
                <w:bCs/>
                <w:kern w:val="0"/>
                <w:sz w:val="24"/>
              </w:rPr>
              <w:t>一级</w:t>
            </w:r>
          </w:p>
          <w:p>
            <w:pPr>
              <w:keepNext w:val="0"/>
              <w:keepLines w:val="0"/>
              <w:widowControl/>
              <w:suppressLineNumbers w:val="0"/>
              <w:spacing w:before="0" w:beforeAutospacing="0" w:after="0" w:afterAutospacing="0" w:line="300" w:lineRule="exact"/>
              <w:ind w:left="0" w:right="0"/>
              <w:jc w:val="center"/>
              <w:rPr>
                <w:rFonts w:hint="default" w:eastAsia="黑体"/>
                <w:bCs/>
                <w:kern w:val="0"/>
                <w:sz w:val="24"/>
              </w:rPr>
            </w:pPr>
            <w:r>
              <w:rPr>
                <w:rFonts w:hint="default" w:eastAsia="黑体"/>
                <w:bCs/>
                <w:kern w:val="0"/>
                <w:sz w:val="24"/>
              </w:rPr>
              <w:t>指标</w:t>
            </w:r>
          </w:p>
        </w:tc>
        <w:tc>
          <w:tcPr>
            <w:tcW w:w="1065"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rPr>
            </w:pPr>
            <w:r>
              <w:rPr>
                <w:rFonts w:hint="default" w:eastAsia="黑体"/>
                <w:bCs/>
                <w:kern w:val="0"/>
                <w:sz w:val="24"/>
              </w:rPr>
              <w:t>二级</w:t>
            </w:r>
          </w:p>
          <w:p>
            <w:pPr>
              <w:keepNext w:val="0"/>
              <w:keepLines w:val="0"/>
              <w:widowControl/>
              <w:suppressLineNumbers w:val="0"/>
              <w:spacing w:before="0" w:beforeAutospacing="0" w:after="0" w:afterAutospacing="0" w:line="300" w:lineRule="exact"/>
              <w:ind w:left="0" w:right="0"/>
              <w:jc w:val="center"/>
              <w:rPr>
                <w:rFonts w:hint="default" w:eastAsia="黑体"/>
                <w:bCs/>
                <w:kern w:val="0"/>
                <w:sz w:val="24"/>
              </w:rPr>
            </w:pPr>
            <w:r>
              <w:rPr>
                <w:rFonts w:hint="default" w:eastAsia="黑体"/>
                <w:bCs/>
                <w:kern w:val="0"/>
                <w:sz w:val="24"/>
              </w:rPr>
              <w:t>指标</w:t>
            </w: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rPr>
            </w:pPr>
            <w:r>
              <w:rPr>
                <w:rFonts w:hint="default" w:eastAsia="黑体"/>
                <w:bCs/>
                <w:kern w:val="0"/>
                <w:sz w:val="24"/>
              </w:rPr>
              <w:t>三级</w:t>
            </w:r>
          </w:p>
          <w:p>
            <w:pPr>
              <w:keepNext w:val="0"/>
              <w:keepLines w:val="0"/>
              <w:widowControl/>
              <w:suppressLineNumbers w:val="0"/>
              <w:spacing w:before="0" w:beforeAutospacing="0" w:after="0" w:afterAutospacing="0" w:line="300" w:lineRule="exact"/>
              <w:ind w:left="0" w:right="0"/>
              <w:jc w:val="center"/>
              <w:rPr>
                <w:rFonts w:hint="default" w:eastAsia="黑体"/>
                <w:bCs/>
                <w:kern w:val="0"/>
                <w:sz w:val="24"/>
              </w:rPr>
            </w:pPr>
            <w:r>
              <w:rPr>
                <w:rFonts w:hint="default" w:eastAsia="黑体"/>
                <w:bCs/>
                <w:kern w:val="0"/>
                <w:sz w:val="24"/>
              </w:rPr>
              <w:t>指标</w:t>
            </w:r>
          </w:p>
        </w:tc>
        <w:tc>
          <w:tcPr>
            <w:tcW w:w="4341"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rPr>
            </w:pPr>
            <w:r>
              <w:rPr>
                <w:rFonts w:hint="default" w:eastAsia="黑体"/>
                <w:bCs/>
                <w:kern w:val="0"/>
                <w:sz w:val="24"/>
              </w:rPr>
              <w:t>指标内容</w:t>
            </w:r>
          </w:p>
        </w:tc>
        <w:tc>
          <w:tcPr>
            <w:tcW w:w="5899"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rPr>
            </w:pPr>
            <w:r>
              <w:rPr>
                <w:rFonts w:hint="default" w:eastAsia="黑体"/>
                <w:bCs/>
                <w:kern w:val="0"/>
                <w:sz w:val="24"/>
              </w:rPr>
              <w:t>指标说明</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rPr>
            </w:pPr>
            <w:r>
              <w:rPr>
                <w:rFonts w:hint="default" w:eastAsia="黑体"/>
                <w:bCs/>
                <w:kern w:val="0"/>
                <w:sz w:val="24"/>
              </w:rPr>
              <w:t>分值</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rPr>
            </w:pPr>
            <w:r>
              <w:rPr>
                <w:rFonts w:hint="default" w:eastAsia="黑体"/>
                <w:bCs/>
                <w:kern w:val="0"/>
                <w:sz w:val="24"/>
              </w:rPr>
              <w:t>自评得分</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黑体"/>
                <w:bCs/>
                <w:kern w:val="0"/>
                <w:sz w:val="24"/>
              </w:rPr>
            </w:pPr>
            <w:r>
              <w:rPr>
                <w:rFonts w:hint="default"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p>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投入</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1"/>
                <w:szCs w:val="21"/>
              </w:rPr>
              <w:t>（</w:t>
            </w:r>
            <w:r>
              <w:rPr>
                <w:rFonts w:hint="eastAsia" w:eastAsia="宋体"/>
                <w:kern w:val="0"/>
                <w:sz w:val="21"/>
                <w:szCs w:val="21"/>
              </w:rPr>
              <w:t>1</w:t>
            </w:r>
            <w:r>
              <w:rPr>
                <w:rFonts w:hint="default" w:eastAsia="宋体"/>
                <w:kern w:val="0"/>
                <w:sz w:val="21"/>
                <w:szCs w:val="21"/>
              </w:rPr>
              <w:t>0分）</w:t>
            </w:r>
          </w:p>
        </w:tc>
        <w:tc>
          <w:tcPr>
            <w:tcW w:w="1065"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 xml:space="preserve">设定 </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目标</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1"/>
                <w:szCs w:val="21"/>
              </w:rPr>
              <w:t>（</w:t>
            </w:r>
            <w:r>
              <w:rPr>
                <w:rFonts w:hint="eastAsia" w:eastAsia="宋体"/>
                <w:kern w:val="0"/>
                <w:sz w:val="21"/>
                <w:szCs w:val="21"/>
              </w:rPr>
              <w:t>7</w:t>
            </w:r>
            <w:r>
              <w:rPr>
                <w:rFonts w:hint="default" w:eastAsia="宋体"/>
                <w:kern w:val="0"/>
                <w:sz w:val="21"/>
                <w:szCs w:val="21"/>
              </w:rPr>
              <w:t>分）</w:t>
            </w:r>
          </w:p>
        </w:tc>
        <w:tc>
          <w:tcPr>
            <w:tcW w:w="1410" w:type="dxa"/>
            <w:vMerge w:val="restart"/>
            <w:noWrap w:val="0"/>
            <w:vAlign w:val="center"/>
          </w:tcPr>
          <w:p>
            <w:pPr>
              <w:keepNext w:val="0"/>
              <w:keepLines w:val="0"/>
              <w:widowControl/>
              <w:suppressLineNumbers w:val="0"/>
              <w:spacing w:before="0" w:beforeAutospacing="0" w:after="0" w:afterAutospacing="0" w:line="310" w:lineRule="exact"/>
              <w:ind w:left="0" w:right="0"/>
              <w:jc w:val="center"/>
              <w:rPr>
                <w:rFonts w:hint="default" w:eastAsia="宋体"/>
                <w:kern w:val="0"/>
                <w:sz w:val="24"/>
              </w:rPr>
            </w:pPr>
            <w:r>
              <w:rPr>
                <w:rFonts w:hint="default" w:eastAsia="宋体"/>
                <w:kern w:val="0"/>
                <w:sz w:val="24"/>
              </w:rPr>
              <w:t>绩效目标合理性</w:t>
            </w:r>
          </w:p>
          <w:p>
            <w:pPr>
              <w:keepNext w:val="0"/>
              <w:keepLines w:val="0"/>
              <w:widowControl/>
              <w:suppressLineNumbers w:val="0"/>
              <w:spacing w:before="0" w:beforeAutospacing="0" w:after="0" w:afterAutospacing="0" w:line="310" w:lineRule="exact"/>
              <w:ind w:left="0" w:right="0"/>
              <w:jc w:val="center"/>
              <w:rPr>
                <w:rFonts w:hint="default" w:eastAsia="宋体"/>
                <w:kern w:val="0"/>
                <w:sz w:val="24"/>
              </w:rPr>
            </w:pPr>
            <w:r>
              <w:rPr>
                <w:rFonts w:hint="default" w:eastAsia="宋体"/>
                <w:kern w:val="0"/>
                <w:sz w:val="24"/>
              </w:rPr>
              <w:t>（</w:t>
            </w:r>
            <w:r>
              <w:rPr>
                <w:rFonts w:hint="eastAsia" w:eastAsia="宋体"/>
                <w:kern w:val="0"/>
                <w:sz w:val="24"/>
              </w:rPr>
              <w:t>3</w:t>
            </w:r>
            <w:r>
              <w:rPr>
                <w:rFonts w:hint="default" w:eastAsia="宋体"/>
                <w:kern w:val="0"/>
                <w:sz w:val="24"/>
              </w:rPr>
              <w:t>分）</w:t>
            </w:r>
          </w:p>
          <w:p>
            <w:pPr>
              <w:keepNext w:val="0"/>
              <w:keepLines w:val="0"/>
              <w:widowControl/>
              <w:suppressLineNumbers w:val="0"/>
              <w:spacing w:before="0" w:beforeAutospacing="0" w:after="0" w:afterAutospacing="0" w:line="310" w:lineRule="exact"/>
              <w:ind w:left="0" w:right="0"/>
              <w:jc w:val="center"/>
              <w:rPr>
                <w:rFonts w:hint="default" w:eastAsia="宋体"/>
                <w:kern w:val="0"/>
                <w:sz w:val="24"/>
              </w:rPr>
            </w:pPr>
          </w:p>
        </w:tc>
        <w:tc>
          <w:tcPr>
            <w:tcW w:w="4341" w:type="dxa"/>
            <w:vMerge w:val="restart"/>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r>
              <w:rPr>
                <w:rFonts w:hint="default" w:eastAsia="宋体"/>
                <w:kern w:val="0"/>
                <w:sz w:val="24"/>
              </w:rPr>
              <w:t>部门设立的整体绩效目标依据是否充分，是否符合客观实际，是否与部门履职、年度工作任务相符。</w:t>
            </w:r>
          </w:p>
        </w:tc>
        <w:tc>
          <w:tcPr>
            <w:tcW w:w="5899" w:type="dxa"/>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r>
              <w:rPr>
                <w:rFonts w:hint="default" w:eastAsia="宋体"/>
                <w:kern w:val="0"/>
                <w:sz w:val="24"/>
              </w:rPr>
              <w:t>1、是否设立年度绩效目标，目标是否明确；</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lang w:val="en-US" w:eastAsia="zh-CN"/>
              </w:rPr>
            </w:pPr>
            <w:r>
              <w:rPr>
                <w:rFonts w:hint="eastAsia" w:eastAsia="宋体"/>
                <w:kern w:val="0"/>
                <w:sz w:val="24"/>
                <w:lang w:val="en-US" w:eastAsia="zh-CN"/>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b w:val="0"/>
                <w:bCs w:val="0"/>
                <w:kern w:val="0"/>
                <w:sz w:val="24"/>
                <w:lang w:val="en-US" w:eastAsia="zh-CN"/>
              </w:rPr>
            </w:pPr>
            <w:r>
              <w:rPr>
                <w:rFonts w:hint="eastAsia" w:eastAsia="宋体"/>
                <w:b w:val="0"/>
                <w:bCs w:val="0"/>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b/>
                <w:bCs/>
                <w:kern w:val="0"/>
                <w:sz w:val="24"/>
              </w:rPr>
            </w:pPr>
            <w:r>
              <w:rPr>
                <w:rFonts w:hint="default"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rPr>
            </w:pPr>
            <w:r>
              <w:rPr>
                <w:rFonts w:hint="default" w:eastAsia="宋体"/>
                <w:kern w:val="0"/>
                <w:sz w:val="24"/>
              </w:rPr>
              <w:t>2、是否符合国家法律法规、国民经济和社会发展总体规划</w:t>
            </w:r>
            <w:r>
              <w:rPr>
                <w:rFonts w:hint="eastAsia" w:eastAsia="宋体"/>
                <w:kern w:val="0"/>
                <w:sz w:val="24"/>
              </w:rPr>
              <w:t>以及</w:t>
            </w:r>
            <w:r>
              <w:rPr>
                <w:rFonts w:hint="default" w:eastAsia="宋体"/>
                <w:kern w:val="0"/>
                <w:sz w:val="24"/>
              </w:rPr>
              <w:t>部门三定方案确定的职责；</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rPr>
            </w:pPr>
            <w:r>
              <w:rPr>
                <w:rFonts w:hint="eastAsia" w:eastAsia="宋体"/>
                <w:kern w:val="0"/>
                <w:sz w:val="24"/>
              </w:rPr>
              <w:t>3</w:t>
            </w:r>
            <w:r>
              <w:rPr>
                <w:rFonts w:hint="default" w:eastAsia="宋体"/>
                <w:kern w:val="0"/>
                <w:sz w:val="24"/>
              </w:rPr>
              <w:t>、是否符合部门制定的中长期实施规划；</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restart"/>
            <w:noWrap w:val="0"/>
            <w:vAlign w:val="center"/>
          </w:tcPr>
          <w:p>
            <w:pPr>
              <w:keepNext w:val="0"/>
              <w:keepLines w:val="0"/>
              <w:widowControl/>
              <w:suppressLineNumbers w:val="0"/>
              <w:spacing w:before="0" w:beforeAutospacing="0" w:after="0" w:afterAutospacing="0" w:line="310" w:lineRule="exact"/>
              <w:ind w:left="0" w:right="0"/>
              <w:jc w:val="left"/>
              <w:rPr>
                <w:rFonts w:hint="eastAsia" w:eastAsia="宋体"/>
                <w:kern w:val="0"/>
                <w:sz w:val="24"/>
                <w:lang w:eastAsia="zh-CN"/>
              </w:rPr>
            </w:pPr>
            <w:r>
              <w:rPr>
                <w:rFonts w:hint="default" w:eastAsia="宋体"/>
                <w:kern w:val="0"/>
                <w:sz w:val="24"/>
              </w:rPr>
              <w:t>绩效指标明确性</w:t>
            </w:r>
          </w:p>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r>
              <w:rPr>
                <w:rFonts w:hint="default" w:eastAsia="宋体"/>
                <w:kern w:val="0"/>
                <w:sz w:val="24"/>
              </w:rPr>
              <w:t>（</w:t>
            </w:r>
            <w:r>
              <w:rPr>
                <w:rFonts w:hint="eastAsia" w:eastAsia="宋体"/>
                <w:kern w:val="0"/>
                <w:sz w:val="24"/>
              </w:rPr>
              <w:t>4</w:t>
            </w:r>
            <w:r>
              <w:rPr>
                <w:rFonts w:hint="default" w:eastAsia="宋体"/>
                <w:kern w:val="0"/>
                <w:sz w:val="24"/>
              </w:rPr>
              <w:t>分）</w:t>
            </w:r>
          </w:p>
        </w:tc>
        <w:tc>
          <w:tcPr>
            <w:tcW w:w="4341" w:type="dxa"/>
            <w:vMerge w:val="restart"/>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r>
              <w:rPr>
                <w:rFonts w:hint="default" w:eastAsia="宋体"/>
                <w:kern w:val="0"/>
                <w:sz w:val="24"/>
              </w:rPr>
              <w:t>部门依据整体绩效目标所设定的绩效指标是否清晰、细化、可衡量。</w:t>
            </w: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rPr>
            </w:pPr>
            <w:r>
              <w:rPr>
                <w:rFonts w:hint="default" w:eastAsia="宋体"/>
                <w:kern w:val="0"/>
                <w:sz w:val="24"/>
              </w:rPr>
              <w:t>1、指标设置是否清晰、细化、可衡量；</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rPr>
            </w:pPr>
            <w:r>
              <w:rPr>
                <w:rFonts w:hint="eastAsia"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rPr>
            </w:pPr>
            <w:r>
              <w:rPr>
                <w:rFonts w:hint="default" w:eastAsia="宋体"/>
                <w:kern w:val="0"/>
                <w:sz w:val="24"/>
              </w:rPr>
              <w:t>2、指标值的设置是否符合逻辑，是否符合行业标准和相关要求；</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r>
              <w:rPr>
                <w:rFonts w:hint="default" w:eastAsia="宋体"/>
                <w:kern w:val="0"/>
                <w:sz w:val="24"/>
              </w:rPr>
              <w:t>3、是否与部门年度的任务数或计划数相对应；</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rPr>
            </w:pPr>
            <w:r>
              <w:rPr>
                <w:rFonts w:hint="default" w:eastAsia="宋体"/>
                <w:kern w:val="0"/>
                <w:sz w:val="24"/>
              </w:rPr>
              <w:t>4、是否与本年度部门预算资金相匹配。</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预算</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配置</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1"/>
                <w:szCs w:val="21"/>
              </w:rPr>
              <w:t>（</w:t>
            </w:r>
            <w:r>
              <w:rPr>
                <w:rFonts w:hint="eastAsia" w:eastAsia="宋体"/>
                <w:kern w:val="0"/>
                <w:sz w:val="21"/>
                <w:szCs w:val="21"/>
              </w:rPr>
              <w:t>3</w:t>
            </w:r>
            <w:r>
              <w:rPr>
                <w:rFonts w:hint="default" w:eastAsia="宋体"/>
                <w:kern w:val="0"/>
                <w:sz w:val="21"/>
                <w:szCs w:val="21"/>
              </w:rPr>
              <w:t>分）</w:t>
            </w:r>
          </w:p>
        </w:tc>
        <w:tc>
          <w:tcPr>
            <w:tcW w:w="1410" w:type="dxa"/>
            <w:noWrap w:val="0"/>
            <w:vAlign w:val="center"/>
          </w:tcPr>
          <w:p>
            <w:pPr>
              <w:keepNext w:val="0"/>
              <w:keepLines w:val="0"/>
              <w:widowControl/>
              <w:suppressLineNumbers w:val="0"/>
              <w:spacing w:before="0" w:beforeAutospacing="0" w:after="0" w:afterAutospacing="0" w:line="310" w:lineRule="exact"/>
              <w:ind w:left="0" w:right="0"/>
              <w:jc w:val="center"/>
              <w:rPr>
                <w:rFonts w:hint="eastAsia" w:eastAsia="宋体"/>
                <w:kern w:val="0"/>
                <w:sz w:val="24"/>
                <w:lang w:eastAsia="zh-CN"/>
              </w:rPr>
            </w:pPr>
            <w:r>
              <w:rPr>
                <w:rFonts w:hint="default" w:eastAsia="宋体"/>
                <w:kern w:val="0"/>
                <w:sz w:val="24"/>
              </w:rPr>
              <w:t>在职人员控制率</w:t>
            </w:r>
          </w:p>
          <w:p>
            <w:pPr>
              <w:keepNext w:val="0"/>
              <w:keepLines w:val="0"/>
              <w:widowControl/>
              <w:suppressLineNumbers w:val="0"/>
              <w:spacing w:before="0" w:beforeAutospacing="0" w:after="0" w:afterAutospacing="0" w:line="310" w:lineRule="exact"/>
              <w:ind w:left="0" w:right="0"/>
              <w:jc w:val="center"/>
              <w:rPr>
                <w:rFonts w:hint="default" w:eastAsia="宋体"/>
                <w:kern w:val="0"/>
                <w:sz w:val="24"/>
              </w:rPr>
            </w:pPr>
            <w:r>
              <w:rPr>
                <w:rFonts w:hint="default" w:eastAsia="宋体"/>
                <w:kern w:val="0"/>
                <w:sz w:val="24"/>
              </w:rPr>
              <w:t>（</w:t>
            </w:r>
            <w:r>
              <w:rPr>
                <w:rFonts w:hint="eastAsia" w:eastAsia="宋体"/>
                <w:kern w:val="0"/>
                <w:sz w:val="24"/>
                <w:lang w:val="en-US" w:eastAsia="zh-CN"/>
              </w:rPr>
              <w:t>1</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rPr>
            </w:pPr>
            <w:r>
              <w:rPr>
                <w:rFonts w:hint="default" w:eastAsia="宋体"/>
                <w:kern w:val="0"/>
                <w:sz w:val="24"/>
              </w:rPr>
              <w:t>部门本年度实际在职人员数（</w:t>
            </w:r>
            <w:r>
              <w:rPr>
                <w:rFonts w:hint="default" w:eastAsia="宋体"/>
                <w:sz w:val="24"/>
              </w:rPr>
              <w:t>以实际享受部门工会待遇的人数为准）</w:t>
            </w:r>
            <w:r>
              <w:rPr>
                <w:rFonts w:hint="default" w:eastAsia="宋体"/>
                <w:kern w:val="0"/>
                <w:sz w:val="24"/>
              </w:rPr>
              <w:t>与编制数的比率，反映部门人员成本控制程度</w:t>
            </w: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rPr>
            </w:pPr>
            <w:r>
              <w:rPr>
                <w:rFonts w:hint="default" w:eastAsia="宋体"/>
                <w:kern w:val="0"/>
                <w:sz w:val="24"/>
              </w:rPr>
              <w:t>在职人员控制率=（在职人员数</w:t>
            </w:r>
            <w:r>
              <w:rPr>
                <w:rFonts w:hint="default" w:eastAsia="宋体"/>
                <w:b/>
                <w:bCs/>
                <w:kern w:val="0"/>
                <w:sz w:val="24"/>
              </w:rPr>
              <w:t>/</w:t>
            </w:r>
            <w:r>
              <w:rPr>
                <w:rFonts w:hint="default" w:eastAsia="宋体"/>
                <w:kern w:val="0"/>
                <w:sz w:val="24"/>
              </w:rPr>
              <w:t>编制数）×100%。大于1的视情况扣分。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rPr>
            </w:pPr>
            <w:r>
              <w:rPr>
                <w:rFonts w:hint="eastAsia"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10" w:lineRule="exact"/>
              <w:ind w:left="240" w:right="0" w:hanging="240" w:hangingChars="100"/>
              <w:jc w:val="left"/>
              <w:rPr>
                <w:rFonts w:hint="default" w:eastAsia="宋体"/>
                <w:kern w:val="0"/>
                <w:sz w:val="24"/>
              </w:rPr>
            </w:pPr>
            <w:r>
              <w:rPr>
                <w:rFonts w:hint="default" w:eastAsia="宋体"/>
                <w:kern w:val="0"/>
                <w:sz w:val="24"/>
              </w:rPr>
              <w:t>“三公经费”变动率</w:t>
            </w:r>
          </w:p>
          <w:p>
            <w:pPr>
              <w:keepNext w:val="0"/>
              <w:keepLines w:val="0"/>
              <w:widowControl/>
              <w:suppressLineNumbers w:val="0"/>
              <w:spacing w:before="0" w:beforeAutospacing="0" w:after="0" w:afterAutospacing="0" w:line="310" w:lineRule="exact"/>
              <w:ind w:left="0" w:right="0"/>
              <w:jc w:val="left"/>
              <w:rPr>
                <w:rFonts w:hint="default" w:eastAsia="宋体"/>
                <w:kern w:val="0"/>
                <w:sz w:val="24"/>
              </w:rPr>
            </w:pPr>
            <w:r>
              <w:rPr>
                <w:rFonts w:hint="default" w:eastAsia="宋体"/>
                <w:kern w:val="0"/>
                <w:sz w:val="24"/>
              </w:rPr>
              <w:t>（</w:t>
            </w:r>
            <w:r>
              <w:rPr>
                <w:rFonts w:hint="eastAsia" w:eastAsia="宋体"/>
                <w:kern w:val="0"/>
                <w:sz w:val="24"/>
                <w:lang w:val="en-US" w:eastAsia="zh-CN"/>
              </w:rPr>
              <w:t>2</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rPr>
            </w:pPr>
            <w:r>
              <w:rPr>
                <w:rFonts w:hint="default" w:eastAsia="宋体"/>
                <w:kern w:val="0"/>
                <w:sz w:val="24"/>
              </w:rPr>
              <w:t>部门本年度“三公经费”预算数与上年度“三公经费”预算数的变动比率，反映部门控制重点行政成本的努力程度。</w:t>
            </w: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rPr>
            </w:pPr>
            <w:r>
              <w:rPr>
                <w:rFonts w:hint="default" w:eastAsia="宋体"/>
                <w:kern w:val="0"/>
                <w:sz w:val="24"/>
              </w:rPr>
              <w:t>“三公经费”变动率=[（本年度“三公经费”总额—上年度“三公经费”总额）</w:t>
            </w:r>
            <w:r>
              <w:rPr>
                <w:rFonts w:hint="default" w:eastAsia="宋体"/>
                <w:b/>
                <w:bCs/>
                <w:kern w:val="0"/>
                <w:sz w:val="24"/>
              </w:rPr>
              <w:t>/</w:t>
            </w:r>
            <w:r>
              <w:rPr>
                <w:rFonts w:hint="default" w:eastAsia="宋体"/>
                <w:kern w:val="0"/>
                <w:sz w:val="24"/>
              </w:rPr>
              <w:t>上年度“三公经费”总额]×100%。大于0的计0分，等于0的计</w:t>
            </w:r>
            <w:r>
              <w:rPr>
                <w:rFonts w:hint="eastAsia" w:eastAsia="宋体"/>
                <w:kern w:val="0"/>
                <w:sz w:val="24"/>
              </w:rPr>
              <w:t>0.5</w:t>
            </w:r>
            <w:r>
              <w:rPr>
                <w:rFonts w:hint="default" w:eastAsia="宋体"/>
                <w:kern w:val="0"/>
                <w:sz w:val="24"/>
              </w:rPr>
              <w:t>分，小于0的计</w:t>
            </w:r>
            <w:r>
              <w:rPr>
                <w:rFonts w:hint="eastAsia" w:eastAsia="宋体"/>
                <w:kern w:val="0"/>
                <w:sz w:val="24"/>
              </w:rPr>
              <w:t>1</w:t>
            </w:r>
            <w:r>
              <w:rPr>
                <w:rFonts w:hint="default" w:eastAsia="宋体"/>
                <w:kern w:val="0"/>
                <w:sz w:val="24"/>
              </w:rPr>
              <w:t>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lang w:val="en-US" w:eastAsia="zh-CN"/>
              </w:rPr>
            </w:pPr>
            <w:r>
              <w:rPr>
                <w:rFonts w:hint="eastAsia" w:eastAsia="宋体"/>
                <w:kern w:val="0"/>
                <w:sz w:val="24"/>
                <w:lang w:val="en-US" w:eastAsia="zh-CN"/>
              </w:rPr>
              <w:t>2</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lang w:val="en-US" w:eastAsia="zh-CN"/>
              </w:rPr>
            </w:pPr>
            <w:r>
              <w:rPr>
                <w:rFonts w:hint="eastAsia" w:eastAsia="宋体"/>
                <w:kern w:val="0"/>
                <w:sz w:val="24"/>
                <w:lang w:val="en-US" w:eastAsia="zh-CN"/>
              </w:rPr>
              <w:t>2</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10" w:lineRule="exact"/>
              <w:ind w:left="0" w:right="0"/>
              <w:jc w:val="center"/>
              <w:rPr>
                <w:rFonts w:hint="default" w:eastAsia="宋体"/>
                <w:kern w:val="0"/>
                <w:sz w:val="24"/>
              </w:rPr>
            </w:pPr>
          </w:p>
        </w:tc>
        <w:tc>
          <w:tcPr>
            <w:tcW w:w="4341"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10" w:lineRule="exact"/>
              <w:ind w:left="0" w:right="0"/>
              <w:rPr>
                <w:rFonts w:hint="default" w:eastAsia="宋体"/>
                <w:kern w:val="0"/>
                <w:sz w:val="24"/>
              </w:rPr>
            </w:pP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rPr>
            </w:pP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过程</w:t>
            </w:r>
          </w:p>
          <w:p>
            <w:pPr>
              <w:keepNext w:val="0"/>
              <w:keepLines w:val="0"/>
              <w:widowControl/>
              <w:suppressLineNumbers w:val="0"/>
              <w:spacing w:before="0" w:beforeAutospacing="0" w:after="0" w:afterAutospacing="0" w:line="300" w:lineRule="exact"/>
              <w:ind w:left="0" w:right="0"/>
              <w:jc w:val="center"/>
              <w:rPr>
                <w:rFonts w:hint="default" w:eastAsia="宋体"/>
                <w:kern w:val="0"/>
                <w:sz w:val="21"/>
                <w:szCs w:val="21"/>
              </w:rPr>
            </w:pPr>
            <w:r>
              <w:rPr>
                <w:rFonts w:hint="default" w:eastAsia="宋体"/>
                <w:kern w:val="0"/>
                <w:sz w:val="21"/>
                <w:szCs w:val="21"/>
              </w:rPr>
              <w:t>（</w:t>
            </w:r>
            <w:r>
              <w:rPr>
                <w:rFonts w:hint="eastAsia" w:eastAsia="宋体"/>
                <w:kern w:val="0"/>
                <w:sz w:val="21"/>
                <w:szCs w:val="21"/>
              </w:rPr>
              <w:t>30</w:t>
            </w:r>
            <w:r>
              <w:rPr>
                <w:rFonts w:hint="default" w:eastAsia="宋体"/>
                <w:kern w:val="0"/>
                <w:sz w:val="21"/>
                <w:szCs w:val="21"/>
              </w:rPr>
              <w:t>分）</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p>
        </w:tc>
        <w:tc>
          <w:tcPr>
            <w:tcW w:w="1065"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预算</w:t>
            </w:r>
          </w:p>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执行</w:t>
            </w:r>
          </w:p>
          <w:p>
            <w:pPr>
              <w:keepNext w:val="0"/>
              <w:keepLines w:val="0"/>
              <w:widowControl/>
              <w:suppressLineNumbers w:val="0"/>
              <w:spacing w:before="0" w:beforeAutospacing="0" w:after="0" w:afterAutospacing="0" w:line="300" w:lineRule="exact"/>
              <w:ind w:left="0" w:right="0"/>
              <w:jc w:val="center"/>
              <w:rPr>
                <w:rFonts w:hint="default" w:eastAsia="宋体"/>
                <w:kern w:val="0"/>
                <w:sz w:val="21"/>
                <w:szCs w:val="21"/>
              </w:rPr>
            </w:pPr>
            <w:r>
              <w:rPr>
                <w:rFonts w:hint="default" w:eastAsia="宋体"/>
                <w:kern w:val="0"/>
                <w:sz w:val="21"/>
                <w:szCs w:val="21"/>
              </w:rPr>
              <w:t>（</w:t>
            </w:r>
            <w:r>
              <w:rPr>
                <w:rFonts w:hint="eastAsia" w:eastAsia="宋体"/>
                <w:kern w:val="0"/>
                <w:sz w:val="21"/>
                <w:szCs w:val="21"/>
              </w:rPr>
              <w:t>10</w:t>
            </w:r>
            <w:r>
              <w:rPr>
                <w:rFonts w:hint="default" w:eastAsia="宋体"/>
                <w:kern w:val="0"/>
                <w:sz w:val="21"/>
                <w:szCs w:val="21"/>
              </w:rPr>
              <w:t>分）</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预算</w:t>
            </w:r>
          </w:p>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完成率</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w:t>
            </w:r>
            <w:r>
              <w:rPr>
                <w:rFonts w:hint="eastAsia" w:eastAsia="宋体"/>
                <w:kern w:val="0"/>
                <w:sz w:val="24"/>
                <w:lang w:val="en-US" w:eastAsia="zh-CN"/>
              </w:rPr>
              <w:t>2</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部门本年度预算完成数与预算数的比率，反映部门预算完成程度。</w:t>
            </w: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rPr>
            </w:pPr>
            <w:r>
              <w:rPr>
                <w:rFonts w:hint="default" w:eastAsia="宋体"/>
                <w:kern w:val="0"/>
                <w:sz w:val="24"/>
              </w:rPr>
              <w:t>预算完成率=（预算完成数</w:t>
            </w:r>
            <w:r>
              <w:rPr>
                <w:rFonts w:hint="default" w:eastAsia="宋体"/>
                <w:b/>
                <w:bCs/>
                <w:kern w:val="0"/>
                <w:sz w:val="24"/>
              </w:rPr>
              <w:t>/</w:t>
            </w:r>
            <w:r>
              <w:rPr>
                <w:rFonts w:hint="default" w:eastAsia="宋体"/>
                <w:kern w:val="0"/>
                <w:sz w:val="24"/>
              </w:rPr>
              <w:t>预算数）×100%。按比例计分。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val="en-US" w:eastAsia="zh-CN"/>
              </w:rPr>
            </w:pPr>
            <w:r>
              <w:rPr>
                <w:rFonts w:hint="eastAsia" w:eastAsia="宋体"/>
                <w:kern w:val="0"/>
                <w:sz w:val="24"/>
                <w:lang w:val="en-US" w:eastAsia="zh-CN"/>
              </w:rPr>
              <w:t>2</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预算</w:t>
            </w:r>
          </w:p>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调整率</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w:t>
            </w:r>
            <w:r>
              <w:rPr>
                <w:rFonts w:hint="eastAsia" w:eastAsia="宋体"/>
                <w:kern w:val="0"/>
                <w:sz w:val="24"/>
                <w:lang w:val="en-US" w:eastAsia="zh-CN"/>
              </w:rPr>
              <w:t>1</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spacing w:val="-6"/>
                <w:kern w:val="0"/>
                <w:sz w:val="24"/>
              </w:rPr>
            </w:pPr>
            <w:r>
              <w:rPr>
                <w:rFonts w:hint="default"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rPr>
            </w:pPr>
            <w:r>
              <w:rPr>
                <w:rFonts w:hint="default" w:eastAsia="宋体"/>
                <w:kern w:val="0"/>
                <w:sz w:val="24"/>
              </w:rPr>
              <w:t>预算调整率=（部门在本年度内涉及预算的追加、追减或结构调整的资金总和</w:t>
            </w:r>
            <w:r>
              <w:rPr>
                <w:rFonts w:hint="default" w:eastAsia="宋体"/>
                <w:b/>
                <w:bCs/>
                <w:kern w:val="0"/>
                <w:sz w:val="24"/>
              </w:rPr>
              <w:t>/</w:t>
            </w:r>
            <w:r>
              <w:rPr>
                <w:rFonts w:hint="default" w:eastAsia="宋体"/>
                <w:kern w:val="0"/>
                <w:sz w:val="24"/>
              </w:rPr>
              <w:t>预算数）×100%。无调整的计满分，有调整的视情扣分。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val="en-US" w:eastAsia="zh-CN"/>
              </w:rPr>
            </w:pPr>
            <w:r>
              <w:rPr>
                <w:rFonts w:hint="eastAsia" w:eastAsia="宋体"/>
                <w:kern w:val="0"/>
                <w:sz w:val="24"/>
                <w:lang w:val="en-US" w:eastAsia="zh-CN"/>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支付</w:t>
            </w:r>
          </w:p>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进度率</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w:t>
            </w:r>
            <w:r>
              <w:rPr>
                <w:rFonts w:hint="eastAsia" w:eastAsia="宋体"/>
                <w:kern w:val="0"/>
                <w:sz w:val="24"/>
                <w:lang w:val="en-US" w:eastAsia="zh-CN"/>
              </w:rPr>
              <w:t>2</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spacing w:val="-6"/>
                <w:kern w:val="0"/>
                <w:sz w:val="24"/>
              </w:rPr>
            </w:pPr>
            <w:r>
              <w:rPr>
                <w:rFonts w:hint="default" w:eastAsia="宋体"/>
                <w:spacing w:val="-6"/>
                <w:kern w:val="0"/>
                <w:sz w:val="24"/>
              </w:rPr>
              <w:t>部门实际支付进度与既定支付进度的比率，反映预算执行的及时性和均衡性程度。</w:t>
            </w: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rPr>
            </w:pPr>
            <w:r>
              <w:rPr>
                <w:rFonts w:hint="default" w:eastAsia="宋体"/>
                <w:kern w:val="0"/>
                <w:sz w:val="24"/>
              </w:rPr>
              <w:t>支付进度率=（实际支付进度</w:t>
            </w:r>
            <w:r>
              <w:rPr>
                <w:rFonts w:hint="default" w:eastAsia="宋体"/>
                <w:b/>
                <w:bCs/>
                <w:kern w:val="0"/>
                <w:sz w:val="24"/>
              </w:rPr>
              <w:t>/</w:t>
            </w:r>
            <w:r>
              <w:rPr>
                <w:rFonts w:hint="default" w:eastAsia="宋体"/>
                <w:kern w:val="0"/>
                <w:sz w:val="24"/>
              </w:rPr>
              <w:t>既定支付进度）×100%。支付进度同步的计满分，不同步的视情扣分。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val="en-US" w:eastAsia="zh-CN"/>
              </w:rPr>
            </w:pPr>
            <w:r>
              <w:rPr>
                <w:rFonts w:hint="eastAsia" w:eastAsia="宋体"/>
                <w:kern w:val="0"/>
                <w:sz w:val="24"/>
                <w:lang w:val="en-US" w:eastAsia="zh-CN"/>
              </w:rPr>
              <w:t>2</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结 转</w:t>
            </w:r>
          </w:p>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结余率</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部门本年度结转结余总额与支出预算数的比率。</w:t>
            </w:r>
          </w:p>
        </w:tc>
        <w:tc>
          <w:tcPr>
            <w:tcW w:w="5899" w:type="dxa"/>
            <w:noWrap w:val="0"/>
            <w:vAlign w:val="center"/>
          </w:tcPr>
          <w:p>
            <w:pPr>
              <w:keepNext w:val="0"/>
              <w:keepLines w:val="0"/>
              <w:widowControl/>
              <w:suppressLineNumbers w:val="0"/>
              <w:spacing w:before="0" w:beforeAutospacing="0" w:after="0" w:afterAutospacing="0" w:line="320" w:lineRule="exact"/>
              <w:ind w:left="0" w:right="0"/>
              <w:jc w:val="left"/>
              <w:rPr>
                <w:rFonts w:hint="default" w:eastAsia="宋体"/>
                <w:kern w:val="0"/>
                <w:sz w:val="24"/>
              </w:rPr>
            </w:pPr>
            <w:r>
              <w:rPr>
                <w:rFonts w:hint="default" w:eastAsia="宋体"/>
                <w:kern w:val="0"/>
                <w:sz w:val="24"/>
              </w:rPr>
              <w:t>结转结余率=结转结余总额</w:t>
            </w:r>
            <w:r>
              <w:rPr>
                <w:rFonts w:hint="default" w:eastAsia="宋体"/>
                <w:b/>
                <w:bCs/>
                <w:kern w:val="0"/>
                <w:sz w:val="24"/>
              </w:rPr>
              <w:t>/</w:t>
            </w:r>
            <w:r>
              <w:rPr>
                <w:rFonts w:hint="default" w:eastAsia="宋体"/>
                <w:kern w:val="0"/>
                <w:sz w:val="24"/>
              </w:rPr>
              <w:t>支出预算数×100%。结转结余率过大的视情扣分。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both"/>
              <w:rPr>
                <w:rFonts w:hint="default" w:eastAsia="宋体"/>
                <w:kern w:val="0"/>
                <w:sz w:val="24"/>
                <w:lang w:val="en-US" w:eastAsia="zh-CN"/>
              </w:rPr>
            </w:pPr>
            <w:r>
              <w:rPr>
                <w:rFonts w:hint="eastAsia" w:eastAsia="宋体"/>
                <w:kern w:val="0"/>
                <w:sz w:val="24"/>
                <w:lang w:val="en-US" w:eastAsia="zh-CN"/>
              </w:rPr>
              <w:t>0</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公用经费控制率   （</w:t>
            </w:r>
            <w:r>
              <w:rPr>
                <w:rFonts w:hint="eastAsia" w:eastAsia="宋体"/>
                <w:kern w:val="0"/>
                <w:sz w:val="24"/>
              </w:rPr>
              <w:t>1</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rPr>
            </w:pPr>
            <w:r>
              <w:rPr>
                <w:rFonts w:hint="default" w:eastAsia="宋体"/>
                <w:kern w:val="0"/>
                <w:sz w:val="24"/>
              </w:rPr>
              <w:t>公用经费控制率=（实际支出公用经费总额</w:t>
            </w:r>
            <w:r>
              <w:rPr>
                <w:rFonts w:hint="default" w:eastAsia="宋体"/>
                <w:b/>
                <w:bCs/>
                <w:kern w:val="0"/>
                <w:sz w:val="24"/>
              </w:rPr>
              <w:t>/</w:t>
            </w:r>
            <w:r>
              <w:rPr>
                <w:rFonts w:hint="default" w:eastAsia="宋体"/>
                <w:kern w:val="0"/>
                <w:sz w:val="24"/>
              </w:rPr>
              <w:t>预算安排公用经费总额）×100%。控制较好的计满分，控制不好的视情扣分。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rPr>
            </w:pPr>
            <w:r>
              <w:rPr>
                <w:rFonts w:hint="eastAsia"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三公经费控制率</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w:t>
            </w:r>
            <w:r>
              <w:rPr>
                <w:rFonts w:hint="eastAsia" w:eastAsia="宋体"/>
                <w:kern w:val="0"/>
                <w:sz w:val="24"/>
                <w:lang w:val="en-US" w:eastAsia="zh-CN"/>
              </w:rPr>
              <w:t>2</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部门本年度“三公经费”实际支出数与预算安排数的比率，反映部门对三公经费的实际控制程度</w:t>
            </w: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rPr>
            </w:pPr>
            <w:r>
              <w:rPr>
                <w:rFonts w:hint="default" w:eastAsia="宋体"/>
                <w:kern w:val="0"/>
                <w:sz w:val="24"/>
              </w:rPr>
              <w:t>“三公经费”控制率=（“三公经费”实际支出数</w:t>
            </w:r>
            <w:r>
              <w:rPr>
                <w:rFonts w:hint="default" w:eastAsia="宋体"/>
                <w:b/>
                <w:bCs/>
                <w:kern w:val="0"/>
                <w:sz w:val="24"/>
              </w:rPr>
              <w:t>/</w:t>
            </w:r>
            <w:r>
              <w:rPr>
                <w:rFonts w:hint="default" w:eastAsia="宋体"/>
                <w:kern w:val="0"/>
                <w:sz w:val="24"/>
              </w:rPr>
              <w:t>“三公经费”预算安排数）×100%。控制较好的计满分，控制不好的视情扣分。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val="en-US" w:eastAsia="zh-CN"/>
              </w:rPr>
            </w:pPr>
            <w:r>
              <w:rPr>
                <w:rFonts w:hint="eastAsia" w:eastAsia="宋体"/>
                <w:kern w:val="0"/>
                <w:sz w:val="24"/>
                <w:lang w:val="en-US" w:eastAsia="zh-CN"/>
              </w:rPr>
              <w:t>2</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lang w:val="en-US" w:eastAsia="zh-CN"/>
              </w:rPr>
            </w:pPr>
            <w:r>
              <w:rPr>
                <w:rFonts w:hint="eastAsia" w:eastAsia="宋体"/>
                <w:kern w:val="0"/>
                <w:sz w:val="24"/>
                <w:lang w:val="en-US" w:eastAsia="zh-CN"/>
              </w:rPr>
              <w:t>2</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政府采购执行率</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（1分）</w:t>
            </w: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部门本年度实际政府采购金额与年初政府采购预算的比率。</w:t>
            </w: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rPr>
            </w:pPr>
            <w:r>
              <w:rPr>
                <w:rFonts w:hint="default" w:eastAsia="宋体"/>
                <w:kern w:val="0"/>
                <w:sz w:val="24"/>
              </w:rPr>
              <w:t>政府采购执行率=（实际政府采购金额</w:t>
            </w:r>
            <w:r>
              <w:rPr>
                <w:rFonts w:hint="default" w:eastAsia="宋体"/>
                <w:b/>
                <w:bCs/>
                <w:kern w:val="0"/>
                <w:sz w:val="24"/>
              </w:rPr>
              <w:t>/</w:t>
            </w:r>
            <w:r>
              <w:rPr>
                <w:rFonts w:hint="default" w:eastAsia="宋体"/>
                <w:kern w:val="0"/>
                <w:sz w:val="24"/>
              </w:rPr>
              <w:t>政府采购预算数）×100%；执行较好的计满分，执行不好的视情扣分。</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0</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p>
        </w:tc>
        <w:tc>
          <w:tcPr>
            <w:tcW w:w="4341"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20" w:lineRule="exact"/>
              <w:ind w:left="0" w:right="0"/>
              <w:rPr>
                <w:rFonts w:hint="default" w:eastAsia="宋体"/>
                <w:kern w:val="0"/>
                <w:sz w:val="24"/>
              </w:rPr>
            </w:pP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过程</w:t>
            </w:r>
          </w:p>
          <w:p>
            <w:pPr>
              <w:keepNext w:val="0"/>
              <w:keepLines w:val="0"/>
              <w:widowControl/>
              <w:suppressLineNumbers w:val="0"/>
              <w:spacing w:before="0" w:beforeAutospacing="0" w:after="0" w:afterAutospacing="0" w:line="300" w:lineRule="exact"/>
              <w:ind w:left="0" w:right="0"/>
              <w:jc w:val="left"/>
              <w:rPr>
                <w:rFonts w:hint="default" w:eastAsia="宋体"/>
                <w:kern w:val="0"/>
                <w:sz w:val="21"/>
                <w:szCs w:val="21"/>
              </w:rPr>
            </w:pPr>
            <w:r>
              <w:rPr>
                <w:rFonts w:hint="default" w:eastAsia="宋体"/>
                <w:kern w:val="0"/>
                <w:sz w:val="21"/>
                <w:szCs w:val="21"/>
              </w:rPr>
              <w:t>（</w:t>
            </w:r>
            <w:r>
              <w:rPr>
                <w:rFonts w:hint="eastAsia" w:eastAsia="宋体"/>
                <w:kern w:val="0"/>
                <w:sz w:val="21"/>
                <w:szCs w:val="21"/>
              </w:rPr>
              <w:t>3</w:t>
            </w:r>
            <w:r>
              <w:rPr>
                <w:rFonts w:hint="default" w:eastAsia="宋体"/>
                <w:kern w:val="0"/>
                <w:sz w:val="21"/>
                <w:szCs w:val="21"/>
              </w:rPr>
              <w:t>0分）</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p>
        </w:tc>
        <w:tc>
          <w:tcPr>
            <w:tcW w:w="1065"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预算</w:t>
            </w:r>
          </w:p>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管理</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1"/>
                <w:szCs w:val="21"/>
              </w:rPr>
              <w:t>（1</w:t>
            </w:r>
            <w:r>
              <w:rPr>
                <w:rFonts w:hint="eastAsia" w:eastAsia="宋体"/>
                <w:kern w:val="0"/>
                <w:sz w:val="21"/>
                <w:szCs w:val="21"/>
              </w:rPr>
              <w:t>5</w:t>
            </w:r>
            <w:r>
              <w:rPr>
                <w:rFonts w:hint="default" w:eastAsia="宋体"/>
                <w:kern w:val="0"/>
                <w:sz w:val="21"/>
                <w:szCs w:val="21"/>
              </w:rPr>
              <w:t>分）</w:t>
            </w:r>
          </w:p>
        </w:tc>
        <w:tc>
          <w:tcPr>
            <w:tcW w:w="1410"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制度管理</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w:t>
            </w:r>
            <w:r>
              <w:rPr>
                <w:rFonts w:hint="eastAsia" w:eastAsia="宋体"/>
                <w:kern w:val="0"/>
                <w:sz w:val="24"/>
              </w:rPr>
              <w:t>5</w:t>
            </w:r>
            <w:r>
              <w:rPr>
                <w:rFonts w:hint="default" w:eastAsia="宋体"/>
                <w:kern w:val="0"/>
                <w:sz w:val="24"/>
              </w:rPr>
              <w:t>分）</w:t>
            </w:r>
          </w:p>
        </w:tc>
        <w:tc>
          <w:tcPr>
            <w:tcW w:w="4341" w:type="dxa"/>
            <w:vMerge w:val="restart"/>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1、内部财务管理制度是否健全，是否具有或制定预算资金管理办法、</w:t>
            </w:r>
            <w:r>
              <w:rPr>
                <w:rFonts w:hint="default" w:eastAsia="宋体"/>
                <w:sz w:val="24"/>
              </w:rPr>
              <w:t>内部财务管理制度、会计核算制度、内部控制制度、项目管理制度等管理制度</w:t>
            </w:r>
            <w:r>
              <w:rPr>
                <w:rFonts w:hint="default" w:eastAsia="宋体"/>
                <w:kern w:val="0"/>
                <w:sz w:val="24"/>
              </w:rPr>
              <w:t>；</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lang w:val="en-US" w:eastAsia="zh-CN"/>
              </w:rPr>
            </w:pPr>
            <w:r>
              <w:rPr>
                <w:rFonts w:hint="eastAsia" w:eastAsia="宋体"/>
                <w:kern w:val="0"/>
                <w:sz w:val="24"/>
                <w:lang w:val="en-US" w:eastAsia="zh-CN"/>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2、相关制度是否合法、合规、完整；</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3、相关制度是否得到有效执行；</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4、制度执行机构是否健全；</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5、是否建立有效的内部监督机制，机制运行是否有效。</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资金管理</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w:t>
            </w:r>
            <w:r>
              <w:rPr>
                <w:rFonts w:hint="eastAsia" w:eastAsia="宋体"/>
                <w:kern w:val="0"/>
                <w:sz w:val="24"/>
              </w:rPr>
              <w:t>5</w:t>
            </w:r>
            <w:r>
              <w:rPr>
                <w:rFonts w:hint="default" w:eastAsia="宋体"/>
                <w:kern w:val="0"/>
                <w:sz w:val="24"/>
              </w:rPr>
              <w:t>分）</w:t>
            </w:r>
          </w:p>
        </w:tc>
        <w:tc>
          <w:tcPr>
            <w:tcW w:w="4341" w:type="dxa"/>
            <w:vMerge w:val="restart"/>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部门使用预算资金是否符合相关的财务管理制度的规定，反映部门预算资金的规范运行情况。</w:t>
            </w: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1、资金的管理和使用是否符合财经法规和财务管理制度规定以及有关专项资金管理办法的规定；</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lang w:val="en-US" w:eastAsia="zh-CN"/>
              </w:rPr>
            </w:pPr>
            <w:r>
              <w:rPr>
                <w:rFonts w:hint="eastAsia" w:eastAsia="宋体"/>
                <w:kern w:val="0"/>
                <w:sz w:val="24"/>
                <w:lang w:val="en-US" w:eastAsia="zh-CN"/>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2、资金使用是否符合预算批复的用途；</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3、重大开支是否经过评估论证；</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4、资金拨付是否程序规范、手续齐备；</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5、是否存在截留、挤占、挪用、虚列支出等情况。</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color w:val="FF0000"/>
                <w:kern w:val="0"/>
                <w:sz w:val="24"/>
              </w:rPr>
            </w:pPr>
          </w:p>
        </w:tc>
        <w:tc>
          <w:tcPr>
            <w:tcW w:w="1410" w:type="dxa"/>
            <w:vMerge w:val="restart"/>
            <w:noWrap w:val="0"/>
            <w:vAlign w:val="center"/>
          </w:tcPr>
          <w:p>
            <w:pPr>
              <w:keepNext w:val="0"/>
              <w:keepLines w:val="0"/>
              <w:suppressLineNumbers w:val="0"/>
              <w:spacing w:before="0" w:beforeAutospacing="0" w:after="0" w:afterAutospacing="0" w:line="280" w:lineRule="exact"/>
              <w:ind w:left="0" w:right="0"/>
              <w:jc w:val="center"/>
              <w:rPr>
                <w:rFonts w:hint="default" w:eastAsia="宋体"/>
                <w:bCs/>
                <w:sz w:val="24"/>
              </w:rPr>
            </w:pPr>
            <w:r>
              <w:rPr>
                <w:rFonts w:hint="default" w:eastAsia="宋体"/>
                <w:bCs/>
                <w:sz w:val="24"/>
              </w:rPr>
              <w:t>绩效管理</w:t>
            </w:r>
          </w:p>
          <w:p>
            <w:pPr>
              <w:keepNext w:val="0"/>
              <w:keepLines w:val="0"/>
              <w:suppressLineNumbers w:val="0"/>
              <w:spacing w:before="0" w:beforeAutospacing="0" w:after="0" w:afterAutospacing="0" w:line="280" w:lineRule="exact"/>
              <w:ind w:left="0" w:right="0"/>
              <w:jc w:val="center"/>
              <w:rPr>
                <w:rFonts w:hint="default" w:eastAsia="宋体"/>
                <w:bCs/>
                <w:sz w:val="24"/>
              </w:rPr>
            </w:pPr>
            <w:r>
              <w:rPr>
                <w:rFonts w:hint="default" w:eastAsia="宋体"/>
                <w:bCs/>
                <w:sz w:val="24"/>
              </w:rPr>
              <w:t>（</w:t>
            </w:r>
            <w:r>
              <w:rPr>
                <w:rFonts w:hint="eastAsia" w:eastAsia="宋体"/>
                <w:bCs/>
                <w:sz w:val="24"/>
              </w:rPr>
              <w:t>3</w:t>
            </w:r>
            <w:r>
              <w:rPr>
                <w:rFonts w:hint="default" w:eastAsia="宋体"/>
                <w:bCs/>
                <w:sz w:val="24"/>
              </w:rPr>
              <w:t>分）</w:t>
            </w:r>
          </w:p>
        </w:tc>
        <w:tc>
          <w:tcPr>
            <w:tcW w:w="4341" w:type="dxa"/>
            <w:vMerge w:val="restart"/>
            <w:noWrap w:val="0"/>
            <w:vAlign w:val="center"/>
          </w:tcPr>
          <w:p>
            <w:pPr>
              <w:keepNext w:val="0"/>
              <w:keepLines w:val="0"/>
              <w:suppressLineNumbers w:val="0"/>
              <w:spacing w:before="0" w:beforeAutospacing="0" w:after="0" w:afterAutospacing="0" w:line="370" w:lineRule="exact"/>
              <w:ind w:left="0" w:right="0"/>
              <w:rPr>
                <w:rFonts w:hint="default" w:eastAsia="宋体"/>
                <w:color w:val="FF0000"/>
                <w:kern w:val="0"/>
                <w:sz w:val="24"/>
              </w:rPr>
            </w:pPr>
            <w:r>
              <w:rPr>
                <w:rFonts w:hint="default" w:eastAsia="宋体"/>
                <w:sz w:val="24"/>
              </w:rPr>
              <w:t>部门在预算管理过程中贯彻绩效理念采取的措施，用以反映和考核部门为提高财政性资金使用效益的努力程度。</w:t>
            </w:r>
          </w:p>
        </w:tc>
        <w:tc>
          <w:tcPr>
            <w:tcW w:w="5899" w:type="dxa"/>
            <w:noWrap w:val="0"/>
            <w:vAlign w:val="top"/>
          </w:tcPr>
          <w:p>
            <w:pPr>
              <w:keepNext w:val="0"/>
              <w:keepLines w:val="0"/>
              <w:suppressLineNumbers w:val="0"/>
              <w:spacing w:before="0" w:beforeAutospacing="0" w:after="0" w:afterAutospacing="0" w:line="370" w:lineRule="exact"/>
              <w:ind w:left="0" w:right="0"/>
              <w:rPr>
                <w:rFonts w:hint="default" w:eastAsia="宋体"/>
                <w:kern w:val="0"/>
                <w:sz w:val="24"/>
              </w:rPr>
            </w:pPr>
            <w:r>
              <w:rPr>
                <w:rFonts w:hint="default" w:eastAsia="宋体"/>
                <w:sz w:val="24"/>
              </w:rPr>
              <w:t>1、是否已制定或具有绩效管理制度</w:t>
            </w:r>
            <w:r>
              <w:rPr>
                <w:rFonts w:hint="eastAsia" w:eastAsia="宋体"/>
                <w:sz w:val="24"/>
              </w:rPr>
              <w:t>并有效执行</w:t>
            </w:r>
            <w:r>
              <w:rPr>
                <w:rFonts w:hint="default" w:eastAsia="宋体"/>
                <w:sz w:val="24"/>
              </w:rPr>
              <w:t>；</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2、</w:t>
            </w:r>
            <w:r>
              <w:rPr>
                <w:rFonts w:hint="default" w:eastAsia="宋体"/>
                <w:sz w:val="24"/>
              </w:rPr>
              <w:t>是否有绩效管理的职能部门和人员；</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eastAsia" w:eastAsia="宋体"/>
                <w:sz w:val="24"/>
              </w:rPr>
              <w:t>3</w:t>
            </w:r>
            <w:r>
              <w:rPr>
                <w:rFonts w:hint="default" w:eastAsia="宋体"/>
                <w:sz w:val="24"/>
              </w:rPr>
              <w:t>、是否按要求开展绩效管理工作。</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信息公开</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（2分）</w:t>
            </w:r>
          </w:p>
        </w:tc>
        <w:tc>
          <w:tcPr>
            <w:tcW w:w="4341" w:type="dxa"/>
            <w:vMerge w:val="restart"/>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基础信息是否完善，是否按照政府信息公开有关规定公开相关信息。</w:t>
            </w: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1、</w:t>
            </w:r>
            <w:r>
              <w:rPr>
                <w:rFonts w:hint="default" w:eastAsia="宋体"/>
                <w:spacing w:val="-6"/>
                <w:kern w:val="0"/>
                <w:sz w:val="24"/>
              </w:rPr>
              <w:t>基础数据信息和会计信息资料是否真实、准确、完整；</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1410"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4341" w:type="dxa"/>
            <w:vMerge w:val="continue"/>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p>
        </w:tc>
        <w:tc>
          <w:tcPr>
            <w:tcW w:w="5899" w:type="dxa"/>
            <w:noWrap w:val="0"/>
            <w:vAlign w:val="center"/>
          </w:tcPr>
          <w:p>
            <w:pPr>
              <w:keepNext w:val="0"/>
              <w:keepLines w:val="0"/>
              <w:widowControl/>
              <w:suppressLineNumbers w:val="0"/>
              <w:spacing w:before="0" w:beforeAutospacing="0" w:after="0" w:afterAutospacing="0" w:line="300" w:lineRule="exact"/>
              <w:ind w:left="0" w:right="0"/>
              <w:rPr>
                <w:rFonts w:hint="default" w:eastAsia="宋体"/>
                <w:kern w:val="0"/>
                <w:sz w:val="24"/>
              </w:rPr>
            </w:pPr>
            <w:r>
              <w:rPr>
                <w:rFonts w:hint="default" w:eastAsia="宋体"/>
                <w:kern w:val="0"/>
                <w:sz w:val="24"/>
              </w:rPr>
              <w:t>2、是否按规定内容、规定时限公开预决算信息</w:t>
            </w:r>
          </w:p>
        </w:tc>
        <w:tc>
          <w:tcPr>
            <w:tcW w:w="602"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0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0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p>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过程</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1"/>
                <w:szCs w:val="21"/>
              </w:rPr>
              <w:t>（</w:t>
            </w:r>
            <w:r>
              <w:rPr>
                <w:rFonts w:hint="eastAsia" w:eastAsia="宋体"/>
                <w:kern w:val="0"/>
                <w:sz w:val="21"/>
                <w:szCs w:val="21"/>
              </w:rPr>
              <w:t>30</w:t>
            </w:r>
            <w:r>
              <w:rPr>
                <w:rFonts w:hint="default" w:eastAsia="宋体"/>
                <w:kern w:val="0"/>
                <w:sz w:val="21"/>
                <w:szCs w:val="21"/>
              </w:rPr>
              <w:t>分）</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p>
        </w:tc>
        <w:tc>
          <w:tcPr>
            <w:tcW w:w="1065"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宋体"/>
                <w:kern w:val="0"/>
                <w:sz w:val="24"/>
                <w:lang w:eastAsia="zh-CN"/>
              </w:rPr>
            </w:pPr>
            <w:r>
              <w:rPr>
                <w:rFonts w:hint="default" w:eastAsia="宋体"/>
                <w:kern w:val="0"/>
                <w:sz w:val="24"/>
              </w:rPr>
              <w:t>资产</w:t>
            </w:r>
          </w:p>
          <w:p>
            <w:pPr>
              <w:keepNext w:val="0"/>
              <w:keepLines w:val="0"/>
              <w:widowControl/>
              <w:suppressLineNumbers w:val="0"/>
              <w:spacing w:before="0" w:beforeAutospacing="0" w:after="0" w:afterAutospacing="0" w:line="360" w:lineRule="exact"/>
              <w:ind w:left="0" w:right="0"/>
              <w:jc w:val="center"/>
              <w:rPr>
                <w:rFonts w:hint="eastAsia" w:eastAsia="宋体"/>
                <w:kern w:val="0"/>
                <w:sz w:val="24"/>
                <w:lang w:eastAsia="zh-CN"/>
              </w:rPr>
            </w:pPr>
            <w:r>
              <w:rPr>
                <w:rFonts w:hint="default" w:eastAsia="宋体"/>
                <w:kern w:val="0"/>
                <w:sz w:val="24"/>
              </w:rPr>
              <w:t>管理</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1"/>
                <w:szCs w:val="21"/>
              </w:rPr>
              <w:t>（</w:t>
            </w:r>
            <w:r>
              <w:rPr>
                <w:rFonts w:hint="eastAsia" w:eastAsia="宋体"/>
                <w:kern w:val="0"/>
                <w:sz w:val="21"/>
                <w:szCs w:val="21"/>
              </w:rPr>
              <w:t>5</w:t>
            </w:r>
            <w:r>
              <w:rPr>
                <w:rFonts w:hint="default" w:eastAsia="宋体"/>
                <w:kern w:val="0"/>
                <w:sz w:val="21"/>
                <w:szCs w:val="21"/>
              </w:rPr>
              <w:t>分）</w:t>
            </w:r>
          </w:p>
        </w:tc>
        <w:tc>
          <w:tcPr>
            <w:tcW w:w="1410" w:type="dxa"/>
            <w:noWrap w:val="0"/>
            <w:vAlign w:val="center"/>
          </w:tcPr>
          <w:p>
            <w:pPr>
              <w:keepNext w:val="0"/>
              <w:keepLines w:val="0"/>
              <w:suppressLineNumbers w:val="0"/>
              <w:spacing w:before="0" w:beforeAutospacing="0" w:after="0" w:afterAutospacing="0" w:line="360" w:lineRule="exact"/>
              <w:ind w:left="0" w:right="0"/>
              <w:jc w:val="center"/>
              <w:rPr>
                <w:rFonts w:hint="default" w:eastAsia="宋体"/>
                <w:sz w:val="24"/>
              </w:rPr>
            </w:pPr>
            <w:r>
              <w:rPr>
                <w:rFonts w:hint="default" w:eastAsia="宋体"/>
                <w:sz w:val="24"/>
              </w:rPr>
              <w:t>制度</w:t>
            </w:r>
          </w:p>
          <w:p>
            <w:pPr>
              <w:keepNext w:val="0"/>
              <w:keepLines w:val="0"/>
              <w:suppressLineNumbers w:val="0"/>
              <w:spacing w:before="0" w:beforeAutospacing="0" w:after="0" w:afterAutospacing="0" w:line="360" w:lineRule="exact"/>
              <w:ind w:left="0" w:right="0"/>
              <w:jc w:val="center"/>
              <w:rPr>
                <w:rFonts w:hint="default" w:eastAsia="宋体"/>
                <w:sz w:val="24"/>
              </w:rPr>
            </w:pPr>
            <w:r>
              <w:rPr>
                <w:rFonts w:hint="default" w:eastAsia="宋体"/>
                <w:sz w:val="24"/>
              </w:rPr>
              <w:t>健全性</w:t>
            </w:r>
          </w:p>
          <w:p>
            <w:pPr>
              <w:keepNext w:val="0"/>
              <w:keepLines w:val="0"/>
              <w:suppressLineNumbers w:val="0"/>
              <w:spacing w:before="0" w:beforeAutospacing="0" w:after="0" w:afterAutospacing="0" w:line="360" w:lineRule="exact"/>
              <w:ind w:left="0" w:right="0"/>
              <w:jc w:val="center"/>
              <w:rPr>
                <w:rFonts w:hint="default" w:eastAsia="宋体"/>
                <w:sz w:val="24"/>
              </w:rPr>
            </w:pPr>
            <w:r>
              <w:rPr>
                <w:rFonts w:hint="default" w:eastAsia="宋体"/>
                <w:sz w:val="24"/>
              </w:rPr>
              <w:t>（</w:t>
            </w:r>
            <w:r>
              <w:rPr>
                <w:rFonts w:hint="eastAsia" w:eastAsia="宋体"/>
                <w:sz w:val="24"/>
              </w:rPr>
              <w:t>1</w:t>
            </w:r>
            <w:r>
              <w:rPr>
                <w:rFonts w:hint="default" w:eastAsia="宋体"/>
                <w:sz w:val="24"/>
              </w:rPr>
              <w:t>分）</w:t>
            </w:r>
          </w:p>
        </w:tc>
        <w:tc>
          <w:tcPr>
            <w:tcW w:w="4341" w:type="dxa"/>
            <w:noWrap w:val="0"/>
            <w:vAlign w:val="center"/>
          </w:tcPr>
          <w:p>
            <w:pPr>
              <w:keepNext w:val="0"/>
              <w:keepLines w:val="0"/>
              <w:suppressLineNumbers w:val="0"/>
              <w:spacing w:before="0" w:beforeAutospacing="0" w:after="0" w:afterAutospacing="0" w:line="370" w:lineRule="exact"/>
              <w:ind w:left="0" w:right="0"/>
              <w:rPr>
                <w:rFonts w:hint="default" w:eastAsia="宋体"/>
                <w:kern w:val="0"/>
                <w:sz w:val="24"/>
              </w:rPr>
            </w:pPr>
            <w:r>
              <w:rPr>
                <w:rFonts w:hint="default"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keepNext w:val="0"/>
              <w:keepLines w:val="0"/>
              <w:suppressLineNumbers w:val="0"/>
              <w:spacing w:before="0" w:beforeAutospacing="0" w:after="0" w:afterAutospacing="0" w:line="370" w:lineRule="exact"/>
              <w:ind w:left="0" w:right="0"/>
              <w:rPr>
                <w:rFonts w:hint="default" w:eastAsia="宋体"/>
                <w:kern w:val="0"/>
                <w:sz w:val="24"/>
              </w:rPr>
            </w:pPr>
            <w:r>
              <w:rPr>
                <w:rFonts w:hint="default" w:eastAsia="宋体"/>
                <w:sz w:val="24"/>
              </w:rPr>
              <w:t xml:space="preserve"> 是否已制定或具有合法、合规、完整的资产管理制度</w:t>
            </w:r>
            <w:r>
              <w:rPr>
                <w:rFonts w:hint="eastAsia" w:eastAsia="宋体"/>
                <w:sz w:val="24"/>
              </w:rPr>
              <w:t>并</w:t>
            </w:r>
            <w:r>
              <w:rPr>
                <w:rFonts w:hint="default" w:eastAsia="宋体"/>
                <w:sz w:val="24"/>
              </w:rPr>
              <w:t>得到有效执行；</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410" w:type="dxa"/>
            <w:vMerge w:val="restart"/>
            <w:noWrap w:val="0"/>
            <w:vAlign w:val="center"/>
          </w:tcPr>
          <w:p>
            <w:pPr>
              <w:keepNext w:val="0"/>
              <w:keepLines w:val="0"/>
              <w:widowControl/>
              <w:suppressLineNumbers w:val="0"/>
              <w:spacing w:before="0" w:beforeAutospacing="0" w:after="0" w:afterAutospacing="0" w:line="400" w:lineRule="exact"/>
              <w:ind w:left="0" w:right="0"/>
              <w:jc w:val="center"/>
              <w:rPr>
                <w:rFonts w:hint="eastAsia" w:eastAsia="宋体"/>
                <w:kern w:val="0"/>
                <w:sz w:val="24"/>
                <w:lang w:eastAsia="zh-CN"/>
              </w:rPr>
            </w:pPr>
            <w:r>
              <w:rPr>
                <w:rFonts w:hint="default" w:eastAsia="宋体"/>
                <w:kern w:val="0"/>
                <w:sz w:val="24"/>
              </w:rPr>
              <w:t>资产管理安全性</w:t>
            </w:r>
          </w:p>
          <w:p>
            <w:pPr>
              <w:keepNext w:val="0"/>
              <w:keepLines w:val="0"/>
              <w:widowControl/>
              <w:suppressLineNumbers w:val="0"/>
              <w:spacing w:before="0" w:beforeAutospacing="0" w:after="0" w:afterAutospacing="0" w:line="400" w:lineRule="exact"/>
              <w:ind w:left="0" w:right="0"/>
              <w:jc w:val="center"/>
              <w:rPr>
                <w:rFonts w:hint="default" w:eastAsia="宋体"/>
                <w:kern w:val="0"/>
                <w:sz w:val="24"/>
              </w:rPr>
            </w:pPr>
            <w:r>
              <w:rPr>
                <w:rFonts w:hint="default" w:eastAsia="宋体"/>
                <w:kern w:val="0"/>
                <w:sz w:val="24"/>
              </w:rPr>
              <w:t>（</w:t>
            </w:r>
            <w:r>
              <w:rPr>
                <w:rFonts w:hint="eastAsia" w:eastAsia="宋体"/>
                <w:kern w:val="0"/>
                <w:sz w:val="24"/>
              </w:rPr>
              <w:t>3</w:t>
            </w:r>
            <w:r>
              <w:rPr>
                <w:rFonts w:hint="default" w:eastAsia="宋体"/>
                <w:kern w:val="0"/>
                <w:sz w:val="24"/>
              </w:rPr>
              <w:t>分）</w:t>
            </w:r>
          </w:p>
        </w:tc>
        <w:tc>
          <w:tcPr>
            <w:tcW w:w="4341" w:type="dxa"/>
            <w:vMerge w:val="restart"/>
            <w:noWrap w:val="0"/>
            <w:vAlign w:val="center"/>
          </w:tcPr>
          <w:p>
            <w:pPr>
              <w:keepNext w:val="0"/>
              <w:keepLines w:val="0"/>
              <w:widowControl/>
              <w:suppressLineNumbers w:val="0"/>
              <w:spacing w:before="0" w:beforeAutospacing="0" w:after="0" w:afterAutospacing="0" w:line="400" w:lineRule="exact"/>
              <w:ind w:left="0" w:right="0"/>
              <w:jc w:val="left"/>
              <w:rPr>
                <w:rFonts w:hint="default" w:eastAsia="宋体"/>
                <w:kern w:val="0"/>
                <w:sz w:val="24"/>
              </w:rPr>
            </w:pPr>
            <w:r>
              <w:rPr>
                <w:rFonts w:hint="default" w:eastAsia="宋体"/>
                <w:kern w:val="0"/>
                <w:sz w:val="24"/>
              </w:rPr>
              <w:t>资产管理制度是否健全完整，资产是否保存完整、使用合规、配置合理、处置规范、收入及时足额上缴。</w:t>
            </w:r>
          </w:p>
        </w:tc>
        <w:tc>
          <w:tcPr>
            <w:tcW w:w="5899"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rPr>
            </w:pPr>
            <w:r>
              <w:rPr>
                <w:rFonts w:hint="default" w:eastAsia="宋体"/>
                <w:kern w:val="0"/>
                <w:sz w:val="24"/>
              </w:rPr>
              <w:t>1、</w:t>
            </w:r>
            <w:r>
              <w:rPr>
                <w:rFonts w:hint="default" w:eastAsia="宋体"/>
                <w:sz w:val="24"/>
              </w:rPr>
              <w:t>资产账务管理是否合法合规，保存是否完整，是否账实相符；</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eastAsia"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keepNext w:val="0"/>
              <w:keepLines w:val="0"/>
              <w:widowControl/>
              <w:suppressLineNumbers w:val="0"/>
              <w:spacing w:before="0" w:beforeAutospacing="0" w:after="0" w:afterAutospacing="0" w:line="400" w:lineRule="exact"/>
              <w:ind w:left="0" w:right="0"/>
              <w:rPr>
                <w:rFonts w:hint="default" w:eastAsia="宋体"/>
                <w:sz w:val="24"/>
              </w:rPr>
            </w:pPr>
          </w:p>
        </w:tc>
        <w:tc>
          <w:tcPr>
            <w:tcW w:w="1065" w:type="dxa"/>
            <w:vMerge w:val="continue"/>
            <w:noWrap w:val="0"/>
            <w:vAlign w:val="center"/>
          </w:tcPr>
          <w:p>
            <w:pPr>
              <w:keepNext w:val="0"/>
              <w:keepLines w:val="0"/>
              <w:widowControl/>
              <w:suppressLineNumbers w:val="0"/>
              <w:spacing w:before="0" w:beforeAutospacing="0" w:after="0" w:afterAutospacing="0" w:line="400" w:lineRule="exact"/>
              <w:ind w:left="0" w:right="0"/>
              <w:rPr>
                <w:rFonts w:hint="default" w:eastAsia="宋体"/>
                <w:sz w:val="24"/>
              </w:rPr>
            </w:pPr>
          </w:p>
        </w:tc>
        <w:tc>
          <w:tcPr>
            <w:tcW w:w="1410" w:type="dxa"/>
            <w:vMerge w:val="continue"/>
            <w:noWrap w:val="0"/>
            <w:vAlign w:val="center"/>
          </w:tcPr>
          <w:p>
            <w:pPr>
              <w:keepNext w:val="0"/>
              <w:keepLines w:val="0"/>
              <w:widowControl/>
              <w:suppressLineNumbers w:val="0"/>
              <w:spacing w:before="0" w:beforeAutospacing="0" w:after="0" w:afterAutospacing="0" w:line="400" w:lineRule="exact"/>
              <w:ind w:left="0" w:right="0"/>
              <w:jc w:val="left"/>
              <w:rPr>
                <w:rFonts w:hint="default" w:eastAsia="宋体"/>
                <w:sz w:val="24"/>
              </w:rPr>
            </w:pPr>
          </w:p>
        </w:tc>
        <w:tc>
          <w:tcPr>
            <w:tcW w:w="4341" w:type="dxa"/>
            <w:vMerge w:val="continue"/>
            <w:noWrap w:val="0"/>
            <w:vAlign w:val="center"/>
          </w:tcPr>
          <w:p>
            <w:pPr>
              <w:keepNext w:val="0"/>
              <w:keepLines w:val="0"/>
              <w:widowControl/>
              <w:suppressLineNumbers w:val="0"/>
              <w:spacing w:before="0" w:beforeAutospacing="0" w:after="0" w:afterAutospacing="0" w:line="400" w:lineRule="exact"/>
              <w:ind w:left="0" w:right="0"/>
              <w:jc w:val="left"/>
              <w:rPr>
                <w:rFonts w:hint="default" w:eastAsia="宋体"/>
                <w:sz w:val="24"/>
              </w:rPr>
            </w:pPr>
          </w:p>
        </w:tc>
        <w:tc>
          <w:tcPr>
            <w:tcW w:w="5899"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rPr>
            </w:pPr>
            <w:r>
              <w:rPr>
                <w:rFonts w:hint="default" w:eastAsia="宋体"/>
                <w:bCs/>
                <w:sz w:val="24"/>
              </w:rPr>
              <w:t>2、资产是否及时登记入资产管理系统，资产管理统与账务系统是否按时对账，两账相符；</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400" w:lineRule="exact"/>
              <w:ind w:left="0" w:right="0"/>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400" w:lineRule="exact"/>
              <w:ind w:left="0" w:right="0"/>
              <w:rPr>
                <w:rFonts w:hint="default" w:eastAsia="宋体"/>
                <w:sz w:val="24"/>
              </w:rPr>
            </w:pPr>
          </w:p>
        </w:tc>
        <w:tc>
          <w:tcPr>
            <w:tcW w:w="1065" w:type="dxa"/>
            <w:vMerge w:val="continue"/>
            <w:noWrap w:val="0"/>
            <w:vAlign w:val="center"/>
          </w:tcPr>
          <w:p>
            <w:pPr>
              <w:keepNext w:val="0"/>
              <w:keepLines w:val="0"/>
              <w:widowControl/>
              <w:suppressLineNumbers w:val="0"/>
              <w:spacing w:before="0" w:beforeAutospacing="0" w:after="0" w:afterAutospacing="0" w:line="400" w:lineRule="exact"/>
              <w:ind w:left="0" w:right="0"/>
              <w:rPr>
                <w:rFonts w:hint="default" w:eastAsia="宋体"/>
                <w:sz w:val="24"/>
              </w:rPr>
            </w:pPr>
          </w:p>
        </w:tc>
        <w:tc>
          <w:tcPr>
            <w:tcW w:w="1410" w:type="dxa"/>
            <w:vMerge w:val="continue"/>
            <w:noWrap w:val="0"/>
            <w:vAlign w:val="center"/>
          </w:tcPr>
          <w:p>
            <w:pPr>
              <w:keepNext w:val="0"/>
              <w:keepLines w:val="0"/>
              <w:widowControl/>
              <w:suppressLineNumbers w:val="0"/>
              <w:spacing w:before="0" w:beforeAutospacing="0" w:after="0" w:afterAutospacing="0" w:line="400" w:lineRule="exact"/>
              <w:ind w:left="0" w:right="0"/>
              <w:jc w:val="left"/>
              <w:rPr>
                <w:rFonts w:hint="default" w:eastAsia="宋体"/>
                <w:sz w:val="24"/>
              </w:rPr>
            </w:pPr>
          </w:p>
        </w:tc>
        <w:tc>
          <w:tcPr>
            <w:tcW w:w="4341" w:type="dxa"/>
            <w:vMerge w:val="continue"/>
            <w:noWrap w:val="0"/>
            <w:vAlign w:val="center"/>
          </w:tcPr>
          <w:p>
            <w:pPr>
              <w:keepNext w:val="0"/>
              <w:keepLines w:val="0"/>
              <w:widowControl/>
              <w:suppressLineNumbers w:val="0"/>
              <w:spacing w:before="0" w:beforeAutospacing="0" w:after="0" w:afterAutospacing="0" w:line="400" w:lineRule="exact"/>
              <w:ind w:left="0" w:right="0"/>
              <w:jc w:val="left"/>
              <w:rPr>
                <w:rFonts w:hint="default" w:eastAsia="宋体"/>
                <w:sz w:val="24"/>
              </w:rPr>
            </w:pPr>
          </w:p>
        </w:tc>
        <w:tc>
          <w:tcPr>
            <w:tcW w:w="5899"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rPr>
            </w:pPr>
            <w:r>
              <w:rPr>
                <w:rFonts w:hint="eastAsia" w:eastAsia="宋体"/>
                <w:sz w:val="24"/>
              </w:rPr>
              <w:t>3、</w:t>
            </w:r>
            <w:r>
              <w:rPr>
                <w:rFonts w:hint="default" w:eastAsia="宋体"/>
                <w:sz w:val="24"/>
              </w:rPr>
              <w:t>资产处置是否规范，处置收入及时足额上缴。</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400" w:lineRule="exact"/>
              <w:ind w:left="0" w:right="0"/>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固定资产利用率</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（1分）</w:t>
            </w:r>
          </w:p>
        </w:tc>
        <w:tc>
          <w:tcPr>
            <w:tcW w:w="4341"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rPr>
            </w:pPr>
            <w:r>
              <w:rPr>
                <w:rFonts w:hint="default" w:eastAsia="宋体"/>
                <w:kern w:val="0"/>
                <w:sz w:val="24"/>
              </w:rPr>
              <w:t>部门实际在用固定资产总额与所有固定资产总额的比率，反映部门固定资产使用效率程度</w:t>
            </w:r>
          </w:p>
        </w:tc>
        <w:tc>
          <w:tcPr>
            <w:tcW w:w="5899" w:type="dxa"/>
            <w:noWrap w:val="0"/>
            <w:vAlign w:val="center"/>
          </w:tcPr>
          <w:p>
            <w:pPr>
              <w:keepNext w:val="0"/>
              <w:keepLines w:val="0"/>
              <w:widowControl/>
              <w:suppressLineNumbers w:val="0"/>
              <w:spacing w:before="0" w:beforeAutospacing="0" w:after="0" w:afterAutospacing="0" w:line="400" w:lineRule="exact"/>
              <w:ind w:left="0" w:right="0"/>
              <w:rPr>
                <w:rFonts w:hint="default" w:eastAsia="宋体"/>
                <w:kern w:val="0"/>
                <w:sz w:val="24"/>
              </w:rPr>
            </w:pPr>
            <w:r>
              <w:rPr>
                <w:rFonts w:hint="default" w:eastAsia="宋体"/>
                <w:kern w:val="0"/>
                <w:sz w:val="24"/>
              </w:rPr>
              <w:t>固定资产利用率=（实际在用固定资产总额</w:t>
            </w:r>
            <w:r>
              <w:rPr>
                <w:rFonts w:hint="default" w:eastAsia="宋体"/>
                <w:b/>
                <w:bCs/>
                <w:kern w:val="0"/>
                <w:sz w:val="24"/>
              </w:rPr>
              <w:t>/</w:t>
            </w:r>
            <w:r>
              <w:rPr>
                <w:rFonts w:hint="default" w:eastAsia="宋体"/>
                <w:kern w:val="0"/>
                <w:sz w:val="24"/>
              </w:rPr>
              <w:t>所有固定资产总额）×100%。利用较好的计满分，利用不好的视情扣分。</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1</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宋体"/>
                <w:kern w:val="0"/>
                <w:sz w:val="24"/>
                <w:lang w:eastAsia="zh-CN"/>
              </w:rPr>
            </w:pPr>
            <w:r>
              <w:rPr>
                <w:rFonts w:hint="default" w:eastAsia="宋体"/>
                <w:kern w:val="0"/>
                <w:sz w:val="24"/>
              </w:rPr>
              <w:t>产出</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1"/>
                <w:szCs w:val="21"/>
              </w:rPr>
              <w:t>（</w:t>
            </w:r>
            <w:r>
              <w:rPr>
                <w:rFonts w:hint="eastAsia" w:eastAsia="宋体"/>
                <w:kern w:val="0"/>
                <w:sz w:val="21"/>
                <w:szCs w:val="21"/>
              </w:rPr>
              <w:t>30</w:t>
            </w:r>
            <w:r>
              <w:rPr>
                <w:rFonts w:hint="default" w:eastAsia="宋体"/>
                <w:kern w:val="0"/>
                <w:sz w:val="21"/>
                <w:szCs w:val="21"/>
              </w:rPr>
              <w:t>分）</w:t>
            </w:r>
          </w:p>
        </w:tc>
        <w:tc>
          <w:tcPr>
            <w:tcW w:w="1065"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职责</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履行</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1"/>
                <w:szCs w:val="21"/>
              </w:rPr>
              <w:t>（</w:t>
            </w:r>
            <w:r>
              <w:rPr>
                <w:rFonts w:hint="eastAsia" w:eastAsia="宋体"/>
                <w:kern w:val="0"/>
                <w:sz w:val="21"/>
                <w:szCs w:val="21"/>
              </w:rPr>
              <w:t>30</w:t>
            </w:r>
            <w:r>
              <w:rPr>
                <w:rFonts w:hint="default" w:eastAsia="宋体"/>
                <w:kern w:val="0"/>
                <w:sz w:val="21"/>
                <w:szCs w:val="21"/>
              </w:rPr>
              <w:t>分）</w:t>
            </w: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实际</w:t>
            </w:r>
          </w:p>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完成率</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w:t>
            </w:r>
            <w:r>
              <w:rPr>
                <w:rFonts w:hint="eastAsia" w:eastAsia="宋体"/>
                <w:kern w:val="0"/>
                <w:sz w:val="24"/>
              </w:rPr>
              <w:t>10</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rPr>
            </w:pPr>
            <w:r>
              <w:rPr>
                <w:rFonts w:hint="default" w:eastAsia="宋体"/>
                <w:kern w:val="0"/>
                <w:sz w:val="24"/>
              </w:rPr>
              <w:t>部门履行职责而实际完成工作数与计划工作数的比率。</w:t>
            </w:r>
          </w:p>
        </w:tc>
        <w:tc>
          <w:tcPr>
            <w:tcW w:w="5899"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rPr>
            </w:pPr>
            <w:r>
              <w:rPr>
                <w:rFonts w:hint="default" w:eastAsia="宋体"/>
                <w:kern w:val="0"/>
                <w:sz w:val="24"/>
              </w:rPr>
              <w:t>实际完成率=（年度或规划期内实际完成工作任务数</w:t>
            </w:r>
            <w:r>
              <w:rPr>
                <w:rFonts w:hint="default" w:eastAsia="宋体"/>
                <w:b/>
                <w:bCs/>
                <w:kern w:val="0"/>
                <w:sz w:val="24"/>
              </w:rPr>
              <w:t>/</w:t>
            </w:r>
            <w:r>
              <w:rPr>
                <w:rFonts w:hint="default" w:eastAsia="宋体"/>
                <w:kern w:val="0"/>
                <w:sz w:val="24"/>
              </w:rPr>
              <w:t>计划工作数）×100%。按比例计分。</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eastAsia" w:eastAsia="宋体"/>
                <w:kern w:val="0"/>
                <w:sz w:val="24"/>
              </w:rPr>
              <w:t>10</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完成</w:t>
            </w:r>
          </w:p>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及时率</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w:t>
            </w:r>
            <w:r>
              <w:rPr>
                <w:rFonts w:hint="eastAsia" w:eastAsia="宋体"/>
                <w:kern w:val="0"/>
                <w:sz w:val="24"/>
              </w:rPr>
              <w:t>10</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rPr>
            </w:pPr>
            <w:r>
              <w:rPr>
                <w:rFonts w:hint="default" w:eastAsia="宋体"/>
                <w:kern w:val="0"/>
                <w:sz w:val="24"/>
              </w:rPr>
              <w:t>部门在规定时限内及时完成的实际工作数与计划工作数的比率。</w:t>
            </w:r>
          </w:p>
        </w:tc>
        <w:tc>
          <w:tcPr>
            <w:tcW w:w="5899"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rPr>
            </w:pPr>
            <w:r>
              <w:rPr>
                <w:rFonts w:hint="default" w:eastAsia="宋体"/>
                <w:kern w:val="0"/>
                <w:sz w:val="24"/>
              </w:rPr>
              <w:t>完成及时率=（及时完成实际工作数</w:t>
            </w:r>
            <w:r>
              <w:rPr>
                <w:rFonts w:hint="default" w:eastAsia="宋体"/>
                <w:b/>
                <w:bCs/>
                <w:kern w:val="0"/>
                <w:sz w:val="24"/>
              </w:rPr>
              <w:t>/</w:t>
            </w:r>
            <w:r>
              <w:rPr>
                <w:rFonts w:hint="default" w:eastAsia="宋体"/>
                <w:kern w:val="0"/>
                <w:sz w:val="24"/>
              </w:rPr>
              <w:t>计划工作数）×100%。按比例计分。</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eastAsia" w:eastAsia="宋体"/>
                <w:kern w:val="0"/>
                <w:sz w:val="24"/>
              </w:rPr>
              <w:t>10</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质量</w:t>
            </w:r>
          </w:p>
          <w:p>
            <w:pPr>
              <w:keepNext w:val="0"/>
              <w:keepLines w:val="0"/>
              <w:widowControl/>
              <w:suppressLineNumbers w:val="0"/>
              <w:spacing w:before="0" w:beforeAutospacing="0" w:after="0" w:afterAutospacing="0" w:line="300" w:lineRule="exact"/>
              <w:ind w:left="0" w:right="0"/>
              <w:jc w:val="center"/>
              <w:rPr>
                <w:rFonts w:hint="eastAsia" w:eastAsia="宋体"/>
                <w:kern w:val="0"/>
                <w:sz w:val="24"/>
                <w:lang w:eastAsia="zh-CN"/>
              </w:rPr>
            </w:pPr>
            <w:r>
              <w:rPr>
                <w:rFonts w:hint="default" w:eastAsia="宋体"/>
                <w:kern w:val="0"/>
                <w:sz w:val="24"/>
              </w:rPr>
              <w:t xml:space="preserve">达标率 </w:t>
            </w:r>
          </w:p>
          <w:p>
            <w:pPr>
              <w:keepNext w:val="0"/>
              <w:keepLines w:val="0"/>
              <w:widowControl/>
              <w:suppressLineNumbers w:val="0"/>
              <w:spacing w:before="0" w:beforeAutospacing="0" w:after="0" w:afterAutospacing="0" w:line="300" w:lineRule="exact"/>
              <w:ind w:left="0" w:right="0"/>
              <w:jc w:val="center"/>
              <w:rPr>
                <w:rFonts w:hint="default" w:eastAsia="宋体"/>
                <w:kern w:val="0"/>
                <w:sz w:val="24"/>
              </w:rPr>
            </w:pPr>
            <w:r>
              <w:rPr>
                <w:rFonts w:hint="default" w:eastAsia="宋体"/>
                <w:kern w:val="0"/>
                <w:sz w:val="24"/>
              </w:rPr>
              <w:t>（</w:t>
            </w:r>
            <w:r>
              <w:rPr>
                <w:rFonts w:hint="eastAsia" w:eastAsia="宋体"/>
                <w:kern w:val="0"/>
                <w:sz w:val="24"/>
              </w:rPr>
              <w:t>5</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rPr>
            </w:pPr>
            <w:r>
              <w:rPr>
                <w:rFonts w:hint="default" w:eastAsia="宋体"/>
                <w:kern w:val="0"/>
                <w:sz w:val="24"/>
              </w:rPr>
              <w:t>达到质量标准（绩效标准值）的实际工作数与计划工作数的比率。</w:t>
            </w:r>
          </w:p>
        </w:tc>
        <w:tc>
          <w:tcPr>
            <w:tcW w:w="5899"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rPr>
            </w:pPr>
            <w:r>
              <w:rPr>
                <w:rFonts w:hint="default" w:eastAsia="宋体"/>
                <w:kern w:val="0"/>
                <w:sz w:val="24"/>
              </w:rPr>
              <w:t>质量达标率=（质量达标实际工作数</w:t>
            </w:r>
            <w:r>
              <w:rPr>
                <w:rFonts w:hint="default" w:eastAsia="宋体"/>
                <w:b/>
                <w:bCs/>
                <w:kern w:val="0"/>
                <w:sz w:val="24"/>
              </w:rPr>
              <w:t>/</w:t>
            </w:r>
            <w:r>
              <w:rPr>
                <w:rFonts w:hint="default" w:eastAsia="宋体"/>
                <w:kern w:val="0"/>
                <w:sz w:val="24"/>
              </w:rPr>
              <w:t>计划工作数）×100%。按比例计分。</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5</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宋体"/>
                <w:kern w:val="0"/>
                <w:sz w:val="24"/>
                <w:lang w:eastAsia="zh-CN"/>
              </w:rPr>
            </w:pPr>
            <w:r>
              <w:rPr>
                <w:rFonts w:hint="default" w:eastAsia="宋体"/>
                <w:kern w:val="0"/>
                <w:sz w:val="24"/>
              </w:rPr>
              <w:t>产出</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1"/>
                <w:szCs w:val="21"/>
              </w:rPr>
              <w:t>（</w:t>
            </w:r>
            <w:r>
              <w:rPr>
                <w:rFonts w:hint="eastAsia" w:eastAsia="宋体"/>
                <w:kern w:val="0"/>
                <w:sz w:val="21"/>
                <w:szCs w:val="21"/>
              </w:rPr>
              <w:t>3</w:t>
            </w:r>
            <w:r>
              <w:rPr>
                <w:rFonts w:hint="default" w:eastAsia="宋体"/>
                <w:kern w:val="0"/>
                <w:sz w:val="21"/>
                <w:szCs w:val="21"/>
              </w:rPr>
              <w:t>0分）</w:t>
            </w:r>
          </w:p>
        </w:tc>
        <w:tc>
          <w:tcPr>
            <w:tcW w:w="1065"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职责</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履行</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1"/>
                <w:szCs w:val="21"/>
              </w:rPr>
              <w:t>（</w:t>
            </w:r>
            <w:r>
              <w:rPr>
                <w:rFonts w:hint="eastAsia" w:eastAsia="宋体"/>
                <w:kern w:val="0"/>
                <w:sz w:val="21"/>
                <w:szCs w:val="21"/>
              </w:rPr>
              <w:t>30</w:t>
            </w:r>
            <w:r>
              <w:rPr>
                <w:rFonts w:hint="default" w:eastAsia="宋体"/>
                <w:kern w:val="0"/>
                <w:sz w:val="21"/>
                <w:szCs w:val="21"/>
              </w:rPr>
              <w:t>分）</w:t>
            </w:r>
          </w:p>
        </w:tc>
        <w:tc>
          <w:tcPr>
            <w:tcW w:w="1410" w:type="dxa"/>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宋体"/>
                <w:kern w:val="0"/>
                <w:sz w:val="24"/>
                <w:lang w:eastAsia="zh-CN"/>
              </w:rPr>
            </w:pPr>
            <w:r>
              <w:rPr>
                <w:rFonts w:hint="default" w:eastAsia="宋体"/>
                <w:kern w:val="0"/>
                <w:sz w:val="24"/>
              </w:rPr>
              <w:t>重点工作办结率</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（5分）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rPr>
            </w:pPr>
            <w:r>
              <w:rPr>
                <w:rFonts w:hint="default" w:eastAsia="宋体"/>
                <w:kern w:val="0"/>
                <w:sz w:val="24"/>
              </w:rPr>
              <w:t>部门年度重点工作实际完成数与计划数的比率。</w:t>
            </w:r>
          </w:p>
        </w:tc>
        <w:tc>
          <w:tcPr>
            <w:tcW w:w="5899" w:type="dxa"/>
            <w:noWrap w:val="0"/>
            <w:vAlign w:val="center"/>
          </w:tcPr>
          <w:p>
            <w:pPr>
              <w:keepNext w:val="0"/>
              <w:keepLines w:val="0"/>
              <w:widowControl/>
              <w:suppressLineNumbers w:val="0"/>
              <w:spacing w:before="0" w:beforeAutospacing="0" w:after="0" w:afterAutospacing="0" w:line="360" w:lineRule="exact"/>
              <w:ind w:left="0" w:right="0"/>
              <w:rPr>
                <w:rFonts w:hint="eastAsia" w:eastAsia="宋体"/>
                <w:kern w:val="0"/>
                <w:sz w:val="24"/>
                <w:lang w:val="en-US" w:eastAsia="zh-CN"/>
              </w:rPr>
            </w:pPr>
            <w:r>
              <w:rPr>
                <w:rFonts w:hint="default" w:eastAsia="宋体"/>
                <w:kern w:val="0"/>
                <w:sz w:val="24"/>
              </w:rPr>
              <w:t>重点工作办结率=（重点工作实际完成数</w:t>
            </w:r>
            <w:r>
              <w:rPr>
                <w:rFonts w:hint="default" w:eastAsia="宋体"/>
                <w:b/>
                <w:bCs/>
                <w:kern w:val="0"/>
                <w:sz w:val="24"/>
              </w:rPr>
              <w:t>/</w:t>
            </w:r>
            <w:r>
              <w:rPr>
                <w:rFonts w:hint="default" w:eastAsia="宋体"/>
                <w:kern w:val="0"/>
                <w:sz w:val="24"/>
              </w:rPr>
              <w:t>交办或下达数）×100%。按比例计分。</w:t>
            </w:r>
            <w:r>
              <w:rPr>
                <w:rFonts w:hint="default" w:eastAsia="宋体"/>
                <w:sz w:val="24"/>
              </w:rPr>
              <w:t>重点工作是指党委、政府、人大、相关部门交办或下达的工作任务。</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5</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宋体"/>
                <w:kern w:val="0"/>
                <w:sz w:val="24"/>
                <w:lang w:eastAsia="zh-CN"/>
              </w:rPr>
            </w:pPr>
            <w:r>
              <w:rPr>
                <w:rFonts w:hint="default" w:eastAsia="宋体"/>
                <w:kern w:val="0"/>
                <w:sz w:val="24"/>
              </w:rPr>
              <w:t>效果</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1"/>
                <w:szCs w:val="21"/>
              </w:rPr>
              <w:t>（</w:t>
            </w:r>
            <w:r>
              <w:rPr>
                <w:rFonts w:hint="eastAsia" w:eastAsia="宋体"/>
                <w:kern w:val="0"/>
                <w:sz w:val="21"/>
                <w:szCs w:val="21"/>
              </w:rPr>
              <w:t>30</w:t>
            </w:r>
            <w:r>
              <w:rPr>
                <w:rFonts w:hint="default" w:eastAsia="宋体"/>
                <w:kern w:val="0"/>
                <w:sz w:val="21"/>
                <w:szCs w:val="21"/>
              </w:rPr>
              <w:t>分）</w:t>
            </w:r>
          </w:p>
        </w:tc>
        <w:tc>
          <w:tcPr>
            <w:tcW w:w="1065" w:type="dxa"/>
            <w:vMerge w:val="restart"/>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宋体"/>
                <w:kern w:val="0"/>
                <w:sz w:val="24"/>
                <w:lang w:eastAsia="zh-CN"/>
              </w:rPr>
            </w:pPr>
            <w:r>
              <w:rPr>
                <w:rFonts w:hint="default" w:eastAsia="宋体"/>
                <w:kern w:val="0"/>
                <w:sz w:val="24"/>
              </w:rPr>
              <w:t>履职</w:t>
            </w:r>
          </w:p>
          <w:p>
            <w:pPr>
              <w:keepNext w:val="0"/>
              <w:keepLines w:val="0"/>
              <w:widowControl/>
              <w:suppressLineNumbers w:val="0"/>
              <w:spacing w:before="0" w:beforeAutospacing="0" w:after="0" w:afterAutospacing="0" w:line="360" w:lineRule="exact"/>
              <w:ind w:left="0" w:right="0"/>
              <w:jc w:val="center"/>
              <w:rPr>
                <w:rFonts w:hint="eastAsia" w:eastAsia="宋体"/>
                <w:kern w:val="0"/>
                <w:sz w:val="24"/>
                <w:lang w:eastAsia="zh-CN"/>
              </w:rPr>
            </w:pPr>
            <w:r>
              <w:rPr>
                <w:rFonts w:hint="default" w:eastAsia="宋体"/>
                <w:kern w:val="0"/>
                <w:sz w:val="24"/>
              </w:rPr>
              <w:t>效益</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1"/>
                <w:szCs w:val="21"/>
              </w:rPr>
              <w:t>（</w:t>
            </w:r>
            <w:r>
              <w:rPr>
                <w:rFonts w:hint="eastAsia" w:eastAsia="宋体"/>
                <w:kern w:val="0"/>
                <w:sz w:val="21"/>
                <w:szCs w:val="21"/>
              </w:rPr>
              <w:t>30</w:t>
            </w:r>
            <w:r>
              <w:rPr>
                <w:rFonts w:hint="default" w:eastAsia="宋体"/>
                <w:kern w:val="0"/>
                <w:sz w:val="21"/>
                <w:szCs w:val="21"/>
              </w:rPr>
              <w:t>分）</w:t>
            </w:r>
          </w:p>
        </w:tc>
        <w:tc>
          <w:tcPr>
            <w:tcW w:w="1410" w:type="dxa"/>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宋体"/>
                <w:kern w:val="0"/>
                <w:sz w:val="24"/>
                <w:lang w:eastAsia="zh-CN"/>
              </w:rPr>
            </w:pPr>
            <w:r>
              <w:rPr>
                <w:rFonts w:hint="default" w:eastAsia="宋体"/>
                <w:kern w:val="0"/>
                <w:sz w:val="24"/>
              </w:rPr>
              <w:t>经济效益</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w:t>
            </w:r>
            <w:r>
              <w:rPr>
                <w:rFonts w:hint="eastAsia" w:eastAsia="宋体"/>
                <w:kern w:val="0"/>
                <w:sz w:val="24"/>
              </w:rPr>
              <w:t>10</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rPr>
            </w:pPr>
            <w:r>
              <w:rPr>
                <w:rFonts w:hint="default" w:eastAsia="宋体"/>
                <w:kern w:val="0"/>
                <w:sz w:val="24"/>
              </w:rPr>
              <w:t>部门履行职责对经济发展所带来的直接或间接影响。</w:t>
            </w:r>
          </w:p>
        </w:tc>
        <w:tc>
          <w:tcPr>
            <w:tcW w:w="5899" w:type="dxa"/>
            <w:vMerge w:val="restart"/>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rPr>
            </w:pPr>
            <w:r>
              <w:rPr>
                <w:rFonts w:hint="default"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hint="default" w:eastAsia="宋体"/>
                <w:kern w:val="0"/>
                <w:sz w:val="24"/>
              </w:rPr>
              <w:t>。</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eastAsia" w:eastAsia="宋体"/>
                <w:kern w:val="0"/>
                <w:sz w:val="24"/>
              </w:rPr>
              <w:t>10</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社会效益 （</w:t>
            </w:r>
            <w:r>
              <w:rPr>
                <w:rFonts w:hint="eastAsia" w:eastAsia="宋体"/>
                <w:kern w:val="0"/>
                <w:sz w:val="24"/>
              </w:rPr>
              <w:t>10</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rPr>
            </w:pPr>
            <w:r>
              <w:rPr>
                <w:rFonts w:hint="default" w:eastAsia="宋体"/>
                <w:kern w:val="0"/>
                <w:sz w:val="24"/>
              </w:rPr>
              <w:t>部门履行职责对社会发展所带来的直接或间接影响。</w:t>
            </w:r>
          </w:p>
        </w:tc>
        <w:tc>
          <w:tcPr>
            <w:tcW w:w="5899"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eastAsia" w:eastAsia="宋体"/>
                <w:kern w:val="0"/>
                <w:sz w:val="24"/>
              </w:rPr>
              <w:t>10</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lang w:val="en-US" w:eastAsia="zh-CN"/>
              </w:rPr>
            </w:pPr>
            <w:r>
              <w:rPr>
                <w:rFonts w:hint="eastAsia" w:eastAsia="宋体"/>
                <w:kern w:val="0"/>
                <w:sz w:val="24"/>
                <w:lang w:val="en-US" w:eastAsia="zh-CN"/>
              </w:rPr>
              <w:t>10</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宋体"/>
                <w:kern w:val="0"/>
                <w:sz w:val="24"/>
                <w:lang w:eastAsia="zh-CN"/>
              </w:rPr>
            </w:pPr>
            <w:r>
              <w:rPr>
                <w:rFonts w:hint="default" w:eastAsia="宋体"/>
                <w:kern w:val="0"/>
                <w:sz w:val="24"/>
              </w:rPr>
              <w:t>生态效益</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w:t>
            </w:r>
            <w:r>
              <w:rPr>
                <w:rFonts w:hint="eastAsia" w:eastAsia="宋体"/>
                <w:kern w:val="0"/>
                <w:sz w:val="24"/>
              </w:rPr>
              <w:t>5</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rPr>
            </w:pPr>
            <w:r>
              <w:rPr>
                <w:rFonts w:hint="default" w:eastAsia="宋体"/>
                <w:kern w:val="0"/>
                <w:sz w:val="24"/>
              </w:rPr>
              <w:t>部门履行职责对生态环境所带来的直接或间接影响。</w:t>
            </w:r>
          </w:p>
        </w:tc>
        <w:tc>
          <w:tcPr>
            <w:tcW w:w="5899"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5</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065" w:type="dxa"/>
            <w:vMerge w:val="continue"/>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p>
        </w:tc>
        <w:tc>
          <w:tcPr>
            <w:tcW w:w="1410" w:type="dxa"/>
            <w:noWrap w:val="0"/>
            <w:vAlign w:val="center"/>
          </w:tcPr>
          <w:p>
            <w:pPr>
              <w:keepNext w:val="0"/>
              <w:keepLines w:val="0"/>
              <w:widowControl/>
              <w:suppressLineNumbers w:val="0"/>
              <w:spacing w:before="0" w:beforeAutospacing="0" w:after="0" w:afterAutospacing="0" w:line="360" w:lineRule="exact"/>
              <w:ind w:left="0" w:right="0"/>
              <w:jc w:val="center"/>
              <w:rPr>
                <w:rFonts w:hint="eastAsia" w:eastAsia="宋体"/>
                <w:kern w:val="0"/>
                <w:sz w:val="24"/>
                <w:lang w:eastAsia="zh-CN"/>
              </w:rPr>
            </w:pPr>
            <w:r>
              <w:rPr>
                <w:rFonts w:hint="default" w:eastAsia="宋体"/>
                <w:kern w:val="0"/>
                <w:sz w:val="24"/>
              </w:rPr>
              <w:t>服务对象满意度</w:t>
            </w:r>
          </w:p>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w:t>
            </w:r>
            <w:r>
              <w:rPr>
                <w:rFonts w:hint="eastAsia" w:eastAsia="宋体"/>
                <w:kern w:val="0"/>
                <w:sz w:val="24"/>
              </w:rPr>
              <w:t>5</w:t>
            </w:r>
            <w:r>
              <w:rPr>
                <w:rFonts w:hint="default" w:eastAsia="宋体"/>
                <w:kern w:val="0"/>
                <w:sz w:val="24"/>
              </w:rPr>
              <w:t>分）</w:t>
            </w:r>
          </w:p>
        </w:tc>
        <w:tc>
          <w:tcPr>
            <w:tcW w:w="4341"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rPr>
            </w:pPr>
            <w:r>
              <w:rPr>
                <w:rFonts w:hint="default" w:eastAsia="宋体"/>
                <w:kern w:val="0"/>
                <w:sz w:val="24"/>
              </w:rPr>
              <w:t>社会公众或服务对象对部门履职效果的满意程度</w:t>
            </w:r>
          </w:p>
        </w:tc>
        <w:tc>
          <w:tcPr>
            <w:tcW w:w="5899" w:type="dxa"/>
            <w:noWrap w:val="0"/>
            <w:vAlign w:val="center"/>
          </w:tcPr>
          <w:p>
            <w:pPr>
              <w:keepNext w:val="0"/>
              <w:keepLines w:val="0"/>
              <w:widowControl/>
              <w:suppressLineNumbers w:val="0"/>
              <w:spacing w:before="0" w:beforeAutospacing="0" w:after="0" w:afterAutospacing="0" w:line="360" w:lineRule="exact"/>
              <w:ind w:left="0" w:right="0"/>
              <w:rPr>
                <w:rFonts w:hint="default" w:eastAsia="宋体"/>
                <w:kern w:val="0"/>
                <w:sz w:val="24"/>
              </w:rPr>
            </w:pPr>
            <w:r>
              <w:rPr>
                <w:rFonts w:hint="default"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hint="default" w:eastAsia="宋体"/>
                <w:kern w:val="0"/>
                <w:sz w:val="24"/>
              </w:rPr>
              <w:t>以上计</w:t>
            </w:r>
            <w:r>
              <w:rPr>
                <w:rFonts w:hint="eastAsia" w:eastAsia="宋体"/>
                <w:kern w:val="0"/>
                <w:sz w:val="24"/>
              </w:rPr>
              <w:t>5</w:t>
            </w:r>
            <w:r>
              <w:rPr>
                <w:rFonts w:hint="default" w:eastAsia="宋体"/>
                <w:kern w:val="0"/>
                <w:sz w:val="24"/>
              </w:rPr>
              <w:t>分，</w:t>
            </w:r>
            <w:r>
              <w:rPr>
                <w:rFonts w:hint="eastAsia" w:eastAsia="宋体"/>
                <w:kern w:val="0"/>
                <w:sz w:val="24"/>
              </w:rPr>
              <w:t>8</w:t>
            </w:r>
            <w:r>
              <w:rPr>
                <w:rFonts w:hint="default" w:eastAsia="宋体"/>
                <w:kern w:val="0"/>
                <w:sz w:val="24"/>
              </w:rPr>
              <w:t>0%</w:t>
            </w:r>
            <w:r>
              <w:rPr>
                <w:rFonts w:hint="eastAsia" w:eastAsia="宋体"/>
                <w:kern w:val="0"/>
                <w:sz w:val="24"/>
              </w:rPr>
              <w:t>（含）——95%（不含) 3</w:t>
            </w:r>
            <w:r>
              <w:rPr>
                <w:rFonts w:hint="default" w:eastAsia="宋体"/>
                <w:kern w:val="0"/>
                <w:sz w:val="24"/>
              </w:rPr>
              <w:t>分，</w:t>
            </w:r>
            <w:r>
              <w:rPr>
                <w:rFonts w:hint="eastAsia" w:eastAsia="宋体"/>
                <w:kern w:val="0"/>
                <w:sz w:val="24"/>
              </w:rPr>
              <w:t>8</w:t>
            </w:r>
            <w:r>
              <w:rPr>
                <w:rFonts w:hint="default" w:eastAsia="宋体"/>
                <w:kern w:val="0"/>
                <w:sz w:val="24"/>
              </w:rPr>
              <w:t>0%以下不计分。</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5</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b/>
                <w:bCs/>
                <w:kern w:val="0"/>
                <w:sz w:val="24"/>
              </w:rPr>
            </w:pPr>
            <w:r>
              <w:rPr>
                <w:rFonts w:hint="default" w:eastAsia="宋体"/>
                <w:b/>
                <w:bCs/>
                <w:kern w:val="0"/>
                <w:sz w:val="24"/>
              </w:rPr>
              <w:t>总  分</w:t>
            </w:r>
          </w:p>
        </w:tc>
        <w:tc>
          <w:tcPr>
            <w:tcW w:w="602" w:type="dxa"/>
            <w:noWrap w:val="0"/>
            <w:vAlign w:val="center"/>
          </w:tcPr>
          <w:p>
            <w:pPr>
              <w:keepNext w:val="0"/>
              <w:keepLines w:val="0"/>
              <w:widowControl/>
              <w:suppressLineNumbers w:val="0"/>
              <w:spacing w:before="0" w:beforeAutospacing="0" w:after="0" w:afterAutospacing="0" w:line="360" w:lineRule="exact"/>
              <w:ind w:left="0" w:right="0"/>
              <w:jc w:val="center"/>
              <w:rPr>
                <w:rFonts w:hint="default" w:eastAsia="宋体"/>
                <w:kern w:val="0"/>
                <w:sz w:val="24"/>
              </w:rPr>
            </w:pPr>
            <w:r>
              <w:rPr>
                <w:rFonts w:hint="default" w:eastAsia="宋体"/>
                <w:kern w:val="0"/>
                <w:sz w:val="24"/>
              </w:rPr>
              <w:t>100</w:t>
            </w:r>
          </w:p>
        </w:tc>
        <w:tc>
          <w:tcPr>
            <w:tcW w:w="79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lang w:val="en-US" w:eastAsia="zh-CN"/>
              </w:rPr>
            </w:pPr>
            <w:r>
              <w:rPr>
                <w:rFonts w:hint="eastAsia" w:eastAsia="宋体"/>
                <w:kern w:val="0"/>
                <w:sz w:val="24"/>
                <w:lang w:val="en-US" w:eastAsia="zh-CN"/>
              </w:rPr>
              <w:t>98</w:t>
            </w:r>
          </w:p>
        </w:tc>
        <w:tc>
          <w:tcPr>
            <w:tcW w:w="735" w:type="dxa"/>
            <w:noWrap w:val="0"/>
            <w:vAlign w:val="center"/>
          </w:tcPr>
          <w:p>
            <w:pPr>
              <w:keepNext w:val="0"/>
              <w:keepLines w:val="0"/>
              <w:widowControl/>
              <w:suppressLineNumbers w:val="0"/>
              <w:spacing w:before="0" w:beforeAutospacing="0" w:after="0" w:afterAutospacing="0" w:line="360" w:lineRule="exact"/>
              <w:ind w:left="0" w:right="0"/>
              <w:jc w:val="left"/>
              <w:rPr>
                <w:rFonts w:hint="default" w:eastAsia="宋体"/>
                <w:kern w:val="0"/>
                <w:sz w:val="24"/>
              </w:rPr>
            </w:pPr>
            <w:r>
              <w:rPr>
                <w:rFonts w:hint="default" w:eastAsia="宋体"/>
                <w:kern w:val="0"/>
                <w:sz w:val="24"/>
              </w:rPr>
              <w:t>　</w:t>
            </w:r>
          </w:p>
        </w:tc>
      </w:tr>
    </w:tbl>
    <w:p>
      <w:pPr>
        <w:widowControl/>
        <w:spacing w:line="360" w:lineRule="exact"/>
        <w:rPr>
          <w:szCs w:val="32"/>
          <w:lang w:val="en-US" w:eastAsia="zh-CN"/>
        </w:rPr>
      </w:pPr>
      <w:r>
        <w:rPr>
          <w:rFonts w:eastAsia="宋体"/>
          <w:kern w:val="0"/>
          <w:sz w:val="24"/>
        </w:rPr>
        <w:t>填报人：</w:t>
      </w:r>
      <w:r>
        <w:rPr>
          <w:rFonts w:hint="eastAsia" w:eastAsia="宋体"/>
          <w:kern w:val="0"/>
          <w:sz w:val="24"/>
          <w:lang w:eastAsia="zh-CN"/>
        </w:rPr>
        <w:t>刘自平</w:t>
      </w:r>
      <w:r>
        <w:rPr>
          <w:rFonts w:eastAsia="宋体"/>
          <w:kern w:val="0"/>
          <w:sz w:val="24"/>
        </w:rPr>
        <w:t xml:space="preserve">                                                              单位负责人（签字）：</w:t>
      </w:r>
    </w:p>
    <w:p>
      <w:pPr>
        <w:pStyle w:val="2"/>
        <w:rPr>
          <w:rFonts w:hint="default"/>
          <w:lang w:val="en-US" w:eastAsia="zh-CN"/>
        </w:rPr>
      </w:pPr>
    </w:p>
    <w:sectPr>
      <w:pgSz w:w="16838" w:h="11906" w:orient="landscape"/>
      <w:pgMar w:top="1361" w:right="1440" w:bottom="1361"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AE779"/>
    <w:multiLevelType w:val="singleLevel"/>
    <w:tmpl w:val="888AE779"/>
    <w:lvl w:ilvl="0" w:tentative="0">
      <w:start w:val="1"/>
      <w:numFmt w:val="chineseCounting"/>
      <w:suff w:val="nothing"/>
      <w:lvlText w:val="（%1）"/>
      <w:lvlJc w:val="left"/>
      <w:pPr>
        <w:ind w:left="6"/>
      </w:pPr>
      <w:rPr>
        <w:rFonts w:hint="eastAsia"/>
      </w:rPr>
    </w:lvl>
  </w:abstractNum>
  <w:abstractNum w:abstractNumId="1">
    <w:nsid w:val="CD7E0A8A"/>
    <w:multiLevelType w:val="singleLevel"/>
    <w:tmpl w:val="CD7E0A8A"/>
    <w:lvl w:ilvl="0" w:tentative="0">
      <w:start w:val="1"/>
      <w:numFmt w:val="chineseCounting"/>
      <w:suff w:val="nothing"/>
      <w:lvlText w:val="%1、"/>
      <w:lvlJc w:val="left"/>
      <w:pPr>
        <w:ind w:left="420"/>
      </w:pPr>
      <w:rPr>
        <w:rFonts w:hint="eastAsia"/>
      </w:rPr>
    </w:lvl>
  </w:abstractNum>
  <w:abstractNum w:abstractNumId="2">
    <w:nsid w:val="E6ADAF7E"/>
    <w:multiLevelType w:val="singleLevel"/>
    <w:tmpl w:val="E6ADAF7E"/>
    <w:lvl w:ilvl="0" w:tentative="0">
      <w:start w:val="1"/>
      <w:numFmt w:val="chineseCounting"/>
      <w:suff w:val="nothing"/>
      <w:lvlText w:val="（%1）"/>
      <w:lvlJc w:val="left"/>
      <w:rPr>
        <w:rFonts w:hint="eastAsia"/>
      </w:rPr>
    </w:lvl>
  </w:abstractNum>
  <w:abstractNum w:abstractNumId="3">
    <w:nsid w:val="7E2309D0"/>
    <w:multiLevelType w:val="singleLevel"/>
    <w:tmpl w:val="7E2309D0"/>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mZTQzMWI5ZWUwMGQ4OTVlZTVlM2Q5NzFlZmE5ZWMifQ=="/>
  </w:docVars>
  <w:rsids>
    <w:rsidRoot w:val="1D5F3798"/>
    <w:rsid w:val="0B745019"/>
    <w:rsid w:val="1D5F3798"/>
    <w:rsid w:val="1F76491B"/>
    <w:rsid w:val="2ECE44F9"/>
    <w:rsid w:val="343045FF"/>
    <w:rsid w:val="43E53430"/>
    <w:rsid w:val="468A3B25"/>
    <w:rsid w:val="46F12BA3"/>
    <w:rsid w:val="495A1E8B"/>
    <w:rsid w:val="4F1B031F"/>
    <w:rsid w:val="541F5F54"/>
    <w:rsid w:val="55304F62"/>
    <w:rsid w:val="58B137E0"/>
    <w:rsid w:val="59D234E5"/>
    <w:rsid w:val="5C9C274C"/>
    <w:rsid w:val="78D5092A"/>
    <w:rsid w:val="7E253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rFonts w:hint="eastAsi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index heading"/>
    <w:next w:val="6"/>
    <w:qFormat/>
    <w:uiPriority w:val="0"/>
    <w:pPr>
      <w:widowControl w:val="0"/>
    </w:pPr>
    <w:rPr>
      <w:rFonts w:ascii="Arial" w:hAnsi="Arial" w:eastAsia="宋体" w:cs="Times New Roman"/>
      <w:b/>
      <w:kern w:val="2"/>
      <w:sz w:val="24"/>
      <w:lang w:val="en-US" w:eastAsia="zh-CN" w:bidi="ar-SA"/>
    </w:rPr>
  </w:style>
  <w:style w:type="paragraph" w:styleId="6">
    <w:name w:val="index 1"/>
    <w:basedOn w:val="1"/>
    <w:next w:val="1"/>
    <w:qFormat/>
    <w:uiPriority w:val="0"/>
  </w:style>
  <w:style w:type="character" w:styleId="9">
    <w:name w:val="page number"/>
    <w:basedOn w:val="8"/>
    <w:qFormat/>
    <w:uiPriority w:val="0"/>
  </w:style>
  <w:style w:type="paragraph" w:customStyle="1" w:styleId="10">
    <w:name w:val="18"/>
    <w:basedOn w:val="1"/>
    <w:qFormat/>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6548</Words>
  <Characters>6781</Characters>
  <Lines>0</Lines>
  <Paragraphs>0</Paragraphs>
  <TotalTime>30</TotalTime>
  <ScaleCrop>false</ScaleCrop>
  <LinksUpToDate>false</LinksUpToDate>
  <CharactersWithSpaces>7043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2022-11-16T02:20:00Z</dcterms:created>
  <dc:creator>Administrator</dc:creator>
  <cp:lastModifiedBy>comedy</cp:lastModifiedBy>
  <dcterms:modified xsi:type="dcterms:W3CDTF">2023-08-16T01:41:36Z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0EE83C5681294AE7B169C1148F148C7E_13</vt:lpwstr>
  </property>
</Properties>
</file>